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4.jpg" ContentType="image/jpeg"/>
  <Override PartName="/word/media/rId57.jpg" ContentType="image/jpeg"/>
  <Override PartName="/word/media/rId136.png" ContentType="image/png"/>
  <Override PartName="/word/media/rId140.png" ContentType="image/png"/>
  <Override PartName="/word/media/rId144.png" ContentType="image/png"/>
  <Override PartName="/word/media/rId21.png" ContentType="image/png"/>
  <Override PartName="/word/media/rId53.png" ContentType="image/png"/>
  <Override PartName="/word/media/rId65.png" ContentType="image/png"/>
  <Override PartName="/word/media/rId93.png" ContentType="image/png"/>
  <Override PartName="/word/media/rId79.png" ContentType="image/png"/>
  <Override PartName="/word/media/rId72.png" ContentType="image/png"/>
  <Override PartName="/word/media/rId89.png" ContentType="image/png"/>
  <Override PartName="/word/media/rId61.png" ContentType="image/png"/>
  <Override PartName="/word/media/rId6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r>
        <w:t xml:space="preserve"> </w:t>
      </w:r>
      <w:r>
        <w:t xml:space="preserve">SENSE</w:t>
      </w:r>
    </w:p>
    <w:p>
      <w:pPr>
        <w:pStyle w:val="Subtitle"/>
      </w:pPr>
      <w:r>
        <w:t xml:space="preserve">Product</w:t>
      </w:r>
      <w:r>
        <w:t xml:space="preserve"> </w:t>
      </w:r>
      <w:r>
        <w:t xml:space="preserve">Reference</w:t>
      </w:r>
      <w:r>
        <w:t xml:space="preserve"> </w:t>
      </w:r>
      <w:r>
        <w:t xml:space="preserve">Manual</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w:t>
      </w:r>
    </w:p>
    <w:p>
      <w:pPr>
        <w:numPr>
          <w:ilvl w:val="1"/>
          <w:numId w:val="1006"/>
        </w:numPr>
        <w:pStyle w:val="Compact"/>
      </w:pPr>
      <w:r>
        <w:t xml:space="preserve">4.6 HSTX 22-pin Connector {.section-page}</w:t>
      </w:r>
    </w:p>
    <w:p>
      <w:pPr>
        <w:numPr>
          <w:ilvl w:val="1"/>
          <w:numId w:val="1006"/>
        </w:numPr>
        <w:pStyle w:val="Compact"/>
      </w:pPr>
      <w:r>
        <w:t xml:space="preserve">4.7 USB-C, BOOT, and Reset</w:t>
      </w:r>
    </w:p>
    <w:p>
      <w:pPr>
        <w:numPr>
          <w:ilvl w:val="1"/>
          <w:numId w:val="1006"/>
        </w:numPr>
        <w:pStyle w:val="Compact"/>
      </w:pPr>
      <w:r>
        <w:t xml:space="preserve">4.8 SWD and Test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pPr>
        <w:numPr>
          <w:ilvl w:val="1"/>
          <w:numId w:val="1009"/>
        </w:numPr>
        <w:pStyle w:val="Compact"/>
      </w:pPr>
      <w:r>
        <w:t xml:space="preserve">9.6 Hardware Errata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 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98"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6" w:name="board-topology"/>
    <w:p>
      <w:pPr>
        <w:pStyle w:val="Heading3"/>
      </w:pPr>
      <w:r>
        <w:rPr>
          <w:bCs/>
          <w:b/>
        </w:rPr>
        <w:t xml:space="preserve">3.2 Board Topology</w:t>
      </w:r>
    </w:p>
    <w:p>
      <w:pPr>
        <w:pStyle w:val="FirstParagraph"/>
      </w:pPr>
      <w:r>
        <w:drawing>
          <wp:inline>
            <wp:extent cx="6108700" cy="4698608"/>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6108700" cy="4698608"/>
                    </a:xfrm>
                    <a:prstGeom prst="rect">
                      <a:avLst/>
                    </a:prstGeom>
                    <a:noFill/>
                    <a:ln w="9525">
                      <a:noFill/>
                      <a:headEnd/>
                      <a:tailEnd/>
                    </a:ln>
                  </pic:spPr>
                </pic:pic>
              </a:graphicData>
            </a:graphic>
          </wp:inline>
        </w:drawing>
      </w:r>
    </w:p>
    <w:p>
      <w:pPr>
        <w:pStyle w:val="BodyText"/>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6"/>
    <w:bookmarkStart w:id="60"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8" name="Picture"/>
            <a:graphic>
              <a:graphicData uri="http://schemas.openxmlformats.org/drawingml/2006/picture">
                <pic:pic>
                  <pic:nvPicPr>
                    <pic:cNvPr descr="hardware/resources/unit_rp2350a_qfn60_package_pulsar_rp2350.jpg" id="59" name="Picture"/>
                    <pic:cNvPicPr>
                      <a:picLocks noChangeArrowheads="1" noChangeAspect="1"/>
                    </pic:cNvPicPr>
                  </pic:nvPicPr>
                  <pic:blipFill>
                    <a:blip r:embed="rId5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0"/>
    <w:bookmarkStart w:id="64"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2" name="Picture"/>
            <a:graphic>
              <a:graphicData uri="http://schemas.openxmlformats.org/drawingml/2006/picture">
                <pic:pic>
                  <pic:nvPicPr>
                    <pic:cNvPr descr="hardware/resources/unit_wiki_psram_pulsar_rp2350.png" id="63" name="Picture"/>
                    <pic:cNvPicPr>
                      <a:picLocks noChangeArrowheads="1" noChangeAspect="1"/>
                    </pic:cNvPicPr>
                  </pic:nvPicPr>
                  <pic:blipFill>
                    <a:blip r:embed="rId61"/>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4"/>
    <w:bookmarkStart w:id="71"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6" name="Picture"/>
            <a:graphic>
              <a:graphicData uri="http://schemas.openxmlformats.org/drawingml/2006/picture">
                <pic:pic>
                  <pic:nvPicPr>
                    <pic:cNvPr descr="hardware/resources/unit_wiki_hstx_pulsar_rp2350.png" id="67" name="Picture"/>
                    <pic:cNvPicPr>
                      <a:picLocks noChangeArrowheads="1" noChangeAspect="1"/>
                    </pic:cNvPicPr>
                  </pic:nvPicPr>
                  <pic:blipFill>
                    <a:blip r:embed="rId65"/>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9" name="Picture"/>
            <a:graphic>
              <a:graphicData uri="http://schemas.openxmlformats.org/drawingml/2006/picture">
                <pic:pic>
                  <pic:nvPicPr>
                    <pic:cNvPr descr="hardware/resources/unit_wiki_udvi_library_pulsar_rp2350.png" id="70" name="Picture"/>
                    <pic:cNvPicPr>
                      <a:picLocks noChangeArrowheads="1" noChangeAspect="1"/>
                    </pic:cNvPicPr>
                  </pic:nvPicPr>
                  <pic:blipFill>
                    <a:blip r:embed="rId68"/>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1"/>
    <w:bookmarkStart w:id="75" w:name="microsd-card-socket"/>
    <w:p>
      <w:pPr>
        <w:pStyle w:val="Heading3"/>
      </w:pPr>
      <w:r>
        <w:rPr>
          <w:bCs/>
          <w:b/>
        </w:rPr>
        <w:t xml:space="preserve">3.6 MicroSD Card Socket</w:t>
      </w:r>
    </w:p>
    <w:p>
      <w:pPr>
        <w:pStyle w:val="FirstParagraph"/>
      </w:pPr>
      <w:r>
        <w:t xml:space="preserve">The 47309-2651 socket is connected to a complete four-bit SDIO signal group:</w:t>
      </w:r>
    </w:p>
    <w:p>
      <w:pPr>
        <w:pStyle w:val="CaptionedFigure"/>
      </w:pPr>
      <w:r>
        <w:drawing>
          <wp:inline>
            <wp:extent cx="4754880" cy="2358215"/>
            <wp:effectExtent b="0" l="0" r="0" t="0"/>
            <wp:docPr descr="microSD socket location" title="" id="73" name="Picture"/>
            <a:graphic>
              <a:graphicData uri="http://schemas.openxmlformats.org/drawingml/2006/picture">
                <pic:pic>
                  <pic:nvPicPr>
                    <pic:cNvPr descr="hardware/resources/unit_wiki_microsd_pulsar_rp2350.png" id="74" name="Picture"/>
                    <pic:cNvPicPr>
                      <a:picLocks noChangeArrowheads="1" noChangeAspect="1"/>
                    </pic:cNvPicPr>
                  </pic:nvPicPr>
                  <pic:blipFill>
                    <a:blip r:embed="rId72"/>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wiki examples use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w:t>
      </w:r>
      <w:r>
        <w:t xml:space="preserve">for</w:t>
      </w:r>
      <w:r>
        <w:t xml:space="preserve"> </w:t>
      </w:r>
      <w:r>
        <w:t xml:space="preserve">initialization, file creation, reading, directory enumeration, and logging.</w:t>
      </w:r>
      <w:r>
        <w:t xml:space="preserve"> </w:t>
      </w:r>
      <w:r>
        <w:t xml:space="preserve">Software with four-bit SDIO support can additionally use DAT1 and DAT2. File</w:t>
      </w:r>
      <w:r>
        <w:t xml:space="preserve"> </w:t>
      </w:r>
      <w:r>
        <w:t xml:space="preserve">writes should be flushed and closed before power removal or card extraction.</w:t>
      </w:r>
    </w:p>
    <w:p>
      <w:pPr>
        <w:pStyle w:val="BodyText"/>
      </w:pPr>
      <w:r>
        <w:t xml:space="preserve">Card capacity, speed class, and filesystem support are software-dependent. The</w:t>
      </w:r>
      <w:r>
        <w:t xml:space="preserve"> </w:t>
      </w:r>
      <w:r>
        <w:t xml:space="preserve">wiki workflow uses FAT32 for initial validation.</w:t>
      </w:r>
    </w:p>
    <w:bookmarkEnd w:id="75"/>
    <w:bookmarkStart w:id="82" w:name="led-indicators"/>
    <w:p>
      <w:pPr>
        <w:pStyle w:val="Heading3"/>
      </w:pPr>
      <w:r>
        <w:rPr>
          <w:bCs/>
          <w:b/>
        </w:rPr>
        <w:t xml:space="preserve">3.7 LED Indicators</w:t>
      </w:r>
    </w:p>
    <w:p>
      <w:pPr>
        <w:pStyle w:val="FirstParagraph"/>
      </w:pPr>
      <w:r>
        <w:t xml:space="preserve">Three WS2812-compatible 1010 RGB LEDs form a serial chain driven by GPIO1.</w:t>
      </w:r>
      <w:r>
        <w:t xml:space="preserve"> </w:t>
      </w:r>
      <w:r>
        <w:t xml:space="preserve">Firmware transmits one ordered color frame for all three pixels, enabling</w:t>
      </w:r>
      <w:r>
        <w:t xml:space="preserve"> </w:t>
      </w:r>
      <w:r>
        <w:t xml:space="preserve">status colors, progress animation, and user feedback with a single GPIO.</w:t>
      </w:r>
    </w:p>
    <w:p>
      <w:pPr>
        <w:pStyle w:val="CaptionedFigure"/>
      </w:pPr>
      <w:r>
        <w:drawing>
          <wp:inline>
            <wp:extent cx="5303520" cy="2303988"/>
            <wp:effectExtent b="0" l="0" r="0" t="0"/>
            <wp:docPr descr="WS2812 RGB LED locations" title="" id="77" name="Picture"/>
            <a:graphic>
              <a:graphicData uri="http://schemas.openxmlformats.org/drawingml/2006/picture">
                <pic:pic>
                  <pic:nvPicPr>
                    <pic:cNvPr descr="hardware/resources/unit_wiki_ws2812_pulsar_rp2350.png" id="78" name="Picture"/>
                    <pic:cNvPicPr>
                      <a:picLocks noChangeArrowheads="1" noChangeAspect="1"/>
                    </pic:cNvPicPr>
                  </pic:nvPicPr>
                  <pic:blipFill>
                    <a:blip r:embed="rId76"/>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 board also contains a user indicator on GPIO20 (</w:t>
      </w:r>
      <w:r>
        <w:rPr>
          <w:rStyle w:val="VerbatimChar"/>
        </w:rPr>
        <w:t xml:space="preserve">D13</w:t>
      </w:r>
      <w:r>
        <w:t xml:space="preserve"> </w:t>
      </w:r>
      <w:r>
        <w:t xml:space="preserve">/</w:t>
      </w:r>
      <w:r>
        <w:t xml:space="preserve"> </w:t>
      </w:r>
      <w:r>
        <w:rPr>
          <w:rStyle w:val="VerbatimChar"/>
        </w:rPr>
        <w:t xml:space="preserve">BUILTIN1</w:t>
      </w:r>
      <w:r>
        <w:t xml:space="preserve">), a</w:t>
      </w:r>
      <w:r>
        <w:t xml:space="preserve"> </w:t>
      </w:r>
      <w:r>
        <w:t xml:space="preserve">power indicator, and a charge-status indicator. The user and RGB indicators</w:t>
      </w:r>
      <w:r>
        <w:t xml:space="preserve"> </w:t>
      </w:r>
      <w:r>
        <w:t xml:space="preserve">are firmware-controlled. The power indicator follows its rail circuit. The</w:t>
      </w:r>
      <w:r>
        <w:t xml:space="preserve"> </w:t>
      </w:r>
      <w:r>
        <w:t xml:space="preserve">charge indicator follows the MCP73831 status output and is not a general-purpose</w:t>
      </w:r>
      <w:r>
        <w:t xml:space="preserve"> </w:t>
      </w:r>
      <w:r>
        <w:t xml:space="preserve">GPIO indicator.</w:t>
      </w:r>
    </w:p>
    <w:p>
      <w:pPr>
        <w:pStyle w:val="CaptionedFigure"/>
      </w:pPr>
      <w:r>
        <w:drawing>
          <wp:inline>
            <wp:extent cx="4754880" cy="2177204"/>
            <wp:effectExtent b="0" l="0" r="0" t="0"/>
            <wp:docPr descr="Built-in user LED location" title="" id="80" name="Picture"/>
            <a:graphic>
              <a:graphicData uri="http://schemas.openxmlformats.org/drawingml/2006/picture">
                <pic:pic>
                  <pic:nvPicPr>
                    <pic:cNvPr descr="hardware/resources/unit_wiki_led_builtin_pulsar_rp2350.png" id="81" name="Picture"/>
                    <pic:cNvPicPr>
                      <a:picLocks noChangeArrowheads="1" noChangeAspect="1"/>
                    </pic:cNvPicPr>
                  </pic:nvPicPr>
                  <pic:blipFill>
                    <a:blip r:embed="rId79"/>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where power consumption or thermal</w:t>
      </w:r>
      <w:r>
        <w:t xml:space="preserve"> </w:t>
      </w:r>
      <w:r>
        <w:t xml:space="preserve">rise matters. Updating the RGB chain is independent from HSTX video output.</w:t>
      </w:r>
    </w:p>
    <w:bookmarkEnd w:id="82"/>
    <w:bookmarkStart w:id="83" w:name="Xf0ddbff40672dd96bccce33734ac57e6208d3ad"/>
    <w:p>
      <w:pPr>
        <w:pStyle w:val="Heading3"/>
      </w:pPr>
      <w:r>
        <w:rPr>
          <w:bCs/>
          <w:b/>
        </w:rPr>
        <w:t xml:space="preserve">3.8 AP2112K and MCP73831 Power Management System</w:t>
      </w:r>
    </w:p>
    <w:p>
      <w:pPr>
        <w:pStyle w:val="FirstParagraph"/>
      </w:pPr>
      <w:r>
        <w:t xml:space="preserve">U1 is an AP2112K fixed 3.3 V LDO. It converts the</w:t>
      </w:r>
      <w:r>
        <w:t xml:space="preserve"> </w:t>
      </w:r>
      <w:r>
        <w:rPr>
          <w:rStyle w:val="VerbatimChar"/>
        </w:rPr>
        <w:t xml:space="preserve">VSYS</w:t>
      </w:r>
      <w:r>
        <w:t xml:space="preserve"> </w:t>
      </w:r>
      <w:r>
        <w:t xml:space="preserve">power rail into the</w:t>
      </w:r>
      <w:r>
        <w:t xml:space="preserve"> </w:t>
      </w:r>
      <w:r>
        <w:t xml:space="preserve">3.3 V domain used by RP2350A, memories, sensors, indicators, and the QWIIC</w:t>
      </w:r>
      <w:r>
        <w:t xml:space="preserve"> </w:t>
      </w:r>
      <w:r>
        <w:t xml:space="preserve">connector. The</w:t>
      </w:r>
      <w:r>
        <w:t xml:space="preserve"> </w:t>
      </w:r>
      <w:r>
        <w:rPr>
          <w:rStyle w:val="VerbatimChar"/>
        </w:rPr>
        <w:t xml:space="preserve">3EN</w:t>
      </w:r>
      <w:r>
        <w:t xml:space="preserve"> </w:t>
      </w:r>
      <w:r>
        <w:t xml:space="preserve">control is associated with regulator enable and is pulled</w:t>
      </w:r>
      <w:r>
        <w:t xml:space="preserve"> </w:t>
      </w:r>
      <w:r>
        <w:t xml:space="preserve">up in the available schematic.</w:t>
      </w:r>
    </w:p>
    <w:p>
      <w:pPr>
        <w:pStyle w:val="BodyText"/>
      </w:pPr>
      <w:r>
        <w:t xml:space="preserve">IC2 is an MCP73831 single-cell Li-Ion/Li-Polymer charge controller. It connects</w:t>
      </w:r>
      <w:r>
        <w:t xml:space="preserve"> </w:t>
      </w:r>
      <w:r>
        <w:t xml:space="preserve">the USB-derived supply, charge programming network,</w:t>
      </w:r>
      <w:r>
        <w:t xml:space="preserve"> </w:t>
      </w:r>
      <w:r>
        <w:rPr>
          <w:rStyle w:val="VerbatimChar"/>
        </w:rPr>
        <w:t xml:space="preserve">VBAT</w:t>
      </w:r>
      <w:r>
        <w:t xml:space="preserve">, and status</w:t>
      </w:r>
      <w:r>
        <w:t xml:space="preserve"> </w:t>
      </w:r>
      <w:r>
        <w:t xml:space="preserve">indicator. The actual charge current is set by the charge-configuration network;</w:t>
      </w:r>
      <w:r>
        <w:t xml:space="preserve"> </w:t>
      </w:r>
      <w:r>
        <w:t xml:space="preserve">the charger’s component maximum is not a module-level charge-current rating.</w:t>
      </w:r>
    </w:p>
    <w:p>
      <w:pPr>
        <w:pStyle w:val="BodyText"/>
      </w:pPr>
      <w:r>
        <w:t xml:space="preserve">Schottky diodes and MOSFETs implement source routing and protection around USB,</w:t>
      </w:r>
      <w:r>
        <w:t xml:space="preserve"> </w:t>
      </w:r>
      <w:r>
        <w:rPr>
          <w:rStyle w:val="VerbatimChar"/>
        </w:rPr>
        <w:t xml:space="preserve">VIN</w:t>
      </w:r>
      <w:r>
        <w:t xml:space="preserve">,</w:t>
      </w:r>
      <w:r>
        <w:t xml:space="preserve"> </w:t>
      </w:r>
      <w:r>
        <w:rPr>
          <w:rStyle w:val="VerbatimChar"/>
        </w:rPr>
        <w:t xml:space="preserve">VSYS</w:t>
      </w:r>
      <w:r>
        <w:t xml:space="preserve">, and battery nets. Do not assume ideal-diode behavior, seamless</w:t>
      </w:r>
      <w:r>
        <w:t xml:space="preserve"> </w:t>
      </w:r>
      <w:r>
        <w:t xml:space="preserve">switchover, or reverse-current protection beyond what is explicitly defined by</w:t>
      </w:r>
      <w:r>
        <w:t xml:space="preserve"> </w:t>
      </w:r>
      <w:r>
        <w:t xml:space="preserve">the schematic and module specifications.</w:t>
      </w:r>
    </w:p>
    <w:bookmarkEnd w:id="83"/>
    <w:bookmarkStart w:id="87" w:name="power-tree"/>
    <w:p>
      <w:pPr>
        <w:pStyle w:val="Heading3"/>
      </w:pPr>
      <w:r>
        <w:rPr>
          <w:bCs/>
          <w:b/>
        </w:rPr>
        <w:t xml:space="preserve">3.9 Power Tree</w:t>
      </w:r>
    </w:p>
    <w:p>
      <w:pPr>
        <w:pStyle w:val="FirstParagraph"/>
      </w:pPr>
      <w:r>
        <w:drawing>
          <wp:inline>
            <wp:extent cx="6108700" cy="4165022"/>
            <wp:effectExtent b="0" l="0" r="0" t="0"/>
            <wp:docPr descr="" title="" id="85" name="Picture"/>
            <a:graphic>
              <a:graphicData uri="http://schemas.openxmlformats.org/drawingml/2006/picture">
                <pic:pic>
                  <pic:nvPicPr>
                    <pic:cNvPr descr="hardware/resources/unit_power_tree_v_1_0_0_ue0103_pulsar_rp2350a.jpg" id="86" name="Picture"/>
                    <pic:cNvPicPr>
                      <a:picLocks noChangeArrowheads="1" noChangeAspect="1"/>
                    </pic:cNvPicPr>
                  </pic:nvPicPr>
                  <pic:blipFill>
                    <a:blip r:embed="rId84"/>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diagram is a functional power tree, not a replacement for the schematic.</w:t>
      </w:r>
      <w:r>
        <w:t xml:space="preserve"> </w:t>
      </w:r>
      <w:r>
        <w:t xml:space="preserve">USB-C VBUS,</w:t>
      </w:r>
      <w:r>
        <w:t xml:space="preserve"> </w:t>
      </w:r>
      <w:r>
        <w:rPr>
          <w:rStyle w:val="VerbatimChar"/>
        </w:rPr>
        <w:t xml:space="preserve">VIN</w:t>
      </w:r>
      <w:r>
        <w:t xml:space="preserve">, and battery are represented in the power-path design.</w:t>
      </w:r>
      <w:r>
        <w:t xml:space="preserve"> </w:t>
      </w:r>
      <w:r>
        <w:t xml:space="preserve">Board-level limits, source priority, and transient behavior are not specified</w:t>
      </w:r>
      <w:r>
        <w:t xml:space="preserve"> </w:t>
      </w:r>
      <w:r>
        <w:t xml:space="preserve">by the available documentation.</w:t>
      </w:r>
    </w:p>
    <w:p>
      <w:pPr>
        <w:pStyle w:val="BodyText"/>
      </w:pPr>
      <w:r>
        <w:t xml:space="preserve">The 3.3 V rail supplies onboard logic and is also exposed at the edge and</w:t>
      </w:r>
      <w:r>
        <w:t xml:space="preserve"> </w:t>
      </w:r>
      <w:r>
        <w:t xml:space="preserve">QWIIC connector. Available current for an external load equals regulator</w:t>
      </w:r>
      <w:r>
        <w:t xml:space="preserve"> </w:t>
      </w:r>
      <w:r>
        <w:t xml:space="preserve">capability minus all board consumption and thermal derating; that value is not</w:t>
      </w:r>
      <w:r>
        <w:t xml:space="preserve"> </w:t>
      </w:r>
      <w:r>
        <w:t xml:space="preserve">specified at module level.</w:t>
      </w:r>
    </w:p>
    <w:bookmarkEnd w:id="87"/>
    <w:bookmarkStart w:id="88" w:name="bmi270-motion-sensor"/>
    <w:p>
      <w:pPr>
        <w:pStyle w:val="Heading3"/>
      </w:pPr>
      <w:r>
        <w:rPr>
          <w:bCs/>
          <w:b/>
        </w:rPr>
        <w:t xml:space="preserve">3.10 BMI270 Motion Sensor</w:t>
      </w:r>
    </w:p>
    <w:p>
      <w:pPr>
        <w:pStyle w:val="FirstParagraph"/>
      </w:pPr>
      <w:r>
        <w:t xml:space="preserve">The BMI270 combines a three-axis accelerometer and three-axis gyroscope. It is</w:t>
      </w:r>
      <w:r>
        <w:t xml:space="preserve"> </w:t>
      </w:r>
      <w:r>
        <w:t xml:space="preserve">connected to GPIO8 (</w:t>
      </w:r>
      <w:r>
        <w:rPr>
          <w:rStyle w:val="VerbatimChar"/>
        </w:rPr>
        <w:t xml:space="preserve">SDA</w:t>
      </w:r>
      <w:r>
        <w:t xml:space="preserve">) and GPIO9 (</w:t>
      </w:r>
      <w:r>
        <w:rPr>
          <w:rStyle w:val="VerbatimChar"/>
        </w:rPr>
        <w:t xml:space="preserve">SCL</w:t>
      </w:r>
      <w:r>
        <w:t xml:space="preserve">) on the internal/user I2C bus. The</w:t>
      </w:r>
      <w:r>
        <w:t xml:space="preserve"> </w:t>
      </w:r>
      <w:r>
        <w:t xml:space="preserve">wiki initializes it by scanning its supported address options and then reads</w:t>
      </w:r>
      <w:r>
        <w:t xml:space="preserve"> </w:t>
      </w:r>
      <w:r>
        <w:t xml:space="preserve">acceleration and angular-rate samples.</w:t>
      </w:r>
    </w:p>
    <w:p>
      <w:pPr>
        <w:pStyle w:val="BodyText"/>
      </w:pPr>
      <w:r>
        <w:t xml:space="preserve">Typical board applications include orientation interfaces, motion-triggered</w:t>
      </w:r>
      <w:r>
        <w:t xml:space="preserve"> </w:t>
      </w:r>
      <w:r>
        <w:t xml:space="preserve">logging, gesture input, vibration observation, and control of HSTX graphics.</w:t>
      </w:r>
      <w:r>
        <w:t xml:space="preserve"> </w:t>
      </w:r>
      <w:r>
        <w:t xml:space="preserve">Measurement ranges, filtering, output data rate, and interrupt behavior are</w:t>
      </w:r>
      <w:r>
        <w:t xml:space="preserve"> </w:t>
      </w:r>
      <w:r>
        <w:t xml:space="preserve">configured through the BMI270 driver and are not fixed by the PCB.</w:t>
      </w:r>
    </w:p>
    <w:bookmarkEnd w:id="88"/>
    <w:bookmarkStart w:id="92" w:name="pdm-microphone"/>
    <w:p>
      <w:pPr>
        <w:pStyle w:val="Heading3"/>
      </w:pPr>
      <w:r>
        <w:rPr>
          <w:bCs/>
          <w:b/>
        </w:rPr>
        <w:t xml:space="preserve">3.11 PDM Microphone</w:t>
      </w:r>
    </w:p>
    <w:p>
      <w:pPr>
        <w:pStyle w:val="FirstParagraph"/>
      </w:pPr>
      <w:r>
        <w:t xml:space="preserve">The ICS-41350 is an onboard digital MEMS microphone. RP2350A supplies its PDM</w:t>
      </w:r>
      <w:r>
        <w:t xml:space="preserve"> </w:t>
      </w:r>
      <w:r>
        <w:t xml:space="preserve">clock on GPIO10 and receives the one-bit data stream on GPIO11. The software PDM</w:t>
      </w:r>
      <w:r>
        <w:t xml:space="preserve"> </w:t>
      </w:r>
      <w:r>
        <w:t xml:space="preserve">stack clocks the microphone, decimates the stream, and produces PCM sample</w:t>
      </w:r>
      <w:r>
        <w:t xml:space="preserve"> </w:t>
      </w:r>
      <w:r>
        <w:t xml:space="preserve">buffers for analysis, visualization, streaming, or storage.</w:t>
      </w:r>
    </w:p>
    <w:p>
      <w:pPr>
        <w:pStyle w:val="CaptionedFigure"/>
      </w:pPr>
      <w:r>
        <w:drawing>
          <wp:inline>
            <wp:extent cx="5029200" cy="2455860"/>
            <wp:effectExtent b="0" l="0" r="0" t="0"/>
            <wp:docPr descr="PDM microphone location" title="" id="90" name="Picture"/>
            <a:graphic>
              <a:graphicData uri="http://schemas.openxmlformats.org/drawingml/2006/picture">
                <pic:pic>
                  <pic:nvPicPr>
                    <pic:cNvPr descr="hardware/resources/unit_wiki_pdm_pulsar_rp2350.png" id="91" name="Picture"/>
                    <pic:cNvPicPr>
                      <a:picLocks noChangeArrowheads="1" noChangeAspect="1"/>
                    </pic:cNvPicPr>
                  </pic:nvPicPr>
                  <pic:blipFill>
                    <a:blip r:embed="rId89"/>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acoustic port must remain unobstructed. Enclosures, adhesive, contamination,</w:t>
      </w:r>
      <w:r>
        <w:t xml:space="preserve"> </w:t>
      </w:r>
      <w:r>
        <w:t xml:space="preserve">and board mounting can affect acoustic performance. Board-level sensitivity,</w:t>
      </w:r>
      <w:r>
        <w:t xml:space="preserve"> </w:t>
      </w:r>
      <w:r>
        <w:t xml:space="preserve">noise, frequency response, and enclosure behavior depend on the mechanical and</w:t>
      </w:r>
      <w:r>
        <w:t xml:space="preserve"> </w:t>
      </w:r>
      <w:r>
        <w:t xml:space="preserve">acoustic implementation and are not specified at module level.</w:t>
      </w:r>
    </w:p>
    <w:bookmarkEnd w:id="92"/>
    <w:bookmarkStart w:id="96" w:name="i2c-and-qwiic-expansion"/>
    <w:p>
      <w:pPr>
        <w:pStyle w:val="Heading3"/>
      </w:pPr>
      <w:r>
        <w:rPr>
          <w:bCs/>
          <w:b/>
        </w:rPr>
        <w:t xml:space="preserve">3.12 I2C and QWIIC Expansion</w:t>
      </w:r>
    </w:p>
    <w:p>
      <w:pPr>
        <w:pStyle w:val="FirstParagraph"/>
      </w:pPr>
      <w:r>
        <w:t xml:space="preserve">The board provides two distinct I2C routes. GPIO8/GPIO9 serve the onboard</w:t>
      </w:r>
      <w:r>
        <w:t xml:space="preserve"> </w:t>
      </w:r>
      <w:r>
        <w:t xml:space="preserve">BMI270 and are also represented by</w:t>
      </w:r>
      <w:r>
        <w:t xml:space="preserve"> </w:t>
      </w:r>
      <w:r>
        <w:rPr>
          <w:rStyle w:val="VerbatimChar"/>
        </w:rPr>
        <w:t xml:space="preserve">SDA</w:t>
      </w:r>
      <w:r>
        <w:t xml:space="preserve">/</w:t>
      </w:r>
      <w:r>
        <w:rPr>
          <w:rStyle w:val="VerbatimChar"/>
        </w:rPr>
        <w:t xml:space="preserve">SCL</w:t>
      </w:r>
      <w:r>
        <w:t xml:space="preserve"> </w:t>
      </w:r>
      <w:r>
        <w:t xml:space="preserve">edge labels. GPIO24/GPIO25 feed</w:t>
      </w:r>
      <w:r>
        <w:t xml:space="preserve"> </w:t>
      </w:r>
      <w:r>
        <w:t xml:space="preserve">the four-position QWIIC connector and HSTX connector positions.</w:t>
      </w:r>
    </w:p>
    <w:p>
      <w:pPr>
        <w:pStyle w:val="CaptionedFigure"/>
      </w:pPr>
      <w:r>
        <w:drawing>
          <wp:inline>
            <wp:extent cx="5669280" cy="3127333"/>
            <wp:effectExtent b="0" l="0" r="0" t="0"/>
            <wp:docPr descr="I2C and QWIIC connections" title="" id="94" name="Picture"/>
            <a:graphic>
              <a:graphicData uri="http://schemas.openxmlformats.org/drawingml/2006/picture">
                <pic:pic>
                  <pic:nvPicPr>
                    <pic:cNvPr descr="hardware/resources/unit_wiki_i2c_pulsar_rp2350.png" id="95" name="Picture"/>
                    <pic:cNvPicPr>
                      <a:picLocks noChangeArrowheads="1" noChangeAspect="1"/>
                    </pic:cNvPicPr>
                  </pic:nvPicPr>
                  <pic:blipFill>
                    <a:blip r:embed="rId93"/>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This separation lets an application keep the IMU bus independent from external</w:t>
      </w:r>
      <w:r>
        <w:t xml:space="preserve"> </w:t>
      </w:r>
      <w:r>
        <w:t xml:space="preserve">QWIIC sensors. The wiki includes bus scanning, BMI270 access, EEPROM byte and</w:t>
      </w:r>
      <w:r>
        <w:t xml:space="preserve"> </w:t>
      </w:r>
      <w:r>
        <w:t xml:space="preserve">block operations, hexadecimal dumps, and structured EEPROM records. External</w:t>
      </w:r>
      <w:r>
        <w:t xml:space="preserve"> </w:t>
      </w:r>
      <w:r>
        <w:t xml:space="preserve">pull-ups, device addresses, bus capacitance, and cable length must be considered</w:t>
      </w:r>
      <w:r>
        <w:t xml:space="preserve"> </w:t>
      </w:r>
      <w:r>
        <w:t xml:space="preserve">when attaching multiple devices.</w:t>
      </w:r>
    </w:p>
    <w:bookmarkEnd w:id="96"/>
    <w:bookmarkStart w:id="97" w:name="combined-system-operation"/>
    <w:p>
      <w:pPr>
        <w:pStyle w:val="Heading3"/>
      </w:pPr>
      <w:r>
        <w:rPr>
          <w:bCs/>
          <w:b/>
        </w:rPr>
        <w:t xml:space="preserve">3.13 Combined System Operation</w:t>
      </w:r>
    </w:p>
    <w:p>
      <w:pPr>
        <w:pStyle w:val="FirstParagraph"/>
      </w:pPr>
      <w:r>
        <w:t xml:space="preserve">The board is designed for concurrent use of its subsystems. For example, the</w:t>
      </w:r>
      <w:r>
        <w:t xml:space="preserve"> </w:t>
      </w:r>
      <w:r>
        <w:t xml:space="preserve">BMI270 can control an HSTX-rendered object while PSRAM holds large graphics or</w:t>
      </w:r>
      <w:r>
        <w:t xml:space="preserve"> </w:t>
      </w:r>
      <w:r>
        <w:t xml:space="preserve">history buffers; the microphone or an I2C sensor can produce records stored on</w:t>
      </w:r>
      <w:r>
        <w:t xml:space="preserve"> </w:t>
      </w:r>
      <w:r>
        <w:t xml:space="preserve">microSD; and RGB LEDs can show acquisition, storage, or fault state.</w:t>
      </w:r>
    </w:p>
    <w:p>
      <w:pPr>
        <w:pStyle w:val="BodyText"/>
      </w:pPr>
      <w:r>
        <w:t xml:space="preserve">A robust application initializes one subsystem at a time, checks every return</w:t>
      </w:r>
      <w:r>
        <w:t xml:space="preserve"> </w:t>
      </w:r>
      <w:r>
        <w:t xml:space="preserve">value, keeps high-rate and interrupt data in internal SRAM, moves large buffers</w:t>
      </w:r>
      <w:r>
        <w:t xml:space="preserve"> </w:t>
      </w:r>
      <w:r>
        <w:t xml:space="preserve">to PSRAM, flushes storage before shutdown, and yields enough execution time for</w:t>
      </w:r>
      <w:r>
        <w:t xml:space="preserve"> </w:t>
      </w:r>
      <w:r>
        <w:t xml:space="preserve">USB and framework services. The repository’s C++ examples implement each stage</w:t>
      </w:r>
      <w:r>
        <w:t xml:space="preserve"> </w:t>
      </w:r>
      <w:r>
        <w:t xml:space="preserve">separately before the combined application.</w:t>
      </w:r>
    </w:p>
    <w:bookmarkEnd w:id="97"/>
    <w:bookmarkEnd w:id="98"/>
    <w:bookmarkStart w:id="107" w:name="connectors-pinouts"/>
    <w:p>
      <w:pPr>
        <w:pStyle w:val="Heading2"/>
      </w:pPr>
      <w:r>
        <w:rPr>
          <w:bCs/>
          <w:b/>
        </w:rPr>
        <w:t xml:space="preserve">4 Connectors &amp; Pinouts</w:t>
      </w:r>
    </w:p>
    <w:p>
      <w:pPr>
        <w:pStyle w:val="FirstParagraph"/>
      </w:pPr>
      <w:r>
        <w:t xml:space="preserve">Pin labels describe hardware revision V1.3. GPIO numbers identify RP2350A signals;</w:t>
      </w:r>
      <w:r>
        <w:t xml:space="preserve"> </w:t>
      </w:r>
      <w:r>
        <w:t xml:space="preserve">framework aliases depend on the selected board definition.</w:t>
      </w:r>
    </w:p>
    <w:bookmarkStart w:id="99"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RGB-chain output</w:t>
            </w:r>
          </w:p>
        </w:tc>
        <w:tc>
          <w:tcPr/>
          <w:p>
            <w:pPr>
              <w:pStyle w:val="Compact"/>
              <w:jc w:val="left"/>
            </w:pPr>
            <w:r>
              <w:t xml:space="preserve">Three onboard WS2812 LEDs</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VUSB</w:t>
      </w:r>
      <w:r>
        <w:t xml:space="preserve">,</w:t>
      </w:r>
      <w:r>
        <w:t xml:space="preserve"> </w:t>
      </w:r>
      <w:r>
        <w:rPr>
          <w:rStyle w:val="VerbatimChar"/>
        </w:rPr>
        <w:t xml:space="preserve">VIN</w:t>
      </w:r>
      <w:r>
        <w:t xml:space="preserve">,</w:t>
      </w:r>
      <w:r>
        <w:t xml:space="preserve"> </w:t>
      </w:r>
      <w:r>
        <w:rPr>
          <w:rStyle w:val="VerbatimChar"/>
        </w:rPr>
        <w:t xml:space="preserve">RST</w:t>
      </w:r>
      <w:r>
        <w:t xml:space="preserve">, and multiple</w:t>
      </w:r>
      <w:r>
        <w:t xml:space="preserve"> </w:t>
      </w:r>
      <w:r>
        <w:rPr>
          <w:rStyle w:val="VerbatimChar"/>
        </w:rPr>
        <w:t xml:space="preserve">GND</w:t>
      </w:r>
      <w:r>
        <w:t xml:space="preserve"> </w:t>
      </w:r>
      <w:r>
        <w:t xml:space="preserve">pads. Their physical presence does not establish</w:t>
      </w:r>
      <w:r>
        <w:t xml:space="preserve"> </w:t>
      </w:r>
      <w:r>
        <w:t xml:space="preserve">unreleased input or load limits.</w:t>
      </w:r>
    </w:p>
    <w:bookmarkEnd w:id="99"/>
    <w:bookmarkStart w:id="100" w:name="arduino-nano-pinout-compatibility"/>
    <w:p>
      <w:pPr>
        <w:pStyle w:val="Heading3"/>
      </w:pPr>
      <w:r>
        <w:rPr>
          <w:bCs/>
          <w:b/>
        </w:rPr>
        <w:t xml:space="preserve">4.2 Arduino NANO Pinout Compatibility</w:t>
      </w:r>
    </w:p>
    <w:p>
      <w:pPr>
        <w:pStyle w:val="FirstParagraph"/>
      </w:pPr>
      <w:r>
        <w:t xml:space="preserve">The board uses two parallel 15-position edge rows inspired by the Arduino Nano</w:t>
      </w:r>
      <w:r>
        <w:t xml:space="preserve"> </w:t>
      </w:r>
      <w:r>
        <w:t xml:space="preserve">layout. This provides a familiar mechanical and labeling pattern, but it is not</w:t>
      </w:r>
      <w:r>
        <w:t xml:space="preserve"> </w:t>
      </w:r>
      <w:r>
        <w:t xml:space="preserve">a statement of full electrical or shield compatibility.</w:t>
      </w:r>
    </w:p>
    <w:p>
      <w:pPr>
        <w:pStyle w:val="BodyText"/>
      </w:pPr>
      <w:r>
        <w:t xml:space="preserve">Important differences include:</w:t>
      </w:r>
    </w:p>
    <w:p>
      <w:pPr>
        <w:numPr>
          <w:ilvl w:val="0"/>
          <w:numId w:val="1015"/>
        </w:numPr>
        <w:pStyle w:val="Compact"/>
      </w:pPr>
      <w:r>
        <w:t xml:space="preserve">RP2350A uses a 3.3 V logic domain.</w:t>
      </w:r>
    </w:p>
    <w:p>
      <w:pPr>
        <w:numPr>
          <w:ilvl w:val="0"/>
          <w:numId w:val="1015"/>
        </w:numPr>
        <w:pStyle w:val="Compact"/>
      </w:pPr>
      <w:r>
        <w:t xml:space="preserve">Several conventional positions have PULSAR-specific functions such as</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RGB</w:t>
      </w:r>
      <w:r>
        <w:t xml:space="preserve">, and microphone clock.</w:t>
      </w:r>
    </w:p>
    <w:p>
      <w:pPr>
        <w:numPr>
          <w:ilvl w:val="0"/>
          <w:numId w:val="1015"/>
        </w:numPr>
        <w:pStyle w:val="Compact"/>
      </w:pPr>
      <w:r>
        <w:t xml:space="preserve">GPIO12–GPIO19 are shared with the HSTX video route.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are not general-purpose GPIO: they carry the RP2350A’s native</w:t>
      </w:r>
      <w:r>
        <w:t xml:space="preserve"> </w:t>
      </w:r>
      <w:r>
        <w:t xml:space="preserve">USB D-/D+ signals (the same differential pair used by the USB-C connector),</w:t>
      </w:r>
      <w:r>
        <w:t xml:space="preserve"> </w:t>
      </w:r>
      <w:r>
        <w:t xml:space="preserve">each through a 22 Ω series resistor. Do not drive them as digital I/O.</w:t>
      </w:r>
    </w:p>
    <w:p>
      <w:pPr>
        <w:numPr>
          <w:ilvl w:val="0"/>
          <w:numId w:val="1015"/>
        </w:numPr>
        <w:pStyle w:val="Compact"/>
      </w:pPr>
      <w:r>
        <w:t xml:space="preserve">Analog channel labels do not form a simple sequential GPIO order.</w:t>
      </w:r>
    </w:p>
    <w:p>
      <w:pPr>
        <w:numPr>
          <w:ilvl w:val="0"/>
          <w:numId w:val="1015"/>
        </w:numPr>
        <w:pStyle w:val="Compact"/>
      </w:pPr>
      <w:r>
        <w:t xml:space="preserve">The board includes bottom-side connectors and components that may conflict</w:t>
      </w:r>
      <w:r>
        <w:t xml:space="preserve"> </w:t>
      </w:r>
      <w:r>
        <w:t xml:space="preserve">mechanically with some carriers.</w:t>
      </w:r>
    </w:p>
    <w:p>
      <w:pPr>
        <w:pStyle w:val="FirstParagraph"/>
      </w:pPr>
      <w:r>
        <w:t xml:space="preserve">Before installing the board into a Nano-style carrier, compare every power,</w:t>
      </w:r>
      <w:r>
        <w:t xml:space="preserve"> </w:t>
      </w:r>
      <w:r>
        <w:t xml:space="preserve">reset, analog, and digital position and verify bottom-side clearance.</w:t>
      </w:r>
    </w:p>
    <w:bookmarkEnd w:id="100"/>
    <w:bookmarkStart w:id="101" w:name="qwiic-connector"/>
    <w:p>
      <w:pPr>
        <w:pStyle w:val="Heading3"/>
      </w:pPr>
      <w:r>
        <w:rPr>
          <w:bCs/>
          <w:b/>
        </w:rPr>
        <w:t xml:space="preserve">4.3 QWIIC Connector</w:t>
      </w:r>
    </w:p>
    <w:p>
      <w:pPr>
        <w:pStyle w:val="FirstParagraph"/>
      </w:pPr>
      <w:r>
        <w:t xml:space="preserve">J1 is a four-position, 1 mm-pitch right-angle connector carrying:</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 available current not specified</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bus is separate from the GPIO8/GPIO9 bus used by BMI270. A controlled</w:t>
      </w:r>
      <w:r>
        <w:t xml:space="preserve"> </w:t>
      </w:r>
      <w:r>
        <w:t xml:space="preserve">contact-number and mating-cable drawing is not included, so verify the physical</w:t>
      </w:r>
      <w:r>
        <w:t xml:space="preserve"> </w:t>
      </w:r>
      <w:r>
        <w:t xml:space="preserve">orientation against controlled connector data when producing a harness.</w:t>
      </w:r>
    </w:p>
    <w:bookmarkEnd w:id="101"/>
    <w:bookmarkStart w:id="102" w:name="microsd-connector"/>
    <w:p>
      <w:pPr>
        <w:pStyle w:val="Heading3"/>
      </w:pPr>
      <w:r>
        <w:rPr>
          <w:bCs/>
          <w:b/>
        </w:rPr>
        <w:t xml:space="preserve">4.4 MicroSD Connector</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7</w:t>
            </w:r>
          </w:p>
        </w:tc>
        <w:tc>
          <w:tcPr/>
          <w:p>
            <w:pPr>
              <w:pStyle w:val="Compact"/>
              <w:jc w:val="left"/>
            </w:pPr>
            <w:r>
              <w:t xml:space="preserve">SDIO data 3 / SPI chip select</w:t>
            </w:r>
          </w:p>
        </w:tc>
      </w:tr>
      <w:tr>
        <w:tc>
          <w:tcPr/>
          <w:p>
            <w:pPr>
              <w:pStyle w:val="Compact"/>
              <w:jc w:val="left"/>
            </w:pPr>
            <w:r>
              <w:t xml:space="preserve">Detect</w:t>
            </w:r>
          </w:p>
        </w:tc>
        <w:tc>
          <w:tcPr/>
          <w:p>
            <w:pPr>
              <w:pStyle w:val="Compact"/>
              <w:jc w:val="right"/>
            </w:pPr>
            <w:r>
              <w:t xml:space="preserve">Dedicated socket contact</w:t>
            </w:r>
          </w:p>
        </w:tc>
        <w:tc>
          <w:tcPr/>
          <w:p>
            <w:pPr>
              <w:pStyle w:val="Compact"/>
              <w:jc w:val="left"/>
            </w:pPr>
            <w:r>
              <w:t xml:space="preserve">Card-detect handling depends on firmware routing</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shields</w:t>
            </w:r>
          </w:p>
        </w:tc>
        <w:tc>
          <w:tcPr/>
          <w:p>
            <w:pPr>
              <w:pStyle w:val="Compact"/>
              <w:jc w:val="right"/>
            </w:pPr>
            <w:r>
              <w:t xml:space="preserve">Ground</w:t>
            </w:r>
          </w:p>
        </w:tc>
        <w:tc>
          <w:tcPr/>
          <w:p>
            <w:pPr>
              <w:pStyle w:val="Compact"/>
              <w:jc w:val="left"/>
            </w:pPr>
            <w:r>
              <w:t xml:space="preserve">Return and mechanical shield</w:t>
            </w:r>
          </w:p>
        </w:tc>
      </w:tr>
    </w:tbl>
    <w:p>
      <w:pPr>
        <w:pStyle w:val="BodyText"/>
      </w:pPr>
      <w:r>
        <w:t xml:space="preserve">Insert and remove a card only when filesystem activity has stopped. Software</w:t>
      </w:r>
      <w:r>
        <w:t xml:space="preserve"> </w:t>
      </w:r>
      <w:r>
        <w:t xml:space="preserve">must flush and close files before power removal.</w:t>
      </w:r>
    </w:p>
    <w:bookmarkEnd w:id="102"/>
    <w:bookmarkStart w:id="103" w:name="battery-connections"/>
    <w:p>
      <w:pPr>
        <w:pStyle w:val="Heading3"/>
      </w:pPr>
      <w:r>
        <w:rPr>
          <w:bCs/>
          <w:b/>
        </w:rPr>
        <w:t xml:space="preserve">4.5 Battery Connections</w:t>
      </w:r>
    </w:p>
    <w:p>
      <w:pPr>
        <w:pStyle w:val="FirstParagraph"/>
      </w:pPr>
      <w:r>
        <w:t xml:space="preserve">JP1 is a two-position PH2.0 battery connector associated with</w:t>
      </w:r>
      <w:r>
        <w:t xml:space="preserve"> </w:t>
      </w:r>
      <w:r>
        <w:rPr>
          <w:rStyle w:val="VerbatimChar"/>
        </w:rPr>
        <w:t xml:space="preserve">VBAT</w:t>
      </w:r>
      <w:r>
        <w:t xml:space="preserve"> </w:t>
      </w:r>
      <w:r>
        <w:t xml:space="preserve">and the</w:t>
      </w:r>
      <w:r>
        <w:t xml:space="preserve"> </w:t>
      </w:r>
      <w:r>
        <w:t xml:space="preserve">battery return. Polarity markings are present on the bottom side. The</w:t>
      </w:r>
      <w:r>
        <w:t xml:space="preserve"> </w:t>
      </w:r>
      <w:r>
        <w:t xml:space="preserve">MCP73831 charge controller is designed for a single-cell Li-Ion/Li-Polymer</w:t>
      </w:r>
      <w:r>
        <w:t xml:space="preserve"> </w:t>
      </w:r>
      <w:r>
        <w:t xml:space="preserve">system, but the compatible cell, connector, polarity convention, charge</w:t>
      </w:r>
      <w:r>
        <w:t xml:space="preserve"> </w:t>
      </w:r>
      <w:r>
        <w:t xml:space="preserve">current, and operating range are not specified by the available module-level</w:t>
      </w:r>
      <w:r>
        <w:t xml:space="preserve"> </w:t>
      </w:r>
      <w:r>
        <w:t xml:space="preserve">documentation.</w:t>
      </w:r>
    </w:p>
    <w:p>
      <w:pPr>
        <w:pStyle w:val="BodyText"/>
      </w:pPr>
      <w:r>
        <w:t xml:space="preserve">Do not connect a battery based solely on connector fit. Reversed polarity or an</w:t>
      </w:r>
      <w:r>
        <w:t xml:space="preserve"> </w:t>
      </w:r>
      <w:r>
        <w:t xml:space="preserve">unsupported chemistry can damage the board or cell.</w:t>
      </w:r>
    </w:p>
    <w:bookmarkEnd w:id="103"/>
    <w:bookmarkStart w:id="104" w:name="hstx-22-pin-connector"/>
    <w:p>
      <w:pPr>
        <w:pStyle w:val="Heading3"/>
      </w:pPr>
      <w:r>
        <w:rPr>
          <w:bCs/>
          <w:b/>
        </w:rPr>
        <w:t xml:space="preserve">4.6 HSTX 22-pin Connector</w:t>
      </w:r>
    </w:p>
    <w:p>
      <w:pPr>
        <w:pStyle w:val="FirstParagraph"/>
      </w:pPr>
      <w:r>
        <w:t xml:space="preserve">J5 is a 22-position, 0.5 mm-pitch FFC/FPC connector. The schematic exposes</w:t>
      </w:r>
      <w:r>
        <w:t xml:space="preserve"> </w:t>
      </w:r>
      <w:r>
        <w:t xml:space="preserve">D0–D7 (GPIO12–GPIO19), A0/GPIO28, A1/GPIO29, GPIO24/SDA,</w:t>
      </w:r>
      <w:r>
        <w:t xml:space="preserve"> </w:t>
      </w:r>
      <w:r>
        <w:t xml:space="preserve">GPIO25/SCL, 3.3 V, and interleaved returns. HSTX video uses the eight</w:t>
      </w:r>
      <w:r>
        <w:t xml:space="preserve"> </w:t>
      </w:r>
      <w:r>
        <w:t xml:space="preserve">GPIO12–GPIO19 signals as four TMDS pairs.</w:t>
      </w:r>
    </w:p>
    <w:p>
      <w:pPr>
        <w:pStyle w:val="BodyText"/>
      </w:pPr>
      <w:r>
        <w:t xml:space="preserve">The flex-cable contact side, complete numbered contact table, cable length, and</w:t>
      </w:r>
      <w:r>
        <w:t xml:space="preserve"> </w:t>
      </w:r>
      <w:r>
        <w:t xml:space="preserve">display adapter are not specified by a controlled mechanical drawing. Do not infer pin</w:t>
      </w:r>
      <w:r>
        <w:t xml:space="preserve"> </w:t>
      </w:r>
      <w:r>
        <w:t xml:space="preserve">1 from an unannotated photograph.</w:t>
      </w:r>
    </w:p>
    <w:bookmarkEnd w:id="104"/>
    <w:bookmarkStart w:id="105" w:name="usb-c-boot-and-reset"/>
    <w:p>
      <w:pPr>
        <w:pStyle w:val="Heading3"/>
      </w:pPr>
      <w:r>
        <w:rPr>
          <w:bCs/>
          <w:b/>
        </w:rPr>
        <w:t xml:space="preserve">4.7 USB-C, BOOT, and Reset</w:t>
      </w:r>
    </w:p>
    <w:p>
      <w:pPr>
        <w:pStyle w:val="FirstParagraph"/>
      </w:pPr>
      <w:r>
        <w:t xml:space="preserve">The USB-C connector carries VBUS and the RP2350A USB data pair. The schematic</w:t>
      </w:r>
      <w:r>
        <w:t xml:space="preserve"> </w:t>
      </w:r>
      <w:r>
        <w:t xml:space="preserve">shows the required USB-C configuration resistors and ESD protection. USB is the</w:t>
      </w:r>
      <w:r>
        <w:t xml:space="preserve"> </w:t>
      </w:r>
      <w:r>
        <w:t xml:space="preserve">preferred programming and first-power interface.</w:t>
      </w:r>
    </w:p>
    <w:p>
      <w:pPr>
        <w:pStyle w:val="BodyText"/>
      </w:pPr>
      <w:r>
        <w:t xml:space="preserve">BOOT selects the ROM USB boot path used for firmware recovery or initial</w:t>
      </w:r>
      <w:r>
        <w:t xml:space="preserve"> </w:t>
      </w:r>
      <w:r>
        <w:t xml:space="preserve">programming. Reset restarts RP2350A while power remains applied. Exact button</w:t>
      </w:r>
      <w:r>
        <w:t xml:space="preserve"> </w:t>
      </w:r>
      <w:r>
        <w:t xml:space="preserve">timing depends on the selected toolchain, but the common sequence is to hold</w:t>
      </w:r>
      <w:r>
        <w:t xml:space="preserve"> </w:t>
      </w:r>
      <w:r>
        <w:t xml:space="preserve">BOOT while resetting or connecting USB, then release BOOT after enumeration.</w:t>
      </w:r>
    </w:p>
    <w:bookmarkEnd w:id="105"/>
    <w:bookmarkStart w:id="106" w:name="swd-and-test-pads"/>
    <w:p>
      <w:pPr>
        <w:pStyle w:val="Heading3"/>
      </w:pPr>
      <w:r>
        <w:rPr>
          <w:bCs/>
          <w:b/>
        </w:rPr>
        <w:t xml:space="preserve">4.8 SWD and Test Pads</w:t>
      </w:r>
    </w:p>
    <w:p>
      <w:pPr>
        <w:pStyle w:val="FirstParagraph"/>
      </w:pPr>
      <w:r>
        <w:t xml:space="preserve">Bottom-side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an</w:t>
      </w:r>
      <w:r>
        <w:t xml:space="preserve"> </w:t>
      </w:r>
      <w:r>
        <w:t xml:space="preserve">external debug probe. SWD supports firmware loading and source-level debug when</w:t>
      </w:r>
      <w:r>
        <w:t xml:space="preserve"> </w:t>
      </w:r>
      <w:r>
        <w:t xml:space="preserve">the toolchain and processor architecture are configured consistently.</w:t>
      </w:r>
    </w:p>
    <w:p>
      <w:pPr>
        <w:pStyle w:val="BodyText"/>
      </w:pPr>
      <w:r>
        <w:rPr>
          <w:bCs/>
          <w:b/>
        </w:rPr>
        <w:t xml:space="preserve">Silkscreen erratum:</w:t>
      </w:r>
      <w:r>
        <w:t xml:space="preserve"> </w:t>
      </w:r>
      <w:r>
        <w:t xml:space="preserve">The SWD</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are reversed. See</w:t>
      </w:r>
      <w:r>
        <w:t xml:space="preserve"> </w:t>
      </w:r>
      <w:r>
        <w:t xml:space="preserve">Section 9.6 for the corrected mapping before connecting a debug probe.</w:t>
      </w:r>
    </w:p>
    <w:p>
      <w:pPr>
        <w:pStyle w:val="BodyText"/>
      </w:pPr>
      <w:r>
        <w:t xml:space="preserve">Use short connections, share ground, and let the probe sense the target’s 3.3 V</w:t>
      </w:r>
      <w:r>
        <w:t xml:space="preserve"> </w:t>
      </w:r>
      <w:r>
        <w:t xml:space="preserve">rail. Do not use the reference pad to power the complete board unless the debug</w:t>
      </w:r>
      <w:r>
        <w:t xml:space="preserve"> </w:t>
      </w:r>
      <w:r>
        <w:t xml:space="preserve">probe is explicitly rated and the board power path permits it.</w:t>
      </w:r>
    </w:p>
    <w:bookmarkEnd w:id="106"/>
    <w:bookmarkEnd w:id="107"/>
    <w:bookmarkStart w:id="117"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8"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UNIT Pulsar RP2350A</w:t>
      </w:r>
      <w:r>
        <w:t xml:space="preserve"> </w:t>
      </w:r>
      <w:r>
        <w:t xml:space="preserve">or an installed PULSAR-specific board definition.</w:t>
      </w:r>
    </w:p>
    <w:p>
      <w:pPr>
        <w:numPr>
          <w:ilvl w:val="0"/>
          <w:numId w:val="1016"/>
        </w:numPr>
        <w:pStyle w:val="Compact"/>
      </w:pPr>
      <w:r>
        <w:t xml:space="preserve">Select the RP2350A chip variant,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8"/>
    <w:bookmarkStart w:id="109"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9"/>
    <w:bookmarkStart w:id="110"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0"/>
    <w:bookmarkStart w:id="111"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1"/>
    <w:bookmarkStart w:id="112"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2"/>
    <w:bookmarkStart w:id="113"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3"/>
    <w:bookmarkStart w:id="114"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4"/>
    <w:bookmarkStart w:id="115"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5"/>
    <w:bookmarkStart w:id="116"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6"/>
    <w:bookmarkEnd w:id="117"/>
    <w:bookmarkStart w:id="125"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20" w:name="component-side-envelope"/>
    <w:p>
      <w:pPr>
        <w:pStyle w:val="Heading3"/>
      </w:pPr>
      <w:r>
        <w:rPr>
          <w:bCs/>
          <w:b/>
        </w:rPr>
        <w:t xml:space="preserve">6.1 Component-side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top_v_1_3_0_pulsar_rp2350a.png" id="119"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20"/>
    <w:bookmarkStart w:id="123" w:name="bottom-side-envelope"/>
    <w:p>
      <w:pPr>
        <w:pStyle w:val="Heading3"/>
      </w:pPr>
      <w:r>
        <w:rPr>
          <w:bCs/>
          <w:b/>
        </w:rPr>
        <w:t xml:space="preserve">6.2 Bottom-side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btm_v_1_3_0_pulsar_rp2350a.png" id="122"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3"/>
    <w:bookmarkStart w:id="124"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4"/>
    <w:bookmarkEnd w:id="125"/>
    <w:bookmarkStart w:id="127"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6">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27"/>
    <w:bookmarkStart w:id="135"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28">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29">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0">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31">
              <w:r>
                <w:rPr>
                  <w:rStyle w:val="Hyperlink"/>
                </w:rPr>
                <w:t xml:space="preserve">Setup guide</w:t>
              </w:r>
            </w:hyperlink>
          </w:p>
        </w:tc>
      </w:tr>
      <w:tr>
        <w:tc>
          <w:tcPr/>
          <w:p>
            <w:pPr>
              <w:pStyle w:val="Compact"/>
              <w:jc w:val="left"/>
            </w:pPr>
            <w:r>
              <w:t xml:space="preserve">C++ examples</w:t>
            </w:r>
          </w:p>
        </w:tc>
        <w:tc>
          <w:tcPr/>
          <w:p>
            <w:pPr>
              <w:pStyle w:val="Compact"/>
              <w:jc w:val="left"/>
            </w:pPr>
            <w:hyperlink r:id="rId132">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3">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4">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5"/>
    <w:bookmarkStart w:id="154" w:name="appendix"/>
    <w:p>
      <w:pPr>
        <w:pStyle w:val="Heading2"/>
      </w:pPr>
      <w:r>
        <w:rPr>
          <w:bCs/>
          <w:b/>
        </w:rPr>
        <w:t xml:space="preserve">9 Appendix</w:t>
      </w:r>
    </w:p>
    <w:bookmarkStart w:id="148"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39"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37" name="Picture"/>
            <a:graphic>
              <a:graphicData uri="http://schemas.openxmlformats.org/drawingml/2006/picture">
                <pic:pic>
                  <pic:nvPicPr>
                    <pic:cNvPr descr="hardware/resources/unit_schematic_v_1_3_0_pulsar_rp2350a_sheet_1.png" id="138" name="Picture"/>
                    <pic:cNvPicPr>
                      <a:picLocks noChangeArrowheads="1" noChangeAspect="1"/>
                    </pic:cNvPicPr>
                  </pic:nvPicPr>
                  <pic:blipFill>
                    <a:blip r:embed="rId136"/>
                    <a:stretch>
                      <a:fillRect/>
                    </a:stretch>
                  </pic:blipFill>
                  <pic:spPr bwMode="auto">
                    <a:xfrm>
                      <a:off x="0" y="0"/>
                      <a:ext cx="6108700" cy="4720359"/>
                    </a:xfrm>
                    <a:prstGeom prst="rect">
                      <a:avLst/>
                    </a:prstGeom>
                    <a:noFill/>
                    <a:ln w="9525">
                      <a:noFill/>
                      <a:headEnd/>
                      <a:tailEnd/>
                    </a:ln>
                  </pic:spPr>
                </pic:pic>
              </a:graphicData>
            </a:graphic>
          </wp:inline>
        </w:drawing>
      </w:r>
    </w:p>
    <w:bookmarkEnd w:id="139"/>
    <w:bookmarkStart w:id="143"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1" name="Picture"/>
            <a:graphic>
              <a:graphicData uri="http://schemas.openxmlformats.org/drawingml/2006/picture">
                <pic:pic>
                  <pic:nvPicPr>
                    <pic:cNvPr descr="hardware/resources/unit_schematic_v_1_3_0_pulsar_rp2350a_sheet_2.png" id="142" name="Picture"/>
                    <pic:cNvPicPr>
                      <a:picLocks noChangeArrowheads="1" noChangeAspect="1"/>
                    </pic:cNvPicPr>
                  </pic:nvPicPr>
                  <pic:blipFill>
                    <a:blip r:embed="rId140"/>
                    <a:stretch>
                      <a:fillRect/>
                    </a:stretch>
                  </pic:blipFill>
                  <pic:spPr bwMode="auto">
                    <a:xfrm>
                      <a:off x="0" y="0"/>
                      <a:ext cx="6108700" cy="4720359"/>
                    </a:xfrm>
                    <a:prstGeom prst="rect">
                      <a:avLst/>
                    </a:prstGeom>
                    <a:noFill/>
                    <a:ln w="9525">
                      <a:noFill/>
                      <a:headEnd/>
                      <a:tailEnd/>
                    </a:ln>
                  </pic:spPr>
                </pic:pic>
              </a:graphicData>
            </a:graphic>
          </wp:inline>
        </w:drawing>
      </w:r>
    </w:p>
    <w:bookmarkEnd w:id="143"/>
    <w:bookmarkStart w:id="147" w:name="v-regulator"/>
    <w:p>
      <w:pPr>
        <w:pStyle w:val="Heading4"/>
      </w:pPr>
      <w:r>
        <w:rPr>
          <w:bCs/>
          <w:b/>
        </w:rPr>
        <w:t xml:space="preserve">9.1.3 3.3 V Regulator</w:t>
      </w:r>
    </w:p>
    <w:p>
      <w:pPr>
        <w:pStyle w:val="FirstParagraph"/>
      </w:pPr>
      <w:r>
        <w:drawing>
          <wp:inline>
            <wp:extent cx="6108700" cy="4720359"/>
            <wp:effectExtent b="0" l="0" r="0" t="0"/>
            <wp:docPr descr="" title="" id="145" name="Picture"/>
            <a:graphic>
              <a:graphicData uri="http://schemas.openxmlformats.org/drawingml/2006/picture">
                <pic:pic>
                  <pic:nvPicPr>
                    <pic:cNvPr descr="hardware/resources/unit_schematic_v_1_3_0_pulsar_rp2350a_sheet_3.png" id="146" name="Picture"/>
                    <pic:cNvPicPr>
                      <a:picLocks noChangeArrowheads="1" noChangeAspect="1"/>
                    </pic:cNvPicPr>
                  </pic:nvPicPr>
                  <pic:blipFill>
                    <a:blip r:embed="rId144"/>
                    <a:stretch>
                      <a:fillRect/>
                    </a:stretch>
                  </pic:blipFill>
                  <pic:spPr bwMode="auto">
                    <a:xfrm>
                      <a:off x="0" y="0"/>
                      <a:ext cx="6108700" cy="4720359"/>
                    </a:xfrm>
                    <a:prstGeom prst="rect">
                      <a:avLst/>
                    </a:prstGeom>
                    <a:noFill/>
                    <a:ln w="9525">
                      <a:noFill/>
                      <a:headEnd/>
                      <a:tailEnd/>
                    </a:ln>
                  </pic:spPr>
                </pic:pic>
              </a:graphicData>
            </a:graphic>
          </wp:inline>
        </w:drawing>
      </w:r>
    </w:p>
    <w:bookmarkEnd w:id="147"/>
    <w:bookmarkEnd w:id="148"/>
    <w:bookmarkStart w:id="149"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49"/>
    <w:bookmarkStart w:id="150"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50"/>
    <w:bookmarkStart w:id="151"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51"/>
    <w:bookmarkStart w:id="152"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52"/>
    <w:bookmarkStart w:id="153" w:name="hardware-errata"/>
    <w:p>
      <w:pPr>
        <w:pStyle w:val="Heading3"/>
      </w:pPr>
      <w:r>
        <w:rPr>
          <w:bCs/>
          <w:b/>
        </w:rPr>
        <w:t xml:space="preserve">9.6 Hardware Errata</w:t>
      </w:r>
    </w:p>
    <w:p>
      <w:pPr>
        <w:pStyle w:val="FirstParagraph"/>
      </w:pPr>
      <w:r>
        <w:rPr>
          <w:bCs/>
          <w:b/>
        </w:rPr>
        <w:t xml:space="preserve">SWD connector: reversed VCC and GND silkscreen labels.</w:t>
      </w:r>
      <w:r>
        <w:t xml:space="preserve"> </w:t>
      </w:r>
      <w:r>
        <w:t xml:space="preserve">The</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printed beside the SWD pads on the UNIT PULSAR RP2350 board are swapped.</w:t>
      </w:r>
      <w:r>
        <w:t xml:space="preserve"> </w:t>
      </w:r>
      <w:r>
        <w:t xml:space="preserve">Use the following corrected mapping when connecting a debug probe: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Printed silkscreen label</w:t>
            </w:r>
          </w:p>
        </w:tc>
        <w:tc>
          <w:tcPr/>
          <w:p>
            <w:pPr>
              <w:pStyle w:val="Compact"/>
              <w:jc w:val="left"/>
            </w:pPr>
            <w:r>
              <w:t xml:space="preserve">Actual electrical connection</w:t>
            </w:r>
          </w:p>
        </w:tc>
      </w:tr>
      <w:tr>
        <w:tc>
          <w:tcPr/>
          <w:p>
            <w:pPr>
              <w:pStyle w:val="Compact"/>
              <w:jc w:val="left"/>
            </w:pPr>
            <w:r>
              <w:rPr>
                <w:rStyle w:val="VerbatimChar"/>
              </w:rPr>
              <w:t xml:space="preserve">VCC</w:t>
            </w:r>
          </w:p>
        </w:tc>
        <w:tc>
          <w:tcPr/>
          <w:p>
            <w:pPr>
              <w:pStyle w:val="Compact"/>
              <w:jc w:val="left"/>
            </w:pPr>
            <w:r>
              <w:rPr>
                <w:rStyle w:val="VerbatimChar"/>
              </w:rPr>
              <w:t xml:space="preserve">GND</w:t>
            </w:r>
            <w:r>
              <w:t xml:space="preserve"> </w:t>
            </w:r>
            <w:r>
              <w:t xml:space="preserve">(ground)</w:t>
            </w:r>
          </w:p>
        </w:tc>
      </w:tr>
      <w:tr>
        <w:tc>
          <w:tcPr/>
          <w:p>
            <w:pPr>
              <w:pStyle w:val="Compact"/>
              <w:jc w:val="left"/>
            </w:pPr>
            <w:r>
              <w:rPr>
                <w:rStyle w:val="VerbatimChar"/>
              </w:rPr>
              <w:t xml:space="preserve">GND</w:t>
            </w:r>
          </w:p>
        </w:tc>
        <w:tc>
          <w:tcPr/>
          <w:p>
            <w:pPr>
              <w:pStyle w:val="Compact"/>
              <w:jc w:val="left"/>
            </w:pPr>
            <w:r>
              <w:rPr>
                <w:rStyle w:val="VerbatimChar"/>
              </w:rPr>
              <w:t xml:space="preserve">VCC</w:t>
            </w:r>
            <w:r>
              <w:t xml:space="preserve"> </w:t>
            </w:r>
            <w:r>
              <w:t xml:space="preserve">(3.3 V reference)</w:t>
            </w:r>
          </w:p>
        </w:tc>
      </w:tr>
    </w:tbl>
    <w:p>
      <w:pPr>
        <w:pStyle w:val="BodyText"/>
      </w:pPr>
      <w:r>
        <w:t xml:space="preserve">Verify the pad connections against the schematic before applying power.</w:t>
      </w:r>
      <w:r>
        <w:t xml:space="preserve"> </w:t>
      </w:r>
      <w:r>
        <w:t xml:space="preserve">Following the incorrect silkscreen labels reverses VCC and GND and may damage</w:t>
      </w:r>
      <w:r>
        <w:t xml:space="preserve"> </w:t>
      </w:r>
      <w:r>
        <w:t xml:space="preserve">the board or the debug probe. Follow the SWD connection guidance in Section 4.8.</w:t>
      </w:r>
    </w:p>
    <w:bookmarkEnd w:id="153"/>
    <w:bookmarkEnd w:id="154"/>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4" Target="media/rId84.jpg" /><Relationship Type="http://schemas.openxmlformats.org/officeDocument/2006/relationships/image" Id="rId57" Target="media/rId57.jp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 SENSE</dc:title>
  <dc:creator>UNIT Electronics</dc:creator>
  <dc:language>en-US</dc:language>
  <cp:keywords/>
  <dcterms:created xsi:type="dcterms:W3CDTF">2026-09-21T21:09:36Z</dcterms:created>
  <dcterms:modified xsi:type="dcterms:W3CDTF">2026-09-21T21:09:36Z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mpn">
    <vt:lpwstr>UE0103</vt:lpwstr>
  </property>
  <property fmtid="{D5CDD505-2E9C-101B-9397-08002B2CF9AE}" pid="5" name="subtitle">
    <vt:lpwstr>Product Reference Manual</vt:lpwstr>
  </property>
  <property fmtid="{D5CDD505-2E9C-101B-9397-08002B2CF9AE}" pid="6" name="toc-title">
    <vt:lpwstr>Contents</vt:lpwstr>
  </property>
  <property fmtid="{D5CDD505-2E9C-101B-9397-08002B2CF9AE}" pid="7" name="version">
    <vt:lpwstr>0.1.0</vt:lpwstr>
  </property>
</Properties>
</file>