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 {.section-page}</w:t>
      </w:r>
    </w:p>
    <w:p>
      <w:pPr>
        <w:numPr>
          <w:ilvl w:val="1"/>
          <w:numId w:val="1006"/>
        </w:numPr>
        <w:pStyle w:val="Compact"/>
      </w:pPr>
      <w:r>
        <w:t xml:space="preserve">4.6 HSTX 22-pin Connector {.section-page}</w:t>
      </w:r>
    </w:p>
    <w:p>
      <w:pPr>
        <w:numPr>
          <w:ilvl w:val="1"/>
          <w:numId w:val="1006"/>
        </w:numPr>
        <w:pStyle w:val="Compact"/>
      </w:pPr>
      <w:r>
        <w:t xml:space="preserve">4.7 USB-C, BOOT, and Reset {.section-page}</w:t>
      </w:r>
    </w:p>
    <w:p>
      <w:pPr>
        <w:numPr>
          <w:ilvl w:val="1"/>
          <w:numId w:val="1006"/>
        </w:numPr>
        <w:pStyle w:val="Compact"/>
      </w:pPr>
      <w:r>
        <w:t xml:space="preserve">4.8 SWD and Debug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onboard 47309-2651 microSD socket is connected to a complete four-bit SDIO signal group and operates in the 3.3 V logic domain.</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UNIT Electronics Wiki provides microSD examples using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including card initialization, file creation and reading, directory enumeration, and data logging.</w:t>
      </w:r>
    </w:p>
    <w:p>
      <w:pPr>
        <w:pStyle w:val="BodyText"/>
      </w:pPr>
      <w:r>
        <w:t xml:space="preserve">Software with four-bit SDIO support can additionally use</w:t>
      </w:r>
      <w:r>
        <w:t xml:space="preserve"> </w:t>
      </w:r>
      <w:r>
        <w:rPr>
          <w:rStyle w:val="VerbatimChar"/>
        </w:rPr>
        <w:t xml:space="preserve">SDIO_DAT1</w:t>
      </w:r>
      <w:r>
        <w:t xml:space="preserve"> </w:t>
      </w:r>
      <w:r>
        <w:t xml:space="preserve">and</w:t>
      </w:r>
      <w:r>
        <w:t xml:space="preserve"> </w:t>
      </w:r>
      <w:r>
        <w:rPr>
          <w:rStyle w:val="VerbatimChar"/>
        </w:rPr>
        <w:t xml:space="preserve">SDIO_DAT2</w:t>
      </w:r>
      <w:r>
        <w:t xml:space="preserve">, allowing the complete SDIO interface provided by the hardware to be used.</w:t>
      </w:r>
    </w:p>
    <w:p>
      <w:pPr>
        <w:pStyle w:val="BodyText"/>
      </w:pPr>
      <w:r>
        <w:t xml:space="preserve">File writes should be flushed and closed before card extraction or power removal to reduce the risk of filesystem corruption.</w:t>
      </w:r>
    </w:p>
    <w:p>
      <w:pPr>
        <w:pStyle w:val="BodyText"/>
      </w:pPr>
      <w:r>
        <w:t xml:space="preserve">Card capacity, speed class, and filesystem support depend on the software environment and microSD card used. FAT32 is recommended for the examples provided in the UNIT Electronics Wiki.</w:t>
      </w:r>
    </w:p>
    <w:bookmarkEnd w:id="75"/>
    <w:bookmarkStart w:id="82" w:name="led-indicators"/>
    <w:p>
      <w:pPr>
        <w:pStyle w:val="Heading3"/>
      </w:pPr>
      <w:r>
        <w:rPr>
          <w:bCs/>
          <w:b/>
        </w:rPr>
        <w:t xml:space="preserve">3.7 LED Indicators</w:t>
      </w:r>
    </w:p>
    <w:p>
      <w:pPr>
        <w:pStyle w:val="FirstParagraph"/>
      </w:pPr>
      <w:r>
        <w:t xml:space="preserve">Three XL-1010RGBC-WS2812B addressable RGB LEDs form a serial chain driven by GPIO1. Firmware transmits an ordered color frame through the chain, allowing the three onboard pixels to provide status indication, progress animation, and user feedback from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w:t>
      </w:r>
      <w:r>
        <w:t xml:space="preserve"> </w:t>
      </w:r>
      <w:r>
        <w:rPr>
          <w:rStyle w:val="VerbatimChar"/>
        </w:rPr>
        <w:t xml:space="preserve">RGB_PAD</w:t>
      </w:r>
      <w:r>
        <w:t xml:space="preserve"> </w:t>
      </w:r>
      <w:r>
        <w:t xml:space="preserve">solder jumper can connect the data output of the third onboard RGB LED to the castellated header. When this jumper is closed, the onboard RGB chain can be extended with compatible external addressable RGB LEDs.</w:t>
      </w:r>
    </w:p>
    <w:p>
      <w:pPr>
        <w:pStyle w:val="BodyText"/>
      </w:pPr>
      <w:r>
        <w:t xml:space="preserve">The board also includes a user indicator on GPIO22 (</w:t>
      </w:r>
      <w:r>
        <w:rPr>
          <w:rStyle w:val="VerbatimChar"/>
        </w:rPr>
        <w:t xml:space="preserve">D13</w:t>
      </w:r>
      <w:r>
        <w:t xml:space="preserve"> </w:t>
      </w:r>
      <w:r>
        <w:t xml:space="preserve">/</w:t>
      </w:r>
      <w:r>
        <w:t xml:space="preserve"> </w:t>
      </w:r>
      <w:r>
        <w:rPr>
          <w:rStyle w:val="VerbatimChar"/>
        </w:rPr>
        <w:t xml:space="preserve">BUILTIN1</w:t>
      </w:r>
      <w:r>
        <w:t xml:space="preserve">), a power indicator, and a battery charge-status indicator. The user LED and RGB LEDs are firmware-controlled. The power indicator follows the corresponding power rail, while the charge-status indicator is controlled by the MCP73831</w:t>
      </w:r>
      <w:r>
        <w:t xml:space="preserve"> </w:t>
      </w:r>
      <w:r>
        <w:rPr>
          <w:rStyle w:val="VerbatimChar"/>
        </w:rPr>
        <w:t xml:space="preserve">STAT</w:t>
      </w:r>
      <w:r>
        <w:t xml:space="preserve"> </w:t>
      </w:r>
      <w:r>
        <w:t xml:space="preserve">output.</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when power consumption or thermal rise is important. RGB LED control is independent of the HSTX video interface.</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regulator. It converts the</w:t>
      </w:r>
      <w:r>
        <w:t xml:space="preserve"> </w:t>
      </w:r>
      <w:r>
        <w:rPr>
          <w:rStyle w:val="VerbatimChar"/>
        </w:rPr>
        <w:t xml:space="preserve">VSYS</w:t>
      </w:r>
      <w:r>
        <w:t xml:space="preserve"> </w:t>
      </w:r>
      <w:r>
        <w:t xml:space="preserve">rail into the regulated 3.3 V logic domain used by the RP2350A, external memories, sensors, indicators, microSD interface, and QWIIC connector. The regulator supports up to 600 mA total output current, shared between the onboard circuitry and any external load connected to the 3.3 V rail.</w:t>
      </w:r>
    </w:p>
    <w:p>
      <w:pPr>
        <w:pStyle w:val="BodyText"/>
      </w:pPr>
      <w:r>
        <w:t xml:space="preserve">The AP2112K</w:t>
      </w:r>
      <w:r>
        <w:t xml:space="preserve"> </w:t>
      </w:r>
      <w:r>
        <w:rPr>
          <w:rStyle w:val="VerbatimChar"/>
        </w:rPr>
        <w:t xml:space="preserve">EN</w:t>
      </w:r>
      <w:r>
        <w:t xml:space="preserve"> </w:t>
      </w:r>
      <w:r>
        <w:t xml:space="preserve">signal controls the 3.3 V regulator. The corresponding castellated-header position is labeled</w:t>
      </w:r>
      <w:r>
        <w:t xml:space="preserve"> </w:t>
      </w:r>
      <w:r>
        <w:rPr>
          <w:rStyle w:val="VerbatimChar"/>
        </w:rPr>
        <w:t xml:space="preserve">3EN</w:t>
      </w:r>
      <w:r>
        <w:t xml:space="preserve"> </w:t>
      </w:r>
      <w:r>
        <w:t xml:space="preserve">on the PCB. The</w:t>
      </w:r>
      <w:r>
        <w:t xml:space="preserve"> </w:t>
      </w:r>
      <w:r>
        <w:rPr>
          <w:rStyle w:val="VerbatimChar"/>
        </w:rPr>
        <w:t xml:space="preserve">EN_PAD</w:t>
      </w:r>
      <w:r>
        <w:t xml:space="preserve"> </w:t>
      </w:r>
      <w:r>
        <w:t xml:space="preserve">solder jumper connects the regulator</w:t>
      </w:r>
      <w:r>
        <w:t xml:space="preserve"> </w:t>
      </w:r>
      <w:r>
        <w:rPr>
          <w:rStyle w:val="VerbatimChar"/>
        </w:rPr>
        <w:t xml:space="preserve">EN</w:t>
      </w:r>
      <w:r>
        <w:t xml:space="preserve"> </w:t>
      </w:r>
      <w:r>
        <w:t xml:space="preserve">signal to the</w:t>
      </w:r>
      <w:r>
        <w:t xml:space="preserve"> </w:t>
      </w:r>
      <w:r>
        <w:rPr>
          <w:rStyle w:val="VerbatimChar"/>
        </w:rPr>
        <w:t xml:space="preserve">3EN</w:t>
      </w:r>
      <w:r>
        <w:t xml:space="preserve"> </w:t>
      </w:r>
      <w:r>
        <w:t xml:space="preserve">castellated-header position, allowing external control of the 3.3 V regulator when the jumper is closed.</w:t>
      </w:r>
    </w:p>
    <w:p>
      <w:pPr>
        <w:pStyle w:val="BodyText"/>
      </w:pPr>
      <w:r>
        <w:t xml:space="preserve">IC2 is an MCP73831T-2ACI/OT single-cell Li-Ion/LiPo battery charge controller. Hardware V1.3.0 is configured for a nominal charge current of 200 mA. The charge current is established by the PROG resistor and may be modified by changing this resistor according to the MCP73831 configuration requirements.</w:t>
      </w:r>
    </w:p>
    <w:p>
      <w:pPr>
        <w:pStyle w:val="BodyText"/>
      </w:pPr>
      <w:r>
        <w:t xml:space="preserve">The battery input is intended for a single-cell LiPo battery with a nominal voltage of 3.7 V and a maximum fully charged voltage of 4.2 V. The battery path includes reverse-polarity protection.</w:t>
      </w:r>
    </w:p>
    <w:p>
      <w:pPr>
        <w:pStyle w:val="BodyText"/>
      </w:pPr>
      <w:r>
        <w:t xml:space="preserve">The</w:t>
      </w:r>
      <w:r>
        <w:t xml:space="preserve"> </w:t>
      </w:r>
      <w:r>
        <w:rPr>
          <w:rStyle w:val="VerbatimChar"/>
        </w:rPr>
        <w:t xml:space="preserve">VBAT_PAD</w:t>
      </w:r>
      <w:r>
        <w:t xml:space="preserve"> </w:t>
      </w:r>
      <w:r>
        <w:t xml:space="preserve">solder jumper allows the battery rail to be connected to the castellated header. When closed, the battery voltage can be accessed directly from the corresponding header position for external circuitry.</w:t>
      </w:r>
    </w:p>
    <w:p>
      <w:pPr>
        <w:pStyle w:val="BodyText"/>
      </w:pPr>
      <w:r>
        <w:t xml:space="preserve">The board power-path circuitry combines USB,</w:t>
      </w:r>
      <w:r>
        <w:t xml:space="preserve"> </w:t>
      </w:r>
      <w:r>
        <w:rPr>
          <w:rStyle w:val="VerbatimChar"/>
        </w:rPr>
        <w:t xml:space="preserve">VIN</w:t>
      </w:r>
      <w:r>
        <w:t xml:space="preserve">, battery,</w:t>
      </w:r>
      <w:r>
        <w:t xml:space="preserve"> </w:t>
      </w:r>
      <w:r>
        <w:rPr>
          <w:rStyle w:val="VerbatimChar"/>
        </w:rPr>
        <w:t xml:space="preserve">VSYS</w:t>
      </w:r>
      <w:r>
        <w:t xml:space="preserve">, and the regulated 3.3 V domain. Schottky diodes and MOSFETs provide source routing and battery protection according to the implemented hardware design.</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power tree summarizes the main supply domains and their relationship within the UNIT PULSAR RP2350A. It is intended as a functional reference and does not replace the complete schematic.</w:t>
      </w:r>
    </w:p>
    <w:p>
      <w:pPr>
        <w:pStyle w:val="BodyText"/>
      </w:pPr>
      <w:r>
        <w:t xml:space="preserve">The board can be powered from USB-C,</w:t>
      </w:r>
      <w:r>
        <w:t xml:space="preserve"> </w:t>
      </w:r>
      <w:r>
        <w:rPr>
          <w:rStyle w:val="VerbatimChar"/>
        </w:rPr>
        <w:t xml:space="preserve">VIN</w:t>
      </w:r>
      <w:r>
        <w:t xml:space="preserve">, or a single-cell LiPo battery. These sources are routed through the onboard power-path circuitry to the</w:t>
      </w:r>
      <w:r>
        <w:t xml:space="preserve"> </w:t>
      </w:r>
      <w:r>
        <w:rPr>
          <w:rStyle w:val="VerbatimChar"/>
        </w:rPr>
        <w:t xml:space="preserve">VSYS</w:t>
      </w:r>
      <w:r>
        <w:t xml:space="preserve"> </w:t>
      </w:r>
      <w:r>
        <w:t xml:space="preserve">domain. The AP2112K-3.3 then generates the regulated 3.3 V rail used by the RP2350A and onboard peripherals.</w:t>
      </w:r>
    </w:p>
    <w:p>
      <w:pPr>
        <w:pStyle w:val="BodyText"/>
      </w:pPr>
      <w:r>
        <w:t xml:space="preserve">The 3.3 V rail is also available through the castellated headers and QWIIC connector. The AP2112K provides up to 600 mA total output current. This current is shared between the RP2350A, memories, sensors, LEDs, microSD interface, and externally connected 3.3 V devices.</w:t>
      </w:r>
    </w:p>
    <w:p>
      <w:pPr>
        <w:pStyle w:val="BodyText"/>
      </w:pPr>
      <w:r>
        <w:t xml:space="preserve">The current available to external loads therefore depends on the active onboard circuitry and application workload. The total 3.3 V load must remain within the regulator output capability.</w:t>
      </w:r>
    </w:p>
    <w:p>
      <w:pPr>
        <w:pStyle w:val="BodyText"/>
      </w:pPr>
      <w:r>
        <w:t xml:space="preserve">The</w:t>
      </w:r>
      <w:r>
        <w:t xml:space="preserve"> </w:t>
      </w:r>
      <w:r>
        <w:rPr>
          <w:rStyle w:val="VerbatimChar"/>
        </w:rPr>
        <w:t xml:space="preserve">VBAT_PAD</w:t>
      </w:r>
      <w:r>
        <w:t xml:space="preserve"> </w:t>
      </w:r>
      <w:r>
        <w:t xml:space="preserve">and</w:t>
      </w:r>
      <w:r>
        <w:t xml:space="preserve"> </w:t>
      </w:r>
      <w:r>
        <w:rPr>
          <w:rStyle w:val="VerbatimChar"/>
        </w:rPr>
        <w:t xml:space="preserve">EN_PAD</w:t>
      </w:r>
      <w:r>
        <w:t xml:space="preserve"> </w:t>
      </w:r>
      <w:r>
        <w:t xml:space="preserve">solder jumpers provide optional access to the battery rail and regulator-enable control through the castellated headers.</w:t>
      </w:r>
    </w:p>
    <w:bookmarkEnd w:id="87"/>
    <w:bookmarkStart w:id="88" w:name="bmi270-motion-sensor"/>
    <w:p>
      <w:pPr>
        <w:pStyle w:val="Heading3"/>
      </w:pPr>
      <w:r>
        <w:rPr>
          <w:bCs/>
          <w:b/>
        </w:rPr>
        <w:t xml:space="preserve">3.10 BMI270 Motion Sensor</w:t>
      </w:r>
    </w:p>
    <w:p>
      <w:pPr>
        <w:pStyle w:val="FirstParagraph"/>
      </w:pPr>
      <w:r>
        <w:t xml:space="preserve">The onboard BMI270 combines a three-axis accelerometer and three-axis gyroscope. It is connected to GPIO8 (</w:t>
      </w:r>
      <w:r>
        <w:rPr>
          <w:rStyle w:val="VerbatimChar"/>
        </w:rPr>
        <w:t xml:space="preserve">SDA</w:t>
      </w:r>
      <w:r>
        <w:t xml:space="preserve">) and GPIO9 (</w:t>
      </w:r>
      <w:r>
        <w:rPr>
          <w:rStyle w:val="VerbatimChar"/>
        </w:rPr>
        <w:t xml:space="preserve">SCL</w:t>
      </w:r>
      <w:r>
        <w:t xml:space="preserve">) on the internal I2C bus. Firmware can detect the sensor through its supported I2C address configuration and read acceleration and angular-rate data.</w:t>
      </w:r>
    </w:p>
    <w:p>
      <w:pPr>
        <w:pStyle w:val="BodyText"/>
      </w:pPr>
      <w:r>
        <w:t xml:space="preserve">The</w:t>
      </w:r>
      <w:r>
        <w:t xml:space="preserve"> </w:t>
      </w:r>
      <w:r>
        <w:rPr>
          <w:rStyle w:val="VerbatimChar"/>
        </w:rPr>
        <w:t xml:space="preserve">INT_PAD</w:t>
      </w:r>
      <w:r>
        <w:t xml:space="preserve"> </w:t>
      </w:r>
      <w:r>
        <w:t xml:space="preserve">solder jumper provides an optional hardware interrupt connection between the BMI270 and GPIO12 of the RP2350A. When the jumper is closed, BMI270 interrupt events can be routed directly to GPIO12 for interrupt-driven applications without continuous polling.</w:t>
      </w:r>
    </w:p>
    <w:p>
      <w:pPr>
        <w:pStyle w:val="BodyText"/>
      </w:pPr>
      <w:r>
        <w:t xml:space="preserve">Typical applications include orientation interfaces, motion-triggered logging, gesture input, vibration monitoring, and motion-controlled graphics or user interfaces.</w:t>
      </w:r>
    </w:p>
    <w:p>
      <w:pPr>
        <w:pStyle w:val="BodyText"/>
      </w:pPr>
      <w:r>
        <w:t xml:space="preserve">Measurement range, filtering, output data rate, interrupt source, and interrupt behavior are configured through the BMI270 registers or software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connected to the RP2350A through a PDM interface. The RP2350A supplies the PDM clock on GPIO10 and receives the microphone data stream on GPIO11.</w:t>
      </w:r>
    </w:p>
    <w:p>
      <w:pPr>
        <w:pStyle w:val="BodyText"/>
      </w:pPr>
      <w:r>
        <w:t xml:space="preserve">The software PDM interface clocks the microphone and converts the PDM stream into PCM sample buffers for audio analysis, visualization, recording,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microphone is mounted on the top side of the board, while its acoustic port is exposed through an opening in the PCB and is accessible from the bottom side.</w:t>
      </w:r>
    </w:p>
    <w:p>
      <w:pPr>
        <w:pStyle w:val="BodyText"/>
      </w:pPr>
      <w:r>
        <w:t xml:space="preserve">The acoustic port must remain unobstructed. Enclosures, adhesive, dust, contamination, or mounting surfaces covering the port can affect acoustic performance.</w:t>
      </w:r>
    </w:p>
    <w:p>
      <w:pPr>
        <w:pStyle w:val="BodyText"/>
      </w:pPr>
      <w:r>
        <w:t xml:space="preserve">Microphone sampling configuration and digital filtering are software-dependent. Final acoustic performance can also be affected by enclosure geometry and the mechanical integration of the board.</w:t>
      </w:r>
    </w:p>
    <w:p>
      <w:pPr>
        <w:pStyle w:val="BodyText"/>
      </w:pPr>
      <w:r>
        <w:t xml:space="preserve">The UNIT Electronics Wiki provides software examples for PDM microphone initialization, audio acquisition, and processing.</w:t>
      </w:r>
    </w:p>
    <w:bookmarkEnd w:id="92"/>
    <w:bookmarkStart w:id="96" w:name="i2c-and-qwiic-expansion"/>
    <w:p>
      <w:pPr>
        <w:pStyle w:val="Heading3"/>
      </w:pPr>
      <w:r>
        <w:rPr>
          <w:bCs/>
          <w:b/>
        </w:rPr>
        <w:t xml:space="preserve">3.12 I2C and QWIIC Expansion</w:t>
      </w:r>
    </w:p>
    <w:p>
      <w:pPr>
        <w:pStyle w:val="FirstParagraph"/>
      </w:pPr>
      <w:r>
        <w:t xml:space="preserve">The UNIT PULSAR RP2350A provides two independent I2C routes, allowing the onboard motion sensor and external QWIIC devices to operate on separate buses.</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Interface</w:t>
            </w:r>
          </w:p>
        </w:tc>
        <w:tc>
          <w:tcPr/>
          <w:p>
            <w:pPr>
              <w:pStyle w:val="Compact"/>
              <w:jc w:val="right"/>
            </w:pPr>
            <w:r>
              <w:t xml:space="preserve">SDA</w:t>
            </w:r>
          </w:p>
        </w:tc>
        <w:tc>
          <w:tcPr/>
          <w:p>
            <w:pPr>
              <w:pStyle w:val="Compact"/>
              <w:jc w:val="right"/>
            </w:pPr>
            <w:r>
              <w:t xml:space="preserve">SCL</w:t>
            </w:r>
          </w:p>
        </w:tc>
        <w:tc>
          <w:tcPr/>
          <w:p>
            <w:pPr>
              <w:pStyle w:val="Compact"/>
              <w:jc w:val="left"/>
            </w:pPr>
            <w:r>
              <w:t xml:space="preserve">Primary use</w:t>
            </w:r>
          </w:p>
        </w:tc>
      </w:tr>
      <w:tr>
        <w:tc>
          <w:tcPr/>
          <w:p>
            <w:pPr>
              <w:pStyle w:val="Compact"/>
              <w:jc w:val="left"/>
            </w:pPr>
            <w:r>
              <w:t xml:space="preserve">Internal I2C</w:t>
            </w:r>
          </w:p>
        </w:tc>
        <w:tc>
          <w:tcPr/>
          <w:p>
            <w:pPr>
              <w:pStyle w:val="Compact"/>
              <w:jc w:val="right"/>
            </w:pPr>
            <w:r>
              <w:t xml:space="preserve">GPIO8</w:t>
            </w:r>
          </w:p>
        </w:tc>
        <w:tc>
          <w:tcPr/>
          <w:p>
            <w:pPr>
              <w:pStyle w:val="Compact"/>
              <w:jc w:val="right"/>
            </w:pPr>
            <w:r>
              <w:t xml:space="preserve">GPIO9</w:t>
            </w:r>
          </w:p>
        </w:tc>
        <w:tc>
          <w:tcPr/>
          <w:p>
            <w:pPr>
              <w:pStyle w:val="Compact"/>
              <w:jc w:val="left"/>
            </w:pPr>
            <w:r>
              <w:t xml:space="preserve">Onboard BMI270 and castellated-header access</w:t>
            </w:r>
          </w:p>
        </w:tc>
      </w:tr>
      <w:tr>
        <w:tc>
          <w:tcPr/>
          <w:p>
            <w:pPr>
              <w:pStyle w:val="Compact"/>
              <w:jc w:val="left"/>
            </w:pPr>
            <w:r>
              <w:t xml:space="preserve">QWIIC I2C</w:t>
            </w:r>
          </w:p>
        </w:tc>
        <w:tc>
          <w:tcPr/>
          <w:p>
            <w:pPr>
              <w:pStyle w:val="Compact"/>
              <w:jc w:val="right"/>
            </w:pPr>
            <w:r>
              <w:t xml:space="preserve">GPIO24</w:t>
            </w:r>
          </w:p>
        </w:tc>
        <w:tc>
          <w:tcPr/>
          <w:p>
            <w:pPr>
              <w:pStyle w:val="Compact"/>
              <w:jc w:val="right"/>
            </w:pPr>
            <w:r>
              <w:t xml:space="preserve">GPIO25</w:t>
            </w:r>
          </w:p>
        </w:tc>
        <w:tc>
          <w:tcPr/>
          <w:p>
            <w:pPr>
              <w:pStyle w:val="Compact"/>
              <w:jc w:val="left"/>
            </w:pPr>
            <w:r>
              <w:t xml:space="preserve">External QWIIC devices and HSTX connector access</w:t>
            </w:r>
          </w:p>
        </w:tc>
      </w:tr>
    </w:tbl>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GPIO8 and GPIO9 connect the onboard BMI270 and are also exposed through the castellated headers. GPIO24 and GPIO25 connect to the four-position QWIIC connector and are also routed to the HSTX connector.</w:t>
      </w:r>
    </w:p>
    <w:p>
      <w:pPr>
        <w:pStyle w:val="BodyText"/>
      </w:pPr>
      <w:r>
        <w:t xml:space="preserve">Both interfaces operate in the 3.3 V logic domain. External I2C devices must therefore be compatible with 3.3 V operation unless appropriate level translation is provided.</w:t>
      </w:r>
    </w:p>
    <w:p>
      <w:pPr>
        <w:pStyle w:val="BodyText"/>
      </w:pPr>
      <w:r>
        <w:t xml:space="preserve">Using separate I2C routes allows applications to keep the onboard BMI270 bus independent from external QWIIC peripherals. Device addresses, pull-up configuration, bus capacitance, and cable length must be considered when multiple devices are connected to the same bus.</w:t>
      </w:r>
    </w:p>
    <w:p>
      <w:pPr>
        <w:pStyle w:val="BodyText"/>
      </w:pPr>
      <w:r>
        <w:t xml:space="preserve">The UNIT Electronics Wiki provides additional examples for I2C bus scanning, BMI270 communication, EEPROM byte and block operations, hexadecimal dumps, and structured EEPROM data handling.</w:t>
      </w:r>
    </w:p>
    <w:bookmarkEnd w:id="96"/>
    <w:bookmarkStart w:id="97" w:name="combined-system-operation"/>
    <w:p>
      <w:pPr>
        <w:pStyle w:val="Heading3"/>
      </w:pPr>
      <w:r>
        <w:rPr>
          <w:bCs/>
          <w:b/>
        </w:rPr>
        <w:t xml:space="preserve">3.13 Combined System Operation</w:t>
      </w:r>
    </w:p>
    <w:p>
      <w:pPr>
        <w:pStyle w:val="FirstParagraph"/>
      </w:pPr>
      <w:r>
        <w:t xml:space="preserve">The UNIT PULSAR RP2350A is designed to support concurrent operation of its onboard subsystems. The RP2350A can combine sensing, audio acquisition, removable storage, external memory, RGB indication, I2C expansion, and HSTX video output within the same application.</w:t>
      </w:r>
    </w:p>
    <w:p>
      <w:pPr>
        <w:pStyle w:val="BodyText"/>
      </w:pPr>
      <w:r>
        <w:t xml:space="preserve">For example, BMI270 motion data can be used to control HSTX-rendered graphics while PSRAM provides framebuffer or application storage. PDM microphone or I2C sensor data can be buffered in PSRAM and recorded to the microSD card, while the onboard RGB LEDs provide acquisition, storage, or system-status indication.</w:t>
      </w:r>
    </w:p>
    <w:p>
      <w:pPr>
        <w:pStyle w:val="BodyText"/>
      </w:pPr>
      <w:r>
        <w:t xml:space="preserve">Applications using multiple high-bandwidth peripherals should consider memory allocation, DMA usage, interrupt timing, storage write latency, and peripheral resource sharing. Time-critical data and interrupt-related buffers should remain in internal SRAM where appropriate, while PSRAM can be used for larger framebuffers, audio buffers, sensor histories, and application data.</w:t>
      </w:r>
    </w:p>
    <w:p>
      <w:pPr>
        <w:pStyle w:val="BodyText"/>
      </w:pPr>
      <w:r>
        <w:t xml:space="preserve">Shared GPIO functions must also be considered when enabling HSTX or optional solder-jumper connections.</w:t>
      </w:r>
    </w:p>
    <w:p>
      <w:pPr>
        <w:pStyle w:val="BodyText"/>
      </w:pPr>
      <w:r>
        <w:t xml:space="preserve">Additional software examples in the UNIT Electronics Wiki demonstrate the individual subsystems before combining them into more complex applications.</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V1.3.0. GPIO numbers identify RP2350A signals; 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 / optional BMI270 INT1</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w:t>
            </w:r>
          </w:p>
        </w:tc>
        <w:tc>
          <w:tcPr/>
          <w:p>
            <w:pPr>
              <w:pStyle w:val="Compact"/>
              <w:jc w:val="left"/>
            </w:pPr>
            <w:r>
              <w:t xml:space="preserve">Shared with USB-C through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w:t>
            </w:r>
          </w:p>
        </w:tc>
        <w:tc>
          <w:tcPr/>
          <w:p>
            <w:pPr>
              <w:pStyle w:val="Compact"/>
              <w:jc w:val="left"/>
            </w:pPr>
            <w:r>
              <w:t xml:space="preserve">Shared with USB-C through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r>
              <w:t xml:space="preserve"> </w:t>
            </w:r>
            <w:r>
              <w:t xml:space="preserve">/</w:t>
            </w:r>
            <w:r>
              <w:t xml:space="preserve"> </w:t>
            </w:r>
            <w:r>
              <w:rPr>
                <w:rStyle w:val="VerbatimChar"/>
              </w:rPr>
              <w:t xml:space="preserve">CLK_MIC</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DATA_MIC</w:t>
            </w:r>
          </w:p>
        </w:tc>
        <w:tc>
          <w:tcPr/>
          <w:p>
            <w:pPr>
              <w:pStyle w:val="Compact"/>
              <w:jc w:val="right"/>
            </w:pPr>
            <w:r>
              <w:t xml:space="preserve">GPIO11</w:t>
            </w:r>
          </w:p>
        </w:tc>
        <w:tc>
          <w:tcPr/>
          <w:p>
            <w:pPr>
              <w:pStyle w:val="Compact"/>
              <w:jc w:val="left"/>
            </w:pPr>
            <w:r>
              <w:t xml:space="preserve">PDM data input</w:t>
            </w:r>
          </w:p>
        </w:tc>
        <w:tc>
          <w:tcPr/>
          <w:p>
            <w:pPr>
              <w:pStyle w:val="Compact"/>
              <w:jc w:val="left"/>
            </w:pPr>
            <w:r>
              <w:t xml:space="preserve">ICS-41350 data</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NeoPixel data input</w:t>
            </w:r>
          </w:p>
        </w:tc>
        <w:tc>
          <w:tcPr/>
          <w:p>
            <w:pPr>
              <w:pStyle w:val="Compact"/>
              <w:jc w:val="left"/>
            </w:pPr>
            <w:r>
              <w:t xml:space="preserve">Three onboard WS2812 LEDs</w:t>
            </w:r>
          </w:p>
        </w:tc>
      </w:tr>
      <w:tr>
        <w:tc>
          <w:tcPr/>
          <w:p>
            <w:pPr>
              <w:pStyle w:val="Compact"/>
              <w:jc w:val="left"/>
            </w:pPr>
            <w:r>
              <w:rPr>
                <w:rStyle w:val="VerbatimChar"/>
              </w:rPr>
              <w:t xml:space="preserve">NEOPIXEL DOUT</w:t>
            </w:r>
          </w:p>
        </w:tc>
        <w:tc>
          <w:tcPr/>
          <w:p>
            <w:pPr>
              <w:pStyle w:val="Compact"/>
              <w:jc w:val="right"/>
            </w:pPr>
            <w:r>
              <w:t xml:space="preserve">—</w:t>
            </w:r>
          </w:p>
        </w:tc>
        <w:tc>
          <w:tcPr/>
          <w:p>
            <w:pPr>
              <w:pStyle w:val="Compact"/>
              <w:jc w:val="left"/>
            </w:pPr>
            <w:r>
              <w:t xml:space="preserve">RGB-chain extension output</w:t>
            </w:r>
          </w:p>
        </w:tc>
        <w:tc>
          <w:tcPr/>
          <w:p>
            <w:pPr>
              <w:pStyle w:val="Compact"/>
              <w:jc w:val="left"/>
            </w:pPr>
            <w:r>
              <w:t xml:space="preserve">Available at castellated header when</w:t>
            </w:r>
            <w:r>
              <w:t xml:space="preserve"> </w:t>
            </w:r>
            <w:r>
              <w:rPr>
                <w:rStyle w:val="VerbatimChar"/>
              </w:rPr>
              <w:t xml:space="preserve">RGB_PAD</w:t>
            </w:r>
            <w:r>
              <w:t xml:space="preserve"> </w:t>
            </w:r>
            <w:r>
              <w:t xml:space="preserve">is closed</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5V</w:t>
      </w:r>
      <w:r>
        <w:t xml:space="preserve">,</w:t>
      </w:r>
      <w:r>
        <w:t xml:space="preserve"> </w:t>
      </w:r>
      <w:r>
        <w:rPr>
          <w:rStyle w:val="VerbatimChar"/>
        </w:rPr>
        <w:t xml:space="preserve">VIN</w:t>
      </w:r>
      <w:r>
        <w:t xml:space="preserve">,</w:t>
      </w:r>
      <w:r>
        <w:t xml:space="preserve"> </w:t>
      </w:r>
      <w:r>
        <w:rPr>
          <w:rStyle w:val="VerbatimChar"/>
        </w:rPr>
        <w:t xml:space="preserve">RESET</w:t>
      </w:r>
      <w:r>
        <w:t xml:space="preserve">, and multiple</w:t>
      </w:r>
      <w:r>
        <w:t xml:space="preserve"> </w:t>
      </w:r>
      <w:r>
        <w:rPr>
          <w:rStyle w:val="VerbatimChar"/>
        </w:rPr>
        <w:t xml:space="preserve">GND</w:t>
      </w:r>
      <w:r>
        <w:t xml:space="preserve"> </w:t>
      </w:r>
      <w:r>
        <w:t xml:space="preserve">connections.</w:t>
      </w:r>
    </w:p>
    <w:p>
      <w:pPr>
        <w:pStyle w:val="BodyTex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to preserve the Nano-style pin layout. They can be enabled individually by closing the corresponding solder pads on the bottom side of the PCB.</w:t>
      </w:r>
    </w:p>
    <w:p>
      <w:pPr>
        <w:pStyle w:val="BodyText"/>
      </w:pPr>
      <w:r>
        <w:t xml:space="preserve">The</w:t>
      </w:r>
      <w:r>
        <w:t xml:space="preserve"> </w:t>
      </w:r>
      <w:r>
        <w:rPr>
          <w:rStyle w:val="VerbatimChar"/>
        </w:rPr>
        <w:t xml:space="preserve">3EN</w:t>
      </w:r>
      <w:r>
        <w:t xml:space="preserve"> </w:t>
      </w:r>
      <w:r>
        <w:t xml:space="preserve">position provides access to the AP2112K</w:t>
      </w:r>
      <w:r>
        <w:t xml:space="preserve"> </w:t>
      </w:r>
      <w:r>
        <w:rPr>
          <w:rStyle w:val="VerbatimChar"/>
        </w:rPr>
        <w:t xml:space="preserve">EN</w:t>
      </w:r>
      <w:r>
        <w:t xml:space="preserve"> </w:t>
      </w:r>
      <w:r>
        <w:t xml:space="preserve">signal when its corresponding solder jumper is closed, allowing external control of the 3.3 V regulator.</w:t>
      </w:r>
    </w:p>
    <w:p>
      <w:pPr>
        <w:pStyle w:val="BodyText"/>
      </w:pPr>
      <w:r>
        <w:t xml:space="preserve">The</w:t>
      </w:r>
      <w:r>
        <w:t xml:space="preserve"> </w:t>
      </w:r>
      <w:r>
        <w:rPr>
          <w:rStyle w:val="VerbatimChar"/>
        </w:rPr>
        <w:t xml:space="preserve">INT_PAD</w:t>
      </w:r>
      <w:r>
        <w:t xml:space="preserve"> </w:t>
      </w:r>
      <w:r>
        <w:t xml:space="preserve">solder jumper optionally connects BMI270</w:t>
      </w:r>
      <w:r>
        <w:t xml:space="preserve"> </w:t>
      </w:r>
      <w:r>
        <w:rPr>
          <w:rStyle w:val="VerbatimChar"/>
        </w:rPr>
        <w:t xml:space="preserve">INT1</w:t>
      </w:r>
      <w:r>
        <w:t xml:space="preserve"> </w:t>
      </w:r>
      <w:r>
        <w:t xml:space="preserve">to</w:t>
      </w:r>
      <w:r>
        <w:t xml:space="preserve"> </w:t>
      </w:r>
      <w:r>
        <w:rPr>
          <w:rStyle w:val="VerbatimChar"/>
        </w:rPr>
        <w:t xml:space="preserve">D7</w:t>
      </w:r>
      <w:r>
        <w:t xml:space="preserve"> </w:t>
      </w:r>
      <w:r>
        <w:t xml:space="preserve">/ GPIO12.</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castellated edge rows inspired by the Arduino Nano layout. This provides a familiar mechanical footprint and labeling pattern, but does not imply full electrical or shield compatibility.</w:t>
      </w:r>
    </w:p>
    <w:p>
      <w:pPr>
        <w:pStyle w:val="BodyText"/>
      </w:pPr>
      <w:r>
        <w:t xml:space="preserve">Important differences include:</w:t>
      </w:r>
    </w:p>
    <w:p>
      <w:pPr>
        <w:numPr>
          <w:ilvl w:val="0"/>
          <w:numId w:val="1015"/>
        </w:numPr>
        <w:pStyle w:val="Compact"/>
      </w:pPr>
      <w:r>
        <w:t xml:space="preserve">The RP2350A and board GPIO operate in the 3.3 V logic domain.</w:t>
      </w:r>
    </w:p>
    <w:p>
      <w:pPr>
        <w:numPr>
          <w:ilvl w:val="0"/>
          <w:numId w:val="1015"/>
        </w:numPr>
        <w:pStyle w:val="Compact"/>
      </w:pPr>
      <w:r>
        <w:t xml:space="preserve">Several conventional positions have PULSAR-specific functions, including</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NEOPIXEL DOUT</w:t>
      </w:r>
      <w:r>
        <w:t xml:space="preserve">, and PDM microphone signals.</w:t>
      </w:r>
    </w:p>
    <w:p>
      <w:pPr>
        <w:numPr>
          <w:ilvl w:val="0"/>
          <w:numId w:val="1015"/>
        </w:numPr>
        <w:pStyle w:val="Compac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and can be enabled through bottom-side solder jumpers.</w:t>
      </w:r>
    </w:p>
    <w:p>
      <w:pPr>
        <w:numPr>
          <w:ilvl w:val="0"/>
          <w:numId w:val="1015"/>
        </w:numPr>
        <w:pStyle w:val="Compact"/>
      </w:pPr>
      <w:r>
        <w:rPr>
          <w:rStyle w:val="VerbatimChar"/>
        </w:rPr>
        <w:t xml:space="preserve">D7</w:t>
      </w:r>
      <w:r>
        <w:t xml:space="preserve"> </w:t>
      </w:r>
      <w:r>
        <w:t xml:space="preserve">/ GPIO12 can optionally receive the BMI270</w:t>
      </w:r>
      <w:r>
        <w:t xml:space="preserve"> </w:t>
      </w:r>
      <w:r>
        <w:rPr>
          <w:rStyle w:val="VerbatimChar"/>
        </w:rPr>
        <w:t xml:space="preserve">INT1</w:t>
      </w:r>
      <w:r>
        <w:t xml:space="preserve"> </w:t>
      </w:r>
      <w:r>
        <w:t xml:space="preserve">signal by closing</w:t>
      </w:r>
      <w:r>
        <w:t xml:space="preserve"> </w:t>
      </w:r>
      <w:r>
        <w:rPr>
          <w:rStyle w:val="VerbatimChar"/>
        </w:rPr>
        <w:t xml:space="preserve">INT_PAD</w:t>
      </w:r>
      <w:r>
        <w:t xml:space="preserve">.</w:t>
      </w:r>
    </w:p>
    <w:p>
      <w:pPr>
        <w:numPr>
          <w:ilvl w:val="0"/>
          <w:numId w:val="1015"/>
        </w:numPr>
        <w:pStyle w:val="Compact"/>
      </w:pPr>
      <w:r>
        <w:t xml:space="preserve">GPIO12–GPIO19 are shared with the HSTX video interface.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carry the RP2350A native USB D-/D+ signals. They are connected to the same differential pair used by the USB-C connector through 22 Ω series resistors and should not be treated as conventional digital I/O.</w:t>
      </w:r>
    </w:p>
    <w:p>
      <w:pPr>
        <w:numPr>
          <w:ilvl w:val="0"/>
          <w:numId w:val="1015"/>
        </w:numPr>
        <w:pStyle w:val="Compact"/>
      </w:pPr>
      <w:r>
        <w:t xml:space="preserve">Analog channel labels do not follow a simple sequential GPIO order.</w:t>
      </w:r>
    </w:p>
    <w:p>
      <w:pPr>
        <w:numPr>
          <w:ilvl w:val="0"/>
          <w:numId w:val="1015"/>
        </w:numPr>
        <w:pStyle w:val="Compact"/>
      </w:pPr>
      <w:r>
        <w:t xml:space="preserve">Bottom-side connectors and components may require additional clearance when the board is installed in a carrier.</w:t>
      </w:r>
    </w:p>
    <w:p>
      <w:pPr>
        <w:pStyle w:val="FirstParagraph"/>
      </w:pPr>
      <w:r>
        <w:t xml:space="preserve">Before installing the board into a Nano-style carrier, verify power, reset, analog, digital, and mechanically shared positions, as well as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QWIIC connector carrying: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interface operates in the 3.3 V logic domain and is separate from the GPIO8/GPIO9 I2C bus used by the onboard BMI270.</w:t>
      </w:r>
    </w:p>
    <w:p>
      <w:pPr>
        <w:pStyle w:val="BodyText"/>
      </w:pPr>
      <w:r>
        <w:t xml:space="preserve">The QWIIC 3.3 V supply is provided by the same AP2112K regulator used by the board. The regulator supports up to 600 mA total output current, shared between the onboard circuitry and all external 3.3 V loads.</w:t>
      </w:r>
    </w:p>
    <w:p>
      <w:pPr>
        <w:pStyle w:val="BodyText"/>
      </w:pPr>
      <w:r>
        <w:t xml:space="preserve">Use 3.3 V-compatible QWIIC peripherals and verify connector orientation before connection.</w:t>
      </w:r>
    </w:p>
    <w:bookmarkEnd w:id="101"/>
    <w:bookmarkStart w:id="102" w:name="microsd-connector"/>
    <w:p>
      <w:pPr>
        <w:pStyle w:val="Heading3"/>
      </w:pPr>
      <w:r>
        <w:rPr>
          <w:bCs/>
          <w:b/>
        </w:rPr>
        <w:t xml:space="preserve">4.4 MicroSD Connector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GPIO2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GPIO3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GPIO4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GPIO5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GPIO6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GPIO7</w:t>
            </w:r>
          </w:p>
        </w:tc>
        <w:tc>
          <w:tcPr/>
          <w:p>
            <w:pPr>
              <w:pStyle w:val="Compact"/>
              <w:jc w:val="left"/>
            </w:pPr>
            <w:r>
              <w:t xml:space="preserve">SDIO data 3 / SPI chip select</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w:t>
            </w:r>
          </w:p>
        </w:tc>
        <w:tc>
          <w:tcPr/>
          <w:p>
            <w:pPr>
              <w:pStyle w:val="Compact"/>
              <w:jc w:val="right"/>
            </w:pPr>
            <w:r>
              <w:t xml:space="preserve">Ground</w:t>
            </w:r>
          </w:p>
        </w:tc>
        <w:tc>
          <w:tcPr/>
          <w:p>
            <w:pPr>
              <w:pStyle w:val="Compact"/>
              <w:jc w:val="left"/>
            </w:pPr>
            <w:r>
              <w:t xml:space="preserve">Electrical return and connector shield</w:t>
            </w:r>
          </w:p>
        </w:tc>
      </w:tr>
    </w:tbl>
    <w:p>
      <w:pPr>
        <w:pStyle w:val="BodyText"/>
      </w:pPr>
      <w:r>
        <w:t xml:space="preserve">The microSD interface supports the complete four-bit SDIO signal group. Current UNIT Electronics Wiki examples use the SPI-compatible subset.</w:t>
      </w:r>
    </w:p>
    <w:p>
      <w:pPr>
        <w:pStyle w:val="BodyText"/>
      </w:pPr>
      <w:r>
        <w:t xml:space="preserve">Insert or remove the microSD card only when filesystem activity has stopped. Software should flush and close open files before card extraction or power removal.</w:t>
      </w:r>
    </w:p>
    <w:bookmarkEnd w:id="102"/>
    <w:bookmarkStart w:id="103" w:name="battery-connections"/>
    <w:p>
      <w:pPr>
        <w:pStyle w:val="Heading3"/>
      </w:pPr>
      <w:r>
        <w:rPr>
          <w:bCs/>
          <w:b/>
        </w:rPr>
        <w:t xml:space="preserve">4.5 Battery Connections</w:t>
      </w:r>
    </w:p>
    <w:p>
      <w:pPr>
        <w:pStyle w:val="FirstParagraph"/>
      </w:pPr>
      <w:r>
        <w:t xml:space="preserve">JP1 provides the battery connection for a single-cell LiPo battery. Hardware V1.3.0 supports PH2.0 mm or PH1.25 mm battery connector options depending on the assembled configuration.</w:t>
      </w:r>
    </w:p>
    <w:p>
      <w:pPr>
        <w:pStyle w:val="BodyText"/>
      </w:pPr>
      <w:r>
        <w:t xml:space="preserve">The battery input is designed for a single-cell LiPo battery with a nominal voltage of 3.7 V and a maximum fully charged voltage of 4.2 V. Battery charging is managed by the onboard MCP73831T-2ACI/OT and is configured for a nominal charge current of 200 mA.</w:t>
      </w:r>
    </w:p>
    <w:p>
      <w:pPr>
        <w:pStyle w:val="BodyText"/>
      </w:pPr>
      <w:r>
        <w:t xml:space="preserve">Polarity markings are provided on the bottom side of the PCB. Always verify connector polarity before connecting a battery, as connector compatibility alone does not guarantee correct polarity.</w:t>
      </w:r>
    </w:p>
    <w:p>
      <w:pPr>
        <w:pStyle w:val="BodyText"/>
      </w:pPr>
      <w:r>
        <w:t xml:space="preserve">The</w:t>
      </w:r>
      <w:r>
        <w:t xml:space="preserve"> </w:t>
      </w:r>
      <w:r>
        <w:rPr>
          <w:rStyle w:val="VerbatimChar"/>
        </w:rPr>
        <w:t xml:space="preserve">VBAT_PAD</w:t>
      </w:r>
      <w:r>
        <w:t xml:space="preserve"> </w:t>
      </w:r>
      <w:r>
        <w:t xml:space="preserve">solder jumper can connect the battery rail to the corresponding castellated-header position. This connection is open by default. When the solder jumper is closed, the battery voltage becomes available at the</w:t>
      </w:r>
      <w:r>
        <w:t xml:space="preserve"> </w:t>
      </w:r>
      <w:r>
        <w:rPr>
          <w:rStyle w:val="VerbatimChar"/>
        </w:rPr>
        <w:t xml:space="preserve">VBAT</w:t>
      </w:r>
      <w:r>
        <w:t xml:space="preserve"> </w:t>
      </w:r>
      <w:r>
        <w:t xml:space="preserve">castellated pad.</w:t>
      </w:r>
    </w:p>
    <w:p>
      <w:pPr>
        <w:pStyle w:val="BodyText"/>
      </w:pPr>
      <w:r>
        <w:t xml:space="preserve">Do not connect multi-cell battery packs or batteries exceeding 4.2 V.</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that provides the RP2350A HSTX interface together with auxiliary I2C, analog, power, and ground connections.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Pin</w:t>
            </w:r>
          </w:p>
        </w:tc>
        <w:tc>
          <w:tcPr/>
          <w:p>
            <w:pPr>
              <w:pStyle w:val="Compact"/>
              <w:jc w:val="left"/>
            </w:pPr>
            <w:r>
              <w:t xml:space="preserve">Signal</w:t>
            </w:r>
          </w:p>
        </w:tc>
        <w:tc>
          <w:tcPr/>
          <w:p>
            <w:pPr>
              <w:pStyle w:val="Compact"/>
              <w:jc w:val="left"/>
            </w:pPr>
            <w:r>
              <w:t xml:space="preserve">RP2350A connection</w:t>
            </w:r>
          </w:p>
        </w:tc>
        <w:tc>
          <w:tcPr/>
          <w:p>
            <w:pPr>
              <w:pStyle w:val="Compact"/>
              <w:jc w:val="left"/>
            </w:pPr>
            <w:r>
              <w:t xml:space="preserve">Function</w:t>
            </w:r>
          </w:p>
        </w:tc>
      </w:tr>
      <w:tr>
        <w:tc>
          <w:tcPr/>
          <w:p>
            <w:pPr>
              <w:pStyle w:val="Compact"/>
              <w:jc w:val="right"/>
            </w:pPr>
            <w:r>
              <w:t xml:space="preserve">1</w:t>
            </w:r>
          </w:p>
        </w:tc>
        <w:tc>
          <w:tcPr/>
          <w:p>
            <w:pPr>
              <w:pStyle w:val="Compact"/>
              <w:jc w:val="left"/>
            </w:pPr>
            <w:r>
              <w:rPr>
                <w:rStyle w:val="VerbatimChar"/>
              </w:rPr>
              <w:t xml:space="preserve">D7</w:t>
            </w:r>
            <w:r>
              <w:t xml:space="preserve"> </w:t>
            </w:r>
            <w:r>
              <w:t xml:space="preserve">/</w:t>
            </w:r>
            <w:r>
              <w:t xml:space="preserve"> </w:t>
            </w:r>
            <w:r>
              <w:rPr>
                <w:rStyle w:val="VerbatimChar"/>
              </w:rPr>
              <w:t xml:space="preserve">INT1</w:t>
            </w:r>
          </w:p>
        </w:tc>
        <w:tc>
          <w:tcPr/>
          <w:p>
            <w:pPr>
              <w:pStyle w:val="Compact"/>
              <w:jc w:val="left"/>
            </w:pPr>
            <w:r>
              <w:t xml:space="preserve">GPIO12</w:t>
            </w:r>
          </w:p>
        </w:tc>
        <w:tc>
          <w:tcPr/>
          <w:p>
            <w:pPr>
              <w:pStyle w:val="Compact"/>
              <w:jc w:val="left"/>
            </w:pPr>
            <w:r>
              <w:t xml:space="preserve">HSTX Data2 / optional BMI270 INT1</w:t>
            </w:r>
          </w:p>
        </w:tc>
      </w:tr>
      <w:tr>
        <w:tc>
          <w:tcPr/>
          <w:p>
            <w:pPr>
              <w:pStyle w:val="Compact"/>
              <w:jc w:val="right"/>
            </w:pPr>
            <w:r>
              <w:t xml:space="preserve">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3</w:t>
            </w:r>
          </w:p>
        </w:tc>
        <w:tc>
          <w:tcPr/>
          <w:p>
            <w:pPr>
              <w:pStyle w:val="Compact"/>
              <w:jc w:val="left"/>
            </w:pPr>
            <w:r>
              <w:rPr>
                <w:rStyle w:val="VerbatimChar"/>
              </w:rPr>
              <w:t xml:space="preserve">D6</w:t>
            </w:r>
          </w:p>
        </w:tc>
        <w:tc>
          <w:tcPr/>
          <w:p>
            <w:pPr>
              <w:pStyle w:val="Compact"/>
              <w:jc w:val="left"/>
            </w:pPr>
            <w:r>
              <w:t xml:space="preserve">GPIO13</w:t>
            </w:r>
          </w:p>
        </w:tc>
        <w:tc>
          <w:tcPr/>
          <w:p>
            <w:pPr>
              <w:pStyle w:val="Compact"/>
              <w:jc w:val="left"/>
            </w:pPr>
            <w:r>
              <w:t xml:space="preserve">HSTX Data2</w:t>
            </w:r>
          </w:p>
        </w:tc>
      </w:tr>
      <w:tr>
        <w:tc>
          <w:tcPr/>
          <w:p>
            <w:pPr>
              <w:pStyle w:val="Compact"/>
              <w:jc w:val="right"/>
            </w:pPr>
            <w:r>
              <w:t xml:space="preserve">4</w:t>
            </w:r>
          </w:p>
        </w:tc>
        <w:tc>
          <w:tcPr/>
          <w:p>
            <w:pPr>
              <w:pStyle w:val="Compact"/>
              <w:jc w:val="left"/>
            </w:pPr>
            <w:r>
              <w:rPr>
                <w:rStyle w:val="VerbatimChar"/>
              </w:rPr>
              <w:t xml:space="preserve">D5</w:t>
            </w:r>
          </w:p>
        </w:tc>
        <w:tc>
          <w:tcPr/>
          <w:p>
            <w:pPr>
              <w:pStyle w:val="Compact"/>
              <w:jc w:val="left"/>
            </w:pPr>
            <w:r>
              <w:t xml:space="preserve">GPIO14</w:t>
            </w:r>
          </w:p>
        </w:tc>
        <w:tc>
          <w:tcPr/>
          <w:p>
            <w:pPr>
              <w:pStyle w:val="Compact"/>
              <w:jc w:val="left"/>
            </w:pPr>
            <w:r>
              <w:t xml:space="preserve">HSTX clock</w:t>
            </w:r>
          </w:p>
        </w:tc>
      </w:tr>
      <w:tr>
        <w:tc>
          <w:tcPr/>
          <w:p>
            <w:pPr>
              <w:pStyle w:val="Compact"/>
              <w:jc w:val="right"/>
            </w:pPr>
            <w:r>
              <w:t xml:space="preserve">5</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6</w:t>
            </w:r>
          </w:p>
        </w:tc>
        <w:tc>
          <w:tcPr/>
          <w:p>
            <w:pPr>
              <w:pStyle w:val="Compact"/>
              <w:jc w:val="left"/>
            </w:pPr>
            <w:r>
              <w:rPr>
                <w:rStyle w:val="VerbatimChar"/>
              </w:rPr>
              <w:t xml:space="preserve">D4</w:t>
            </w:r>
          </w:p>
        </w:tc>
        <w:tc>
          <w:tcPr/>
          <w:p>
            <w:pPr>
              <w:pStyle w:val="Compact"/>
              <w:jc w:val="left"/>
            </w:pPr>
            <w:r>
              <w:t xml:space="preserve">GPIO15</w:t>
            </w:r>
          </w:p>
        </w:tc>
        <w:tc>
          <w:tcPr/>
          <w:p>
            <w:pPr>
              <w:pStyle w:val="Compact"/>
              <w:jc w:val="left"/>
            </w:pPr>
            <w:r>
              <w:t xml:space="preserve">HSTX clock</w:t>
            </w:r>
          </w:p>
        </w:tc>
      </w:tr>
      <w:tr>
        <w:tc>
          <w:tcPr/>
          <w:p>
            <w:pPr>
              <w:pStyle w:val="Compact"/>
              <w:jc w:val="right"/>
            </w:pPr>
            <w:r>
              <w:t xml:space="preserve">7</w:t>
            </w:r>
          </w:p>
        </w:tc>
        <w:tc>
          <w:tcPr/>
          <w:p>
            <w:pPr>
              <w:pStyle w:val="Compact"/>
              <w:jc w:val="left"/>
            </w:pPr>
            <w:r>
              <w:rPr>
                <w:rStyle w:val="VerbatimChar"/>
              </w:rPr>
              <w:t xml:space="preserve">D3</w:t>
            </w:r>
          </w:p>
        </w:tc>
        <w:tc>
          <w:tcPr/>
          <w:p>
            <w:pPr>
              <w:pStyle w:val="Compact"/>
              <w:jc w:val="left"/>
            </w:pPr>
            <w:r>
              <w:t xml:space="preserve">GPIO16</w:t>
            </w:r>
          </w:p>
        </w:tc>
        <w:tc>
          <w:tcPr/>
          <w:p>
            <w:pPr>
              <w:pStyle w:val="Compact"/>
              <w:jc w:val="left"/>
            </w:pPr>
            <w:r>
              <w:t xml:space="preserve">HSTX Data1</w:t>
            </w:r>
          </w:p>
        </w:tc>
      </w:tr>
      <w:tr>
        <w:tc>
          <w:tcPr/>
          <w:p>
            <w:pPr>
              <w:pStyle w:val="Compact"/>
              <w:jc w:val="right"/>
            </w:pPr>
            <w:r>
              <w:t xml:space="preserve">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9</w:t>
            </w:r>
          </w:p>
        </w:tc>
        <w:tc>
          <w:tcPr/>
          <w:p>
            <w:pPr>
              <w:pStyle w:val="Compact"/>
              <w:jc w:val="left"/>
            </w:pPr>
            <w:r>
              <w:rPr>
                <w:rStyle w:val="VerbatimChar"/>
              </w:rPr>
              <w:t xml:space="preserve">D2</w:t>
            </w:r>
          </w:p>
        </w:tc>
        <w:tc>
          <w:tcPr/>
          <w:p>
            <w:pPr>
              <w:pStyle w:val="Compact"/>
              <w:jc w:val="left"/>
            </w:pPr>
            <w:r>
              <w:t xml:space="preserve">GPIO17</w:t>
            </w:r>
          </w:p>
        </w:tc>
        <w:tc>
          <w:tcPr/>
          <w:p>
            <w:pPr>
              <w:pStyle w:val="Compact"/>
              <w:jc w:val="left"/>
            </w:pPr>
            <w:r>
              <w:t xml:space="preserve">HSTX Data1</w:t>
            </w:r>
          </w:p>
        </w:tc>
      </w:tr>
      <w:tr>
        <w:tc>
          <w:tcPr/>
          <w:p>
            <w:pPr>
              <w:pStyle w:val="Compact"/>
              <w:jc w:val="right"/>
            </w:pPr>
            <w:r>
              <w:t xml:space="preserve">10</w:t>
            </w:r>
          </w:p>
        </w:tc>
        <w:tc>
          <w:tcPr/>
          <w:p>
            <w:pPr>
              <w:pStyle w:val="Compact"/>
              <w:jc w:val="left"/>
            </w:pPr>
            <w:r>
              <w:rPr>
                <w:rStyle w:val="VerbatimChar"/>
              </w:rPr>
              <w:t xml:space="preserve">D1</w:t>
            </w:r>
          </w:p>
        </w:tc>
        <w:tc>
          <w:tcPr/>
          <w:p>
            <w:pPr>
              <w:pStyle w:val="Compact"/>
              <w:jc w:val="left"/>
            </w:pPr>
            <w:r>
              <w:t xml:space="preserve">GPIO18</w:t>
            </w:r>
          </w:p>
        </w:tc>
        <w:tc>
          <w:tcPr/>
          <w:p>
            <w:pPr>
              <w:pStyle w:val="Compact"/>
              <w:jc w:val="left"/>
            </w:pPr>
            <w:r>
              <w:t xml:space="preserve">HSTX Data0</w:t>
            </w:r>
          </w:p>
        </w:tc>
      </w:tr>
      <w:tr>
        <w:tc>
          <w:tcPr/>
          <w:p>
            <w:pPr>
              <w:pStyle w:val="Compact"/>
              <w:jc w:val="right"/>
            </w:pPr>
            <w:r>
              <w:t xml:space="preserve">11</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12</w:t>
            </w:r>
          </w:p>
        </w:tc>
        <w:tc>
          <w:tcPr/>
          <w:p>
            <w:pPr>
              <w:pStyle w:val="Compact"/>
              <w:jc w:val="left"/>
            </w:pPr>
            <w:r>
              <w:rPr>
                <w:rStyle w:val="VerbatimChar"/>
              </w:rPr>
              <w:t xml:space="preserve">D0</w:t>
            </w:r>
          </w:p>
        </w:tc>
        <w:tc>
          <w:tcPr/>
          <w:p>
            <w:pPr>
              <w:pStyle w:val="Compact"/>
              <w:jc w:val="left"/>
            </w:pPr>
            <w:r>
              <w:t xml:space="preserve">GPIO19</w:t>
            </w:r>
          </w:p>
        </w:tc>
        <w:tc>
          <w:tcPr/>
          <w:p>
            <w:pPr>
              <w:pStyle w:val="Compact"/>
              <w:jc w:val="left"/>
            </w:pPr>
            <w:r>
              <w:t xml:space="preserve">HSTX Data0</w:t>
            </w:r>
          </w:p>
        </w:tc>
      </w:tr>
      <w:tr>
        <w:tc>
          <w:tcPr/>
          <w:p>
            <w:pPr>
              <w:pStyle w:val="Compact"/>
              <w:jc w:val="right"/>
            </w:pPr>
            <w:r>
              <w:t xml:space="preserve">13</w:t>
            </w:r>
          </w:p>
        </w:tc>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left"/>
            </w:pPr>
            <w:r>
              <w:t xml:space="preserve">GPIO29 / ADC3</w:t>
            </w:r>
          </w:p>
        </w:tc>
        <w:tc>
          <w:tcPr/>
          <w:p>
            <w:pPr>
              <w:pStyle w:val="Compact"/>
              <w:jc w:val="left"/>
            </w:pPr>
            <w:r>
              <w:t xml:space="preserve">Analog-capable auxiliary signal</w:t>
            </w:r>
          </w:p>
        </w:tc>
      </w:tr>
      <w:tr>
        <w:tc>
          <w:tcPr/>
          <w:p>
            <w:pPr>
              <w:pStyle w:val="Compact"/>
              <w:jc w:val="right"/>
            </w:pPr>
            <w:r>
              <w:t xml:space="preserve">14</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15</w:t>
            </w:r>
          </w:p>
        </w:tc>
        <w:tc>
          <w:tcPr/>
          <w:p>
            <w:pPr>
              <w:pStyle w:val="Compact"/>
              <w:jc w:val="left"/>
            </w:pPr>
            <w:r>
              <w:rPr>
                <w:rStyle w:val="VerbatimChar"/>
              </w:rPr>
              <w:t xml:space="preserve">A0</w:t>
            </w:r>
          </w:p>
        </w:tc>
        <w:tc>
          <w:tcPr/>
          <w:p>
            <w:pPr>
              <w:pStyle w:val="Compact"/>
              <w:jc w:val="left"/>
            </w:pPr>
            <w:r>
              <w:t xml:space="preserve">GPIO28 / ADC2</w:t>
            </w:r>
          </w:p>
        </w:tc>
        <w:tc>
          <w:tcPr/>
          <w:p>
            <w:pPr>
              <w:pStyle w:val="Compact"/>
              <w:jc w:val="left"/>
            </w:pPr>
            <w:r>
              <w:t xml:space="preserve">Analog-capable auxiliary signal</w:t>
            </w:r>
          </w:p>
        </w:tc>
      </w:tr>
      <w:tr>
        <w:tc>
          <w:tcPr/>
          <w:p>
            <w:pPr>
              <w:pStyle w:val="Compact"/>
              <w:jc w:val="right"/>
            </w:pPr>
            <w:r>
              <w:t xml:space="preserve">16</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17</w:t>
            </w:r>
          </w:p>
        </w:tc>
        <w:tc>
          <w:tcPr/>
          <w:p>
            <w:pPr>
              <w:pStyle w:val="Compact"/>
              <w:jc w:val="left"/>
            </w:pPr>
            <w:r>
              <w:rPr>
                <w:rStyle w:val="VerbatimChar"/>
              </w:rPr>
              <w:t xml:space="preserve">SDA</w:t>
            </w:r>
          </w:p>
        </w:tc>
        <w:tc>
          <w:tcPr/>
          <w:p>
            <w:pPr>
              <w:pStyle w:val="Compact"/>
              <w:jc w:val="left"/>
            </w:pPr>
            <w:r>
              <w:t xml:space="preserve">GPIO24</w:t>
            </w:r>
          </w:p>
        </w:tc>
        <w:tc>
          <w:tcPr/>
          <w:p>
            <w:pPr>
              <w:pStyle w:val="Compact"/>
              <w:jc w:val="left"/>
            </w:pPr>
            <w:r>
              <w:t xml:space="preserve">External I2C data</w:t>
            </w:r>
          </w:p>
        </w:tc>
      </w:tr>
      <w:tr>
        <w:tc>
          <w:tcPr/>
          <w:p>
            <w:pPr>
              <w:pStyle w:val="Compact"/>
              <w:jc w:val="right"/>
            </w:pPr>
            <w:r>
              <w:t xml:space="preserve">18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19</w:t>
            </w:r>
          </w:p>
        </w:tc>
        <w:tc>
          <w:tcPr/>
          <w:p>
            <w:pPr>
              <w:pStyle w:val="Compact"/>
              <w:jc w:val="left"/>
            </w:pPr>
            <w:r>
              <w:rPr>
                <w:rStyle w:val="VerbatimChar"/>
              </w:rPr>
              <w:t xml:space="preserve">SCL</w:t>
            </w:r>
          </w:p>
        </w:tc>
        <w:tc>
          <w:tcPr/>
          <w:p>
            <w:pPr>
              <w:pStyle w:val="Compact"/>
              <w:jc w:val="left"/>
            </w:pPr>
            <w:r>
              <w:t xml:space="preserve">GPIO25</w:t>
            </w:r>
          </w:p>
        </w:tc>
        <w:tc>
          <w:tcPr/>
          <w:p>
            <w:pPr>
              <w:pStyle w:val="Compact"/>
              <w:jc w:val="left"/>
            </w:pPr>
            <w:r>
              <w:t xml:space="preserve">External I2C clock</w:t>
            </w:r>
          </w:p>
        </w:tc>
      </w:tr>
      <w:tr>
        <w:tc>
          <w:tcPr/>
          <w:p>
            <w:pPr>
              <w:pStyle w:val="Compact"/>
              <w:jc w:val="right"/>
            </w:pPr>
            <w:r>
              <w:t xml:space="preserve">20</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21</w:t>
            </w:r>
          </w:p>
        </w:tc>
        <w:tc>
          <w:tcPr/>
          <w:p>
            <w:pPr>
              <w:pStyle w:val="Compact"/>
              <w:jc w:val="left"/>
            </w:pPr>
            <w:r>
              <w:t xml:space="preserve">3.3 V</w:t>
            </w:r>
          </w:p>
        </w:tc>
        <w:tc>
          <w:tcPr/>
          <w:p>
            <w:pPr>
              <w:pStyle w:val="Compact"/>
              <w:jc w:val="left"/>
            </w:pPr>
            <w:r>
              <w:t xml:space="preserve">Regulated 3.3 V rail</w:t>
            </w:r>
          </w:p>
        </w:tc>
        <w:tc>
          <w:tcPr/>
          <w:p>
            <w:pPr>
              <w:pStyle w:val="Compact"/>
              <w:jc w:val="left"/>
            </w:pPr>
            <w:r>
              <w:t xml:space="preserve">Peripheral supply</w:t>
            </w:r>
          </w:p>
        </w:tc>
      </w:tr>
      <w:tr>
        <w:tc>
          <w:tcPr/>
          <w:p>
            <w:pPr>
              <w:pStyle w:val="Compact"/>
              <w:jc w:val="right"/>
            </w:pPr>
            <w:r>
              <w:t xml:space="preserve">22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Power return</w:t>
            </w:r>
          </w:p>
        </w:tc>
      </w:tr>
    </w:tbl>
    <w:p>
      <w:pPr>
        <w:pStyle w:val="BodyText"/>
      </w:pPr>
      <w:r>
        <w:t xml:space="preserve">GPIO12 through GPIO19 provide the eight high-speed signals used by the RP2350A HSTX interface. In the DVI-compatible configuration, these signals form the four differential signal pairs required for video output.</w:t>
      </w:r>
    </w:p>
    <w:p>
      <w:pPr>
        <w:pStyle w:val="BodyText"/>
      </w:pPr>
      <w:r>
        <w:t xml:space="preserve">The connector also exposes GPIO24 and GPIO25 for the external I2C bus, GPIO28 and GPIO29 as analog-capable auxiliary signals, and the regulated 3.3 V rail.</w:t>
      </w:r>
    </w:p>
    <w:p>
      <w:pPr>
        <w:pStyle w:val="BodyText"/>
      </w:pPr>
      <w:r>
        <w:t xml:space="preserve">The UNIT DevLab DVI to FPC Adapter can be used with this connector to provide a DVI-compatible video interface.</w:t>
      </w:r>
    </w:p>
    <w:p>
      <w:pPr>
        <w:pStyle w:val="BodyText"/>
      </w:pPr>
      <w:r>
        <w:t xml:space="preserve">When HSTX video output is active, GPIO12–GPIO19 must not be simultaneously driven by external circuitry through the castellated headers or other connections.</w:t>
      </w:r>
    </w:p>
    <w:p>
      <w:pPr>
        <w:pStyle w:val="BodyText"/>
      </w:pPr>
      <w:r>
        <w:t xml:space="preserve">The</w:t>
      </w:r>
      <w:r>
        <w:t xml:space="preserve"> </w:t>
      </w:r>
      <w:r>
        <w:rPr>
          <w:rStyle w:val="VerbatimChar"/>
        </w:rPr>
        <w:t xml:space="preserve">INT_PAD</w:t>
      </w:r>
      <w:r>
        <w:t xml:space="preserve"> </w:t>
      </w:r>
      <w:r>
        <w:t xml:space="preserve">solder jumper can connect BMI270</w:t>
      </w:r>
      <w:r>
        <w:t xml:space="preserve"> </w:t>
      </w:r>
      <w:r>
        <w:rPr>
          <w:rStyle w:val="VerbatimChar"/>
        </w:rPr>
        <w:t xml:space="preserve">INT1</w:t>
      </w:r>
      <w:r>
        <w:t xml:space="preserve"> </w:t>
      </w:r>
      <w:r>
        <w:t xml:space="preserve">to GPIO12 (</w:t>
      </w:r>
      <w:r>
        <w:rPr>
          <w:rStyle w:val="VerbatimChar"/>
        </w:rPr>
        <w:t xml:space="preserve">D7</w:t>
      </w:r>
      <w:r>
        <w:t xml:space="preserve">). Because GPIO12 is also part of the HSTX interface, applications using HSTX must account for this shared connection before closing</w:t>
      </w:r>
      <w:r>
        <w:t xml:space="preserve"> </w:t>
      </w:r>
      <w:r>
        <w:rPr>
          <w:rStyle w:val="VerbatimChar"/>
        </w:rPr>
        <w:t xml:space="preserve">INT_PAD</w:t>
      </w:r>
      <w:r>
        <w:t xml:space="preserve">.</w:t>
      </w:r>
    </w:p>
    <w:p>
      <w:pPr>
        <w:pStyle w:val="BodyText"/>
      </w:pPr>
      <w:r>
        <w:t xml:space="preserve">Use a compatible 22-position, 0.5 mm-pitch FFC/FPC cable and verify cable contact orientation before connection. Remove board power before inserting or removing the FFC/FPC cable.</w:t>
      </w:r>
    </w:p>
    <w:bookmarkEnd w:id="104"/>
    <w:bookmarkStart w:id="105" w:name="usb-c-boot-and-reset"/>
    <w:p>
      <w:pPr>
        <w:pStyle w:val="Heading3"/>
      </w:pPr>
      <w:r>
        <w:rPr>
          <w:bCs/>
          <w:b/>
        </w:rPr>
        <w:t xml:space="preserve">4.7 USB-C, BOOT, and Reset</w:t>
      </w:r>
    </w:p>
    <w:p>
      <w:pPr>
        <w:pStyle w:val="FirstParagraph"/>
      </w:pPr>
      <w:r>
        <w:t xml:space="preserve">J2 provides USB-C power, programming, and USB data connectivity. The USB D- and D+ signals connect to the RP2350A native USB PHY and are also exposed at the</w:t>
      </w:r>
      <w:r>
        <w:t xml:space="preserve"> </w:t>
      </w:r>
      <w:r>
        <w:rPr>
          <w:rStyle w:val="VerbatimChar"/>
        </w:rPr>
        <w:t xml:space="preserve">D8</w:t>
      </w:r>
      <w:r>
        <w:t xml:space="preserve"> </w:t>
      </w:r>
      <w:r>
        <w:t xml:space="preserve">and</w:t>
      </w:r>
      <w:r>
        <w:t xml:space="preserve"> </w:t>
      </w:r>
      <w:r>
        <w:rPr>
          <w:rStyle w:val="VerbatimChar"/>
        </w:rPr>
        <w:t xml:space="preserve">D9</w:t>
      </w:r>
      <w:r>
        <w:t xml:space="preserve"> </w:t>
      </w:r>
      <w:r>
        <w:t xml:space="preserve">positions through 22 Ω series resistors.</w:t>
      </w:r>
    </w:p>
    <w:p>
      <w:pPr>
        <w:pStyle w:val="BodyText"/>
      </w:pPr>
      <w:r>
        <w:t xml:space="preserve">The BOOT button selects the RP2350A ROM USB boot mode used for firmware programming and recovery. The RESET button restarts the RP2350A while board power remains applied.</w:t>
      </w:r>
    </w:p>
    <w:p>
      <w:pPr>
        <w:pStyle w:val="BodyText"/>
      </w:pPr>
      <w:r>
        <w:t xml:space="preserve">A typical firmware-recovery sequence is to hold BOOT while resetting or connecting USB, then release BOOT after the device enters USB boot mode.</w:t>
      </w:r>
    </w:p>
    <w:bookmarkEnd w:id="105"/>
    <w:bookmarkStart w:id="106" w:name="swd-and-debug-pads"/>
    <w:p>
      <w:pPr>
        <w:pStyle w:val="Heading3"/>
      </w:pPr>
      <w:r>
        <w:rPr>
          <w:bCs/>
          <w:b/>
        </w:rPr>
        <w:t xml:space="preserve">4.8 SWD and Debug Pads</w:t>
      </w:r>
    </w:p>
    <w:p>
      <w:pPr>
        <w:pStyle w:val="FirstParagraph"/>
      </w:pPr>
      <w:r>
        <w:t xml:space="preserve">Bottom-side debug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connection to an external SWD debug probe. The SWD interface supports firmware programming and source-level debugging of the RP2350A.</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Refer to Section 9.6 for the corrected mapping before connecting a debug probe.</w:t>
      </w:r>
    </w:p>
    <w:p>
      <w:pPr>
        <w:pStyle w:val="BodyText"/>
      </w:pPr>
      <w:r>
        <w:t xml:space="preserve">Use short debug connections and ensure that the target board and debug probe share a common ground. The 3.3 V pad should be used as the target-voltage reference for the debug probe and should not be used to power the complete board unless the probe and board power configuration explicitly support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4"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Start w:id="153"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3"/>
    <w:bookmarkEnd w:id="154"/>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2026-09-21T23:15:00Z</dcterms:created>
  <dcterms:modified xsi:type="dcterms:W3CDTF">2026-09-21T23:15:00Z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