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17 de mayo de 2020 / 7:00 PM / Duración: 2h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Germán Garcés, Oscar Baselga.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55ji09mhn1s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rtuavr3kiq4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Revisar todos los requisitos estrictamente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Comentar diseño y pulir fallos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Cerrar issues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Control horas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Recogida de 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Se mantiene poder compartir un podcast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Falta decidir qué países meter como opciones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Falta decidir el contenido de la página “AYUDA”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 El tiempo de la canción no se guarda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 Falta guardar la lista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 Mantener el estado de la sesión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 Agregar canciones desde categorías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 Confirmar contraseña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 Revisar errores null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 Indicas número notificaciones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 Mejorar el feedback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 Añadir imagen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WEB DISEÑO: Icono de arriba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WEB DISEÑO: Barra de arriba y abajo en escala de grises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WEB DISEÑO: Color verde del botón de reproducir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WEB DISEÑO: Añadir imagen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WEB DISEÑO: Color de la cabecera en las tablas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WEB DISEÑO: Cambiar artistas suscritos al menú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24 de mayo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right="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