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tulo"/>
        <w:jc w:val="center"/>
        <w:rPr>
          <w:rFonts w:ascii="Verdana" w:hAnsi="Verdana"/>
          <w:b/>
          <w:b/>
          <w:bCs/>
          <w:sz w:val="64"/>
          <w:szCs w:val="64"/>
          <w:u w:val="single"/>
        </w:rPr>
      </w:pPr>
      <w:r>
        <w:rPr>
          <w:rFonts w:ascii="Verdana" w:hAnsi="Verdana"/>
          <w:b/>
          <w:bCs/>
          <w:sz w:val="64"/>
          <w:szCs w:val="64"/>
          <w:u w:val="single"/>
        </w:rPr>
        <w:t>Informe del primer sprint</w:t>
      </w:r>
    </w:p>
    <w:p>
      <w:pPr>
        <w:pStyle w:val="Ttulo"/>
        <w:jc w:val="center"/>
        <w:rPr>
          <w:rFonts w:ascii="Verdana" w:hAnsi="Verdana"/>
          <w:b w:val="false"/>
          <w:b w:val="false"/>
          <w:bCs w:val="false"/>
          <w:sz w:val="44"/>
          <w:szCs w:val="44"/>
          <w:u w:val="none"/>
        </w:rPr>
      </w:pPr>
      <w:r>
        <w:rPr>
          <w:rFonts w:ascii="Verdana" w:hAnsi="Verdana"/>
          <w:b w:val="false"/>
          <w:bCs w:val="false"/>
          <w:sz w:val="44"/>
          <w:szCs w:val="44"/>
          <w:u w:val="none"/>
        </w:rPr>
        <w:t>GPS-Fooding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spacing w:before="0" w:after="0"/>
        <w:jc w:val="right"/>
        <w:rPr>
          <w:rFonts w:ascii="Verdana" w:hAnsi="Verdana"/>
        </w:rPr>
      </w:pPr>
      <w:r>
        <w:rPr>
          <w:rFonts w:eastAsia="Helvetica Neue" w:cs="Helvetica Neue" w:ascii="Verdana" w:hAnsi="Verdana"/>
        </w:rPr>
        <w:t>Cristina Lahoz Egea  (544393)</w:t>
      </w:r>
    </w:p>
    <w:p>
      <w:pPr>
        <w:pStyle w:val="Normal"/>
        <w:spacing w:before="0" w:after="0"/>
        <w:jc w:val="right"/>
        <w:rPr>
          <w:rFonts w:ascii="Verdana" w:hAnsi="Verdana"/>
        </w:rPr>
      </w:pPr>
      <w:r>
        <w:rPr>
          <w:rFonts w:eastAsia="Helvetica Neue" w:cs="Helvetica Neue" w:ascii="Verdana" w:hAnsi="Verdana"/>
        </w:rPr>
        <w:t>Patricia Lázaro Tello  (554309)</w:t>
      </w:r>
    </w:p>
    <w:p>
      <w:pPr>
        <w:pStyle w:val="Normal"/>
        <w:spacing w:before="0" w:after="0"/>
        <w:jc w:val="right"/>
        <w:rPr>
          <w:rFonts w:ascii="Verdana" w:hAnsi="Verdana"/>
        </w:rPr>
      </w:pPr>
      <w:r>
        <w:rPr>
          <w:rFonts w:eastAsia="Helvetica Neue" w:cs="Helvetica Neue" w:ascii="Verdana" w:hAnsi="Verdana"/>
        </w:rPr>
        <w:t>Jorge Martínez Lascorz  (571735)</w:t>
      </w:r>
    </w:p>
    <w:p>
      <w:pPr>
        <w:pStyle w:val="Normal"/>
        <w:spacing w:before="0" w:after="0"/>
        <w:jc w:val="right"/>
        <w:rPr>
          <w:rFonts w:ascii="Verdana" w:hAnsi="Verdana"/>
        </w:rPr>
      </w:pPr>
      <w:r>
        <w:rPr>
          <w:rFonts w:eastAsia="Helvetica Neue" w:cs="Helvetica Neue" w:ascii="Verdana" w:hAnsi="Verdana"/>
        </w:rPr>
        <w:t>Alejandro Royo Amondarain  (560285)</w:t>
      </w:r>
    </w:p>
    <w:p>
      <w:pPr>
        <w:pStyle w:val="Normal"/>
        <w:spacing w:before="0" w:after="0"/>
        <w:jc w:val="right"/>
        <w:rPr>
          <w:rFonts w:ascii="Verdana" w:hAnsi="Verdana"/>
        </w:rPr>
      </w:pPr>
      <w:r>
        <w:rPr>
          <w:rFonts w:eastAsia="Helvetica Neue" w:cs="Helvetica Neue" w:ascii="Verdana" w:hAnsi="Verdana"/>
        </w:rPr>
        <w:t>Jaime Ruiz-Borau Vizárraga  (546751)</w:t>
      </w:r>
      <w:r>
        <w:br w:type="page"/>
      </w:r>
    </w:p>
    <w:p>
      <w:pPr>
        <w:pStyle w:val="Normal"/>
        <w:spacing w:before="0" w:after="0"/>
        <w:jc w:val="both"/>
        <w:rPr>
          <w:rFonts w:eastAsia="Helvetica Neue" w:cs="Helvetica Neue"/>
        </w:rPr>
      </w:pPr>
      <w:r>
        <w:rPr>
          <w:rFonts w:eastAsia="Helvetica Neue" w:cs="Helvetica Neue" w:ascii="Verdana" w:hAnsi="Verdana"/>
          <w:b/>
          <w:bCs/>
          <w:sz w:val="52"/>
          <w:szCs w:val="52"/>
        </w:rPr>
        <w:t>Índice</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1. Introducción</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producto</w:t>
      </w:r>
      <w:r>
        <w:rPr>
          <w:rFonts w:eastAsia="Helvetica Neue" w:cs="Helvetica Neue" w:ascii="Verdana" w:hAnsi="Verdana"/>
          <w:b w:val="false"/>
          <w:bCs w:val="false"/>
          <w:sz w:val="24"/>
          <w:szCs w:val="24"/>
        </w:rPr>
        <w:t xml:space="preserve"> a desarrollar consiste en una aplicación de recetas de comida para smartphones, concretamente dispositivos con sistema operativo Android, que ayude a personas sin grandes conocimientos de cocina a hacer la comida.</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equipo</w:t>
      </w:r>
      <w:r>
        <w:rPr>
          <w:rFonts w:eastAsia="Helvetica Neue" w:cs="Helvetica Neue" w:ascii="Verdana" w:hAnsi="Verdana"/>
          <w:b w:val="false"/>
          <w:bCs w:val="false"/>
          <w:sz w:val="24"/>
          <w:szCs w:val="24"/>
        </w:rPr>
        <w:t xml:space="preserve"> que desarrolla este proyecto se compone de cinco integrantes. Los cinco miembros del equipo componen el </w:t>
      </w:r>
      <w:r>
        <w:rPr>
          <w:rFonts w:eastAsia="Helvetica Neue" w:cs="Helvetica Neue" w:ascii="Verdana" w:hAnsi="Verdana"/>
          <w:b w:val="false"/>
          <w:bCs w:val="false"/>
          <w:i/>
          <w:iCs/>
          <w:sz w:val="24"/>
          <w:szCs w:val="24"/>
        </w:rPr>
        <w:t>equipo de desarrollo</w:t>
      </w:r>
      <w:r>
        <w:rPr>
          <w:rFonts w:eastAsia="Helvetica Neue" w:cs="Helvetica Neue" w:ascii="Verdana" w:hAnsi="Verdana"/>
          <w:b w:val="false"/>
          <w:bCs w:val="false"/>
          <w:i w:val="false"/>
          <w:iCs w:val="false"/>
          <w:sz w:val="24"/>
          <w:szCs w:val="24"/>
        </w:rPr>
        <w:t xml:space="preserve">, Cristina Lahoz es la </w:t>
      </w:r>
      <w:r>
        <w:rPr>
          <w:rFonts w:eastAsia="Helvetica Neue" w:cs="Helvetica Neue" w:ascii="Verdana" w:hAnsi="Verdana"/>
          <w:b w:val="false"/>
          <w:bCs w:val="false"/>
          <w:i/>
          <w:iCs/>
          <w:sz w:val="24"/>
          <w:szCs w:val="24"/>
        </w:rPr>
        <w:t>dueña del producto</w:t>
      </w:r>
      <w:r>
        <w:rPr>
          <w:rFonts w:eastAsia="Helvetica Neue" w:cs="Helvetica Neue" w:ascii="Verdana" w:hAnsi="Verdana"/>
          <w:b w:val="false"/>
          <w:bCs w:val="false"/>
          <w:i w:val="false"/>
          <w:iCs w:val="false"/>
          <w:sz w:val="24"/>
          <w:szCs w:val="24"/>
        </w:rPr>
        <w:t xml:space="preserve"> y Alejandro Royo es el </w:t>
      </w:r>
      <w:r>
        <w:rPr>
          <w:rFonts w:eastAsia="Helvetica Neue" w:cs="Helvetica Neue" w:ascii="Verdana" w:hAnsi="Verdana"/>
          <w:b w:val="false"/>
          <w:bCs w:val="false"/>
          <w:i/>
          <w:iCs/>
          <w:sz w:val="24"/>
          <w:szCs w:val="24"/>
        </w:rPr>
        <w:t>Scrum Master</w:t>
      </w:r>
      <w:r>
        <w:rPr>
          <w:rFonts w:eastAsia="Helvetica Neue" w:cs="Helvetica Neue" w:ascii="Verdana" w:hAnsi="Verdana"/>
          <w:b w:val="false"/>
          <w:bCs w:val="false"/>
          <w:i w:val="false"/>
          <w:iCs w:val="false"/>
          <w:sz w:val="24"/>
          <w:szCs w:val="24"/>
        </w:rPr>
        <w: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En las siguientes secciones del documento se explica el estado del producto al finalizar el sprint y las diversas estrategias seguidas en el proceso durante el sprint.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Producto</w:t>
      </w:r>
      <w:r>
        <w:rPr>
          <w:rFonts w:eastAsia="Helvetica Neue" w:cs="Helvetica Neue" w:ascii="Verdana" w:hAnsi="Verdana"/>
          <w:b w:val="false"/>
          <w:bCs w:val="false"/>
          <w:i w:val="false"/>
          <w:iCs w:val="false"/>
          <w:sz w:val="24"/>
          <w:szCs w:val="24"/>
          <w:u w:val="none"/>
        </w:rPr>
        <w:t xml:space="preserve"> se plantea </w:t>
      </w:r>
      <w:r>
        <w:rPr>
          <w:rFonts w:eastAsia="Helvetica Neue" w:cs="Helvetica Neue" w:ascii="Verdana" w:hAnsi="Verdana"/>
          <w:b w:val="false"/>
          <w:bCs w:val="false"/>
          <w:i w:val="false"/>
          <w:iCs w:val="false"/>
          <w:sz w:val="24"/>
          <w:szCs w:val="24"/>
        </w:rPr>
        <w:t>el estado actual del producto, incluyendo la pila de producto, plan de producto y planificación de lanzamientos, así como su diseño arquitectural.</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Proceso</w:t>
      </w:r>
      <w:r>
        <w:rPr>
          <w:rFonts w:eastAsia="Helvetica Neue" w:cs="Helvetica Neue" w:ascii="Verdana" w:hAnsi="Verdana"/>
          <w:b w:val="false"/>
          <w:bCs w:val="false"/>
          <w:i w:val="false"/>
          <w:iCs w:val="false"/>
          <w:sz w:val="24"/>
          <w:szCs w:val="24"/>
          <w:u w:val="none"/>
        </w:rPr>
        <w:t xml:space="preserve"> se explican</w:t>
      </w:r>
      <w:r>
        <w:rPr>
          <w:rFonts w:eastAsia="Helvetica Neue" w:cs="Helvetica Neue" w:ascii="Verdana" w:hAnsi="Verdana"/>
          <w:b w:val="false"/>
          <w:bCs w:val="false"/>
          <w:i w:val="false"/>
          <w:iCs w:val="false"/>
          <w:sz w:val="24"/>
          <w:szCs w:val="24"/>
        </w:rPr>
        <w:t xml:space="preserve"> las diversas estrategias de control de versiones, test y construcción automática de software seguidas, así como diagramas de burnup, velocidad del equipo y esfuerzos, y los resultados de la retrospectiva del sprint.</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última sección, </w:t>
      </w:r>
      <w:r>
        <w:rPr>
          <w:rFonts w:eastAsia="Helvetica Neue" w:cs="Helvetica Neue" w:ascii="Verdana" w:hAnsi="Verdana"/>
          <w:b w:val="false"/>
          <w:bCs w:val="false"/>
          <w:i/>
          <w:iCs/>
          <w:sz w:val="24"/>
          <w:szCs w:val="24"/>
          <w:u w:val="single"/>
        </w:rPr>
        <w:t>Conclusiones</w:t>
      </w:r>
      <w:r>
        <w:rPr>
          <w:rFonts w:eastAsia="Helvetica Neue" w:cs="Helvetica Neue" w:ascii="Verdana" w:hAnsi="Verdana"/>
          <w:b w:val="false"/>
          <w:bCs w:val="false"/>
          <w:i w:val="false"/>
          <w:iCs w:val="false"/>
          <w:sz w:val="24"/>
          <w:szCs w:val="24"/>
          <w:u w:val="none"/>
        </w:rPr>
        <w:t>, se enumera el grado de cumplimiento de los objetivos de la evaluación del proyecto, así como un pequeño sumario del documento.</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2. Producto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2.1. Plan de producto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Cuerpodetexto"/>
        <w:ind w:left="706" w:hanging="0"/>
        <w:rPr>
          <w:rFonts w:ascii="Verdana" w:hAnsi="Verdana"/>
          <w:b/>
          <w:b/>
          <w:bCs/>
          <w:u w:val="single"/>
        </w:rPr>
      </w:pPr>
      <w:r>
        <w:rPr>
          <w:rFonts w:ascii="Verdana" w:hAnsi="Verdana"/>
          <w:b/>
          <w:bCs/>
          <w:u w:val="single"/>
        </w:rPr>
        <w:t>Nuestra visión</w:t>
      </w:r>
    </w:p>
    <w:p>
      <w:pPr>
        <w:pStyle w:val="Normal"/>
        <w:ind w:left="706" w:hanging="0"/>
        <w:jc w:val="both"/>
        <w:rPr>
          <w:rFonts w:ascii="Verdana" w:hAnsi="Verdana"/>
        </w:rPr>
      </w:pPr>
      <w:r>
        <w:rPr>
          <w:rFonts w:eastAsia="Helvetica Neue" w:cs="Helvetica Neue" w:ascii="Verdana" w:hAnsi="Verdana"/>
          <w:b/>
          <w:sz w:val="24"/>
          <w:szCs w:val="24"/>
        </w:rPr>
        <w:t>Fooding</w:t>
      </w:r>
      <w:r>
        <w:rPr>
          <w:rFonts w:eastAsia="Helvetica Neue" w:cs="Helvetica Neue" w:ascii="Verdana" w:hAnsi="Verdana"/>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ind w:left="706" w:hanging="0"/>
        <w:jc w:val="both"/>
        <w:rPr>
          <w:rFonts w:ascii="Verdana" w:hAnsi="Verdana"/>
        </w:rPr>
      </w:pPr>
      <w:r>
        <w:rPr>
          <w:rFonts w:ascii="Verdana" w:hAnsi="Verdana"/>
        </w:rPr>
      </w:r>
    </w:p>
    <w:p>
      <w:pPr>
        <w:pStyle w:val="Normal"/>
        <w:ind w:left="706" w:hanging="0"/>
        <w:jc w:val="both"/>
        <w:rPr>
          <w:rFonts w:ascii="Verdana" w:hAnsi="Verdana"/>
        </w:rPr>
      </w:pPr>
      <w:r>
        <w:rPr>
          <w:rFonts w:eastAsia="Helvetica Neue" w:cs="Helvetica Neue" w:ascii="Verdana" w:hAnsi="Verdana"/>
          <w:sz w:val="24"/>
          <w:szCs w:val="24"/>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ind w:left="706" w:hanging="0"/>
        <w:jc w:val="both"/>
        <w:rPr>
          <w:rFonts w:ascii="Verdana" w:hAnsi="Verdana" w:eastAsia="Helvetica Neue" w:cs="Helvetica Neue"/>
          <w:sz w:val="24"/>
          <w:szCs w:val="24"/>
        </w:rPr>
      </w:pPr>
      <w:r>
        <w:rPr>
          <w:rFonts w:eastAsia="Helvetica Neue" w:cs="Helvetica Neue" w:ascii="Verdana" w:hAnsi="Verdana"/>
          <w:sz w:val="24"/>
          <w:szCs w:val="24"/>
        </w:rPr>
      </w:r>
    </w:p>
    <w:p>
      <w:pPr>
        <w:pStyle w:val="Normal"/>
        <w:ind w:left="706" w:hanging="0"/>
        <w:jc w:val="both"/>
        <w:rPr>
          <w:rFonts w:ascii="Verdana" w:hAnsi="Verdana"/>
        </w:rPr>
      </w:pPr>
      <w:r>
        <w:rPr>
          <w:rFonts w:eastAsia="Helvetica Neue" w:cs="Helvetica Neue" w:ascii="Verdana" w:hAnsi="Verdana"/>
          <w:sz w:val="24"/>
          <w:szCs w:val="24"/>
        </w:rPr>
        <w:t>La aplicación está dirigida a estudiantes en pisos de estudiantes y personas jóvenes que viven solas o que no tienen tiempo para comer, pues son las que peor comen, ya sea por dejadez, falta de tiempo o de ganas.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Con Fooding, será muy fácil mantener buenos hábitos de comida, respetando el tiempo mínimo para comer, sin saltarse comidas y sin recurrir a la siempre presente comida basura.</w:t>
      </w:r>
    </w:p>
    <w:p>
      <w:pPr>
        <w:pStyle w:val="Cuerpodetexto"/>
        <w:ind w:left="706" w:hanging="0"/>
        <w:rPr>
          <w:rFonts w:eastAsia="Helvetica Neue" w:cs="Helvetica Neue"/>
          <w:b w:val="false"/>
          <w:b w:val="false"/>
          <w:bCs w:val="false"/>
          <w:sz w:val="24"/>
          <w:szCs w:val="24"/>
          <w:u w:val="single"/>
        </w:rPr>
      </w:pPr>
      <w:r>
        <w:rPr>
          <w:rFonts w:eastAsia="Helvetica Neue" w:cs="Helvetica Neue"/>
          <w:b w:val="false"/>
          <w:bCs w:val="false"/>
          <w:sz w:val="24"/>
          <w:szCs w:val="24"/>
          <w:u w:val="single"/>
        </w:rPr>
      </w:r>
    </w:p>
    <w:p>
      <w:pPr>
        <w:pStyle w:val="Cuerpodetexto"/>
        <w:ind w:left="706" w:hanging="0"/>
        <w:rPr>
          <w:rFonts w:ascii="Verdana" w:hAnsi="Verdana"/>
          <w:b/>
          <w:b/>
          <w:bCs/>
        </w:rPr>
      </w:pPr>
      <w:r>
        <w:rPr>
          <w:rFonts w:ascii="Verdana" w:hAnsi="Verdana"/>
          <w:b/>
          <w:bCs/>
          <w:u w:val="single"/>
        </w:rPr>
        <w:t>Requisitos de la aplicación</w:t>
      </w:r>
    </w:p>
    <w:p>
      <w:pPr>
        <w:pStyle w:val="Normal"/>
        <w:ind w:left="706" w:hanging="0"/>
        <w:jc w:val="both"/>
        <w:rPr>
          <w:rFonts w:ascii="Verdana" w:hAnsi="Verdana"/>
        </w:rPr>
      </w:pPr>
      <w:r>
        <w:rPr>
          <w:rFonts w:eastAsia="Helvetica Neue" w:cs="Helvetica Neue" w:ascii="Verdana" w:hAnsi="Verdana"/>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Normal"/>
        <w:spacing w:before="0" w:after="0"/>
        <w:ind w:left="706" w:hanging="0"/>
        <w:jc w:val="both"/>
        <w:rPr>
          <w:rFonts w:eastAsia="Helvetica Neue" w:cs="Helvetica Neue"/>
          <w:sz w:val="24"/>
        </w:rPr>
      </w:pPr>
      <w:r>
        <w:rPr>
          <w:rFonts w:eastAsia="Helvetica Neue" w:cs="Helvetica Neue"/>
          <w:sz w:val="24"/>
        </w:rPr>
      </w:r>
      <w:r>
        <w:br w:type="page"/>
      </w:r>
    </w:p>
    <w:p>
      <w:pPr>
        <w:pStyle w:val="Cuerpodetexto"/>
        <w:ind w:left="706" w:hanging="0"/>
        <w:rPr>
          <w:rFonts w:ascii="Verdana" w:hAnsi="Verdana"/>
          <w:b/>
          <w:b/>
          <w:bCs/>
          <w:u w:val="single"/>
        </w:rPr>
      </w:pPr>
      <w:r>
        <w:rPr>
          <w:rFonts w:ascii="Verdana" w:hAnsi="Verdana"/>
          <w:b/>
          <w:bCs/>
          <w:u w:val="single"/>
        </w:rPr>
        <w:t>Hoja de ruta</w:t>
      </w:r>
    </w:p>
    <w:p>
      <w:pPr>
        <w:pStyle w:val="Cuerpodetexto"/>
        <w:ind w:left="706" w:hanging="0"/>
        <w:rPr>
          <w:rFonts w:ascii="Verdana" w:hAnsi="Verdana"/>
          <w:b w:val="false"/>
          <w:b w:val="false"/>
          <w:bCs w:val="false"/>
        </w:rPr>
      </w:pPr>
      <w:r>
        <w:rPr>
          <w:rFonts w:ascii="Verdana" w:hAnsi="Verdana"/>
          <w:b w:val="false"/>
          <w:bCs w:val="false"/>
        </w:rPr>
        <w:t>A continuación se describe el hoja de ruta a seguir durante el primer año de desarrollo:</w:t>
      </w:r>
    </w:p>
    <w:p>
      <w:pPr>
        <w:pStyle w:val="Cuerpodetexto"/>
        <w:ind w:left="706" w:hanging="0"/>
        <w:rPr>
          <w:rFonts w:ascii="Verdana" w:hAnsi="Verdana"/>
          <w:b w:val="false"/>
          <w:b w:val="false"/>
          <w:bCs w:val="false"/>
        </w:rPr>
      </w:pPr>
      <w:r>
        <w:rPr>
          <w:rFonts w:ascii="Verdana" w:hAnsi="Verdana"/>
          <w:b w:val="false"/>
          <w:bCs w:val="false"/>
        </w:rPr>
      </w:r>
    </w:p>
    <w:p>
      <w:pPr>
        <w:pStyle w:val="Cuerpodetexto"/>
        <w:ind w:left="706" w:hanging="0"/>
        <w:rPr>
          <w:rFonts w:ascii="Verdana" w:hAnsi="Verdana"/>
          <w:b w:val="false"/>
          <w:b w:val="false"/>
          <w:bCs w:val="false"/>
        </w:rPr>
      </w:pPr>
      <w:bookmarkStart w:id="0" w:name="_GoBack"/>
      <w:bookmarkEnd w:id="0"/>
      <w:r>
        <w:rPr>
          <w:rFonts w:ascii="Verdana" w:hAnsi="Verdana"/>
          <w:b w:val="false"/>
          <w:bCs w:val="false"/>
        </w:rPr>
        <w:t xml:space="preserve">El </w:t>
      </w:r>
      <w:r>
        <w:rPr>
          <w:rFonts w:ascii="Verdana" w:hAnsi="Verdana"/>
          <w:b w:val="false"/>
          <w:bCs w:val="false"/>
          <w:i/>
          <w:iCs/>
        </w:rPr>
        <w:t>primer lanzamiento</w:t>
      </w:r>
      <w:r>
        <w:rPr>
          <w:rFonts w:ascii="Verdana" w:hAnsi="Verdana"/>
          <w:b w:val="false"/>
          <w:bCs w:val="false"/>
        </w:rPr>
        <w:t xml:space="preserve"> corresponde a enero de 2016: incluirá las funcionalidades correspondientes al buscador de recetas, sus diferentes filtros, localización del usuario y supermercados cercanos mediante GPS.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segundo lanzamiento</w:t>
      </w:r>
      <w:r>
        <w:rPr>
          <w:rFonts w:ascii="Verdana" w:hAnsi="Verdana"/>
          <w:b w:val="false"/>
          <w:bCs w:val="false"/>
        </w:rPr>
        <w:t xml:space="preserve"> se realizará en abril de 2016: incluirá la primera parte de la comunidad de usuarios, con sistema de puntuación, valoración de recetas, ranking por usuarios y aportaciones por parte de los usuarios.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tercer lanzamiento</w:t>
      </w:r>
      <w:r>
        <w:rPr>
          <w:rFonts w:ascii="Verdana" w:hAnsi="Verdana"/>
          <w:b w:val="false"/>
          <w:bCs w:val="false"/>
        </w:rPr>
        <w:t xml:space="preserve"> se producirá en julio de 2016: incluirá la segunda parte de la comunidad de usuarios, con sistema de alianzas y ranking por alianzas.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cuarto lanzamiento</w:t>
      </w:r>
      <w:r>
        <w:rPr>
          <w:rFonts w:ascii="Verdana" w:hAnsi="Verdana"/>
          <w:b w:val="false"/>
          <w:bCs w:val="false"/>
        </w:rPr>
        <w:t xml:space="preserve"> corresponde a septiembre de 2016: incluirá la compra automática por internet en supermercados.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2.2. Análisis de riesgos</w:t>
      </w:r>
    </w:p>
    <w:p>
      <w:pPr>
        <w:pStyle w:val="Normal"/>
        <w:spacing w:before="0" w:after="0"/>
        <w:jc w:val="both"/>
        <w:rPr/>
      </w:pPr>
      <w:r>
        <w:rPr>
          <w:rFonts w:eastAsia="Helvetica Neue" w:cs="Helvetica Neue" w:ascii="Verdana" w:hAnsi="Verdana"/>
          <w:b/>
          <w:bCs/>
          <w:sz w:val="36"/>
          <w:szCs w:val="36"/>
        </w:rPr>
        <w:t>2.3. Pila del producto</w:t>
      </w:r>
    </w:p>
    <w:p>
      <w:pPr>
        <w:pStyle w:val="Normal"/>
        <w:spacing w:before="0" w:after="0"/>
        <w:jc w:val="both"/>
        <w:rPr/>
      </w:pPr>
      <w:r>
        <w:rPr>
          <w:rFonts w:eastAsia="Helvetica Neue" w:cs="Helvetica Neue" w:ascii="Verdana" w:hAnsi="Verdana"/>
          <w:b/>
          <w:bCs/>
          <w:sz w:val="36"/>
          <w:szCs w:val="36"/>
        </w:rPr>
        <w:t>2.4. Estado de la aplicación</w:t>
      </w:r>
    </w:p>
    <w:p>
      <w:pPr>
        <w:pStyle w:val="Normal"/>
        <w:spacing w:before="0" w:after="0"/>
        <w:ind w:left="706" w:hanging="0"/>
        <w:jc w:val="both"/>
        <w:rPr/>
      </w:pPr>
      <w:r>
        <w:rPr>
          <w:rFonts w:eastAsia="Helvetica Neue" w:cs="Helvetica Neue" w:ascii="Verdana" w:hAnsi="Verdana"/>
          <w:b/>
          <w:bCs/>
          <w:sz w:val="30"/>
          <w:szCs w:val="30"/>
        </w:rPr>
        <w:t>2.4.1. Arquitectura</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3. Proceso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3.1. Definición de hecho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Concretamente, se sigue el siguiente esquema de checklist:</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Se ha notificado a la dueña del producto de la finalización de la tarea.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3.2. Test y construcción del software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En la aplicación para Android se ha utilizado </w:t>
      </w:r>
      <w:r>
        <w:rPr>
          <w:rFonts w:eastAsia="Helvetica Neue" w:cs="Helvetica Neue" w:ascii="Verdana" w:hAnsi="Verdana"/>
          <w:b w:val="false"/>
          <w:bCs w:val="false"/>
          <w:i/>
          <w:iCs/>
          <w:sz w:val="24"/>
          <w:szCs w:val="24"/>
        </w:rPr>
        <w:t>Graddle</w:t>
      </w:r>
      <w:r>
        <w:rPr>
          <w:rFonts w:eastAsia="Helvetica Neue" w:cs="Helvetica Neue" w:ascii="Verdana" w:hAnsi="Verdana"/>
          <w:b w:val="false"/>
          <w:bCs w:val="false"/>
          <w:sz w:val="24"/>
          <w:szCs w:val="24"/>
        </w:rPr>
        <w:t xml:space="preserve"> como herramienta de gestión de dependencias. Para los tests unitarios se ha utilizado la herramienta </w:t>
      </w:r>
      <w:r>
        <w:rPr>
          <w:rFonts w:eastAsia="Helvetica Neue" w:cs="Helvetica Neue" w:ascii="Verdana" w:hAnsi="Verdana"/>
          <w:b w:val="false"/>
          <w:bCs w:val="false"/>
          <w:i/>
          <w:iCs/>
          <w:sz w:val="24"/>
          <w:szCs w:val="24"/>
        </w:rPr>
        <w:t>Robotium</w:t>
      </w:r>
      <w:r>
        <w:rPr>
          <w:rFonts w:eastAsia="Helvetica Neue" w:cs="Helvetica Neue" w:ascii="Verdana" w:hAnsi="Verdana"/>
          <w:b w:val="false"/>
          <w:bCs w:val="false"/>
          <w:i w:val="false"/>
          <w:iCs w:val="false"/>
          <w:sz w:val="24"/>
          <w:szCs w:val="24"/>
        </w:rPr>
        <w:t>, pues se ha decidido hacer pruebas de interfaz, probando los métodos y funciones asociadas a las funcionalidades sin llamar directamente a tales métodos.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se ha utilizado también </w:t>
      </w:r>
      <w:r>
        <w:rPr>
          <w:rFonts w:eastAsia="Helvetica Neue" w:cs="Helvetica Neue" w:ascii="Verdana" w:hAnsi="Verdana"/>
          <w:b w:val="false"/>
          <w:bCs w:val="false"/>
          <w:i/>
          <w:iCs/>
          <w:sz w:val="24"/>
          <w:szCs w:val="24"/>
        </w:rPr>
        <w:t>Graddle</w:t>
      </w:r>
      <w:r>
        <w:rPr>
          <w:rFonts w:eastAsia="Helvetica Neue" w:cs="Helvetica Neue" w:ascii="Verdana" w:hAnsi="Verdana"/>
          <w:b w:val="false"/>
          <w:bCs w:val="false"/>
          <w:i w:val="false"/>
          <w:iCs w:val="false"/>
          <w:sz w:val="24"/>
          <w:szCs w:val="24"/>
        </w:rPr>
        <w:t>, habiéndose creado un script de compilación que resuelve las dependencias y realiza la compilación de la aplicación, generando un archivo con extensión APK.</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No se han utilizado herramientas de cobertura de tests automáticos, pues se ha comprobado al final del sprint el nivel de cobertura de tests manualmente.</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En la aplicación servidor se ha utilizado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xml:space="preserve"> como herramienta de gestión de dependencias y compilación. Para los tests unitarios se ha utilizado </w:t>
      </w:r>
      <w:r>
        <w:rPr>
          <w:rFonts w:eastAsia="Helvetica Neue" w:cs="Helvetica Neue" w:ascii="Verdana" w:hAnsi="Verdana"/>
          <w:b w:val="false"/>
          <w:bCs w:val="false"/>
          <w:i/>
          <w:iCs/>
          <w:sz w:val="24"/>
          <w:szCs w:val="24"/>
        </w:rPr>
        <w:t>Junit</w:t>
      </w:r>
      <w:r>
        <w:rPr>
          <w:rFonts w:eastAsia="Helvetica Neue" w:cs="Helvetica Neue" w:ascii="Verdana" w:hAnsi="Verdana"/>
          <w:b w:val="false"/>
          <w:bCs w:val="false"/>
          <w:i w:val="false"/>
          <w:iCs w:val="false"/>
          <w:sz w:val="24"/>
          <w:szCs w:val="24"/>
        </w:rPr>
        <w:t xml:space="preserve"> y un mock de </w:t>
      </w:r>
      <w:r>
        <w:rPr>
          <w:rFonts w:eastAsia="Helvetica Neue" w:cs="Helvetica Neue" w:ascii="Verdana" w:hAnsi="Verdana"/>
          <w:b w:val="false"/>
          <w:bCs w:val="false"/>
          <w:i/>
          <w:iCs/>
          <w:sz w:val="24"/>
          <w:szCs w:val="24"/>
        </w:rPr>
        <w:t>SpringFramework</w:t>
      </w:r>
      <w:r>
        <w:rPr>
          <w:rFonts w:eastAsia="Helvetica Neue" w:cs="Helvetica Neue" w:ascii="Verdana" w:hAnsi="Verdana"/>
          <w:b w:val="false"/>
          <w:bCs w:val="false"/>
          <w:i w:val="false"/>
          <w:iCs w:val="false"/>
          <w:sz w:val="24"/>
          <w:szCs w:val="24"/>
        </w:rPr>
        <w:t xml:space="preserve"> (para probar los métodos de acceso desde Internet en un servlet, como GET y POST).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política seguida en el servidor para los tests fue, implementada la funcionalidad, realizar tests en todos los niveles, desde llamadas a los métodos de acceso a la Base de Datos hasta mocks para comprobar el parseo de datos.</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Además, se han realizado pruebas adicionales desde la aplicación y desde distintos navegadores para comprobar su corrección.</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también se ha usado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Los tests son pasados automáticamente con cada push al repositorio del servidor mediante el script de Maven, que también se encarga de crear un archivo WAR y desplegarlo en Openshift.</w:t>
      </w:r>
    </w:p>
    <w:p>
      <w:pPr>
        <w:pStyle w:val="Normal"/>
        <w:spacing w:before="0" w:after="0"/>
        <w:ind w:left="706" w:hanging="0"/>
        <w:jc w:val="both"/>
        <w:rPr>
          <w:rFonts w:ascii="Verdana" w:hAnsi="Verdana" w:eastAsia="Helvetica Neue" w:cs="Helvetica Neue"/>
          <w:i w:val="false"/>
          <w:i w:val="false"/>
          <w:iCs w:val="false"/>
        </w:rPr>
      </w:pPr>
      <w:r>
        <w:rPr>
          <w:rFonts w:eastAsia="Helvetica Neue" w:cs="Helvetica Neue" w:ascii="Verdana" w:hAnsi="Verdana"/>
          <w:i w:val="false"/>
          <w:iCs w:val="false"/>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Se ha utilizado </w:t>
      </w:r>
      <w:r>
        <w:rPr>
          <w:rFonts w:eastAsia="Helvetica Neue" w:cs="Helvetica Neue" w:ascii="Verdana" w:hAnsi="Verdana"/>
          <w:b w:val="false"/>
          <w:bCs w:val="false"/>
          <w:i/>
          <w:iCs/>
          <w:sz w:val="24"/>
          <w:szCs w:val="24"/>
        </w:rPr>
        <w:t>JaCoCo</w:t>
      </w:r>
      <w:r>
        <w:rPr>
          <w:rFonts w:eastAsia="Helvetica Neue" w:cs="Helvetica Neue" w:ascii="Verdana" w:hAnsi="Verdana"/>
          <w:b w:val="false"/>
          <w:bCs w:val="false"/>
          <w:i w:val="false"/>
          <w:iCs w:val="false"/>
          <w:sz w:val="24"/>
          <w:szCs w:val="24"/>
        </w:rPr>
        <w:t xml:space="preserve"> como herramienta para la cobertura de tests automáticos, habiéndose implementado un script para Windows para descargar al archivo HTML que genera JaCoCo con cada compilación en el servidor. Adicionalmente, esta herramienta desglosa en paquetes la cobertura de código, además de mostrar el porcentaje de código cubierto globalmente.</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3.3. Control de versiones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han creado en GitHub un total de tres repositorios: un repositorio para la aplicación, otro repositorio para el servidor y un último repositorio para la documentación.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del servidor es una copia exacta del repositorio privado de Openshift en el que se aloja la aplicación servidor: el workflow en este repositorio es </w:t>
      </w:r>
      <w:r>
        <w:rPr>
          <w:rFonts w:eastAsia="Helvetica Neue" w:cs="Helvetica Neue" w:ascii="Verdana" w:hAnsi="Verdana"/>
          <w:b w:val="false"/>
          <w:bCs w:val="false"/>
          <w:i/>
          <w:iCs/>
          <w:sz w:val="24"/>
          <w:szCs w:val="24"/>
        </w:rPr>
        <w:t>centralizado</w:t>
      </w:r>
      <w:r>
        <w:rPr>
          <w:rFonts w:eastAsia="Helvetica Neue" w:cs="Helvetica Neue" w:ascii="Verdana" w:hAnsi="Verdana"/>
          <w:b w:val="false"/>
          <w:bCs w:val="false"/>
          <w:sz w:val="24"/>
          <w:szCs w:val="24"/>
        </w:rPr>
        <w:t>, utilizando la rama master como rama principal a la que todos los miembros del equipo suben sus cambios.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Para mantener el repositorio de GitHub sincronizado con el repositorio privado de Openshift se tuvo que crear un enlace a remoto en cada ordenador, así como subir de forma automática al repositorio de GitHub lo mismo que se sube al repositorio de Openshift.</w:t>
      </w:r>
    </w:p>
    <w:p>
      <w:pPr>
        <w:pStyle w:val="Normal"/>
        <w:spacing w:before="0" w:after="0"/>
        <w:ind w:left="1412"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Se decidió crear un conjunto de scripts para automatizar este proceso, siendo estos usados por todos los miembros del equipo. La documentación asociada a estos scripts se encuentra en la Wiki del repositorio, junto a instrucciones de instalación y setup de Openshift.</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 la aplicación también tiene un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xml:space="preserve"> en torno a la rama master; aunque para implementar la comunicación entre cliente y servidor se creó una rama (connection_server) separada que iba uniéndose con la rama principal cuando una nueva característica era añadida y testeada.</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Por último, en el repositorio para la documentación también se ha seguido un esquema de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pues los cambios en la documentación no son tan frecuentes como para que supusieran conflictos y no se dio por tanto la necesidad de crear ramas adicionales.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3.4. Estadísticas del equipo</w:t>
      </w:r>
    </w:p>
    <w:p>
      <w:pPr>
        <w:pStyle w:val="Normal"/>
        <w:spacing w:before="0" w:after="0"/>
        <w:ind w:left="706" w:hanging="0"/>
        <w:jc w:val="both"/>
        <w:rPr/>
      </w:pPr>
      <w:r>
        <w:rPr>
          <w:rFonts w:eastAsia="Helvetica Neue" w:cs="Helvetica Neue" w:ascii="Verdana" w:hAnsi="Verdana"/>
          <w:b/>
          <w:bCs/>
          <w:sz w:val="30"/>
          <w:szCs w:val="30"/>
        </w:rPr>
        <w:t>3.4.1. Esfuerzos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t>Esfuerzos (medidos en horas) de cada miembro del equipo por mes: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88330" cy="3764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688330" cy="3764915"/>
                    </a:xfrm>
                    <a:prstGeom prst="rect">
                      <a:avLst/>
                    </a:prstGeom>
                  </pic:spPr>
                </pic:pic>
              </a:graphicData>
            </a:graphic>
          </wp:anchor>
        </w:drawing>
      </w:r>
    </w:p>
    <w:p>
      <w:pPr>
        <w:pStyle w:val="Normal"/>
        <w:spacing w:before="0" w:after="0"/>
        <w:ind w:left="1412" w:hanging="0"/>
        <w:jc w:val="both"/>
        <w:rPr/>
      </w:pPr>
      <w:r>
        <w:rPr>
          <w:rFonts w:eastAsia="Helvetica Neue" w:cs="Helvetica Neue" w:ascii="Verdana" w:hAnsi="Verdana"/>
          <w:b w:val="false"/>
          <w:bCs w:val="false"/>
          <w:sz w:val="24"/>
          <w:szCs w:val="24"/>
        </w:rPr>
        <w:t>Esfuerzos (medidos en horas) de cada miembro del equipo por actividad:</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8645" cy="35610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68645" cy="3561080"/>
                    </a:xfrm>
                    <a:prstGeom prst="rect">
                      <a:avLst/>
                    </a:prstGeom>
                  </pic:spPr>
                </pic:pic>
              </a:graphicData>
            </a:graphic>
          </wp:anchor>
        </w:drawing>
      </w:r>
    </w:p>
    <w:p>
      <w:pPr>
        <w:pStyle w:val="Normal"/>
        <w:spacing w:before="0" w:after="0"/>
        <w:ind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spacing w:before="0" w:after="0"/>
        <w:ind w:left="706" w:hanging="0"/>
        <w:jc w:val="both"/>
        <w:rPr>
          <w:rFonts w:ascii="Verdana" w:hAnsi="Verdana"/>
          <w:b/>
          <w:b/>
          <w:bCs/>
          <w:sz w:val="30"/>
          <w:szCs w:val="30"/>
        </w:rPr>
      </w:pPr>
      <w:r>
        <w:rPr>
          <w:rFonts w:eastAsia="Helvetica Neue" w:cs="Helvetica Neue" w:ascii="Verdana" w:hAnsi="Verdana"/>
          <w:b/>
          <w:bCs/>
          <w:sz w:val="30"/>
          <w:szCs w:val="30"/>
        </w:rPr>
        <w:t>3.4.2. Velocidad</w:t>
      </w:r>
    </w:p>
    <w:p>
      <w:pPr>
        <w:pStyle w:val="Normal"/>
        <w:spacing w:before="0" w:after="0"/>
        <w:ind w:left="0" w:hanging="0"/>
        <w:jc w:val="both"/>
        <w:rPr>
          <w:rFonts w:ascii="Verdana" w:hAnsi="Verdana"/>
          <w:b/>
          <w:b/>
          <w:bCs/>
          <w:sz w:val="36"/>
          <w:szCs w:val="36"/>
        </w:rPr>
      </w:pPr>
      <w:r>
        <w:rPr>
          <w:rFonts w:eastAsia="Helvetica Neue" w:cs="Helvetica Neue" w:ascii="Verdana" w:hAnsi="Verdana"/>
          <w:b/>
          <w:bCs/>
          <w:sz w:val="36"/>
          <w:szCs w:val="36"/>
        </w:rPr>
        <w:t>3.5. Retrospectiva del sprint</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4. Conclusiones</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4.1. Sumario</w:t>
      </w:r>
    </w:p>
    <w:p>
      <w:pPr>
        <w:pStyle w:val="Normal"/>
        <w:spacing w:before="0" w:after="0"/>
        <w:jc w:val="both"/>
        <w:rPr/>
      </w:pPr>
      <w:r>
        <w:rPr>
          <w:rFonts w:eastAsia="Helvetica Neue" w:cs="Helvetica Neue" w:ascii="Verdana" w:hAnsi="Verdana"/>
          <w:b/>
          <w:bCs/>
          <w:sz w:val="36"/>
          <w:szCs w:val="36"/>
        </w:rPr>
        <w:t>4.2. Cumplimiento de objetivos</w:t>
      </w:r>
    </w:p>
    <w:p>
      <w:pPr>
        <w:pStyle w:val="Normal"/>
        <w:spacing w:before="0" w:after="0"/>
        <w:jc w:val="both"/>
        <w:rPr>
          <w:rFonts w:ascii="Verdana" w:hAnsi="Verdana" w:eastAsia="Helvetica Neue" w:cs="Helvetica Neue"/>
        </w:rPr>
      </w:pPr>
      <w:r>
        <w:rPr>
          <w:b w:val="false"/>
          <w:bCs w:val="false"/>
          <w:sz w:val="24"/>
          <w:szCs w:val="24"/>
        </w:rPr>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del proyecto se aloja en GitHub y se trabaja de forma habitual contra git.</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Cobertura de tests automáticos: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Historias de usuario/requisitos implementados en el sprint evaluados con buenos criterios de aceptación:</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Definición de hecho clara, usada e incluye que se pasen todos los tests automáticos.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Documentación arquitectural (vista de módulos/componente y de despliegue, discusión sobre razones arquitecturales):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Cumplimiento suficiente de requisitos/características: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Control de esfuerzos: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Compilación y gestión de dependencias basada en scripts (despliegue automático, generación de binarios, triggers automáticos...):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Toda la documentación del proyecto está bajo control de versiones.</w:t>
      </w:r>
    </w:p>
    <w:p>
      <w:pPr>
        <w:pStyle w:val="Normal"/>
        <w:numPr>
          <w:ilvl w:val="0"/>
          <w:numId w:val="2"/>
        </w:numPr>
        <w:spacing w:before="0" w:after="0"/>
        <w:jc w:val="both"/>
        <w:rPr>
          <w:b w:val="false"/>
          <w:b w:val="false"/>
          <w:bCs w:val="false"/>
          <w:sz w:val="24"/>
          <w:szCs w:val="24"/>
        </w:rPr>
      </w:pPr>
      <w:r>
        <w:rPr>
          <w:rFonts w:eastAsia="Helvetica Neue" w:cs="Helvetica Neue" w:ascii="Verdana" w:hAnsi="Verdana"/>
          <w:b w:val="false"/>
          <w:bCs w:val="false"/>
          <w:sz w:val="24"/>
          <w:szCs w:val="24"/>
        </w:rPr>
        <w:t>Tests de aceptación automáticos para criterios de aceptación implementados en el sprint: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6"/>
        </w:tabs>
        <w:ind w:left="1426" w:hanging="360"/>
      </w:pPr>
      <w:rPr>
        <w:rFonts w:ascii="Wingdings" w:hAnsi="Wingdings" w:cs="Wingdings" w:hint="default"/>
        <w:sz w:val="24"/>
        <w:b w:val="false"/>
        <w:rFonts w:cs="Wingdings"/>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Encabezado2">
    <w:name w:val="Encabezado 2"/>
    <w:basedOn w:val="Normal"/>
    <w:next w:val="Normal"/>
    <w:pPr>
      <w:keepLines/>
      <w:spacing w:lineRule="auto" w:line="240" w:before="360" w:after="120"/>
      <w:contextualSpacing/>
    </w:pPr>
    <w:rPr>
      <w:sz w:val="32"/>
      <w:szCs w:val="32"/>
    </w:rPr>
  </w:style>
  <w:style w:type="character" w:styleId="Vietas">
    <w:name w:val="Viñeta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character" w:styleId="ListLabel3">
    <w:name w:val="ListLabel 3"/>
    <w:qFormat/>
    <w:rPr>
      <w:rFonts w:cs="Wingdings"/>
      <w:b w:val="false"/>
      <w:sz w:val="24"/>
    </w:rPr>
  </w:style>
  <w:style w:type="character" w:styleId="ListLabel4">
    <w:name w:val="ListLabel 4"/>
    <w:qFormat/>
    <w:rPr>
      <w:rFonts w:cs="OpenSymbol"/>
    </w:rPr>
  </w:style>
  <w:style w:type="character" w:styleId="ListLabel5">
    <w:name w:val="ListLabel 5"/>
    <w:qFormat/>
    <w:rPr>
      <w:rFonts w:cs="Wingdings"/>
      <w:b w:val="false"/>
      <w:sz w:val="24"/>
    </w:rPr>
  </w:style>
  <w:style w:type="character" w:styleId="ListLabel6">
    <w:name w:val="ListLabel 6"/>
    <w:qFormat/>
    <w:rPr>
      <w:rFonts w:cs="OpenSymbol"/>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Ttulo">
    <w:name w:val="Título"/>
    <w:basedOn w:val="Encabezad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LibreOffice/5.0.3.2$Windows_x86 LibreOffice_project/e5f16313668ac592c1bfb310f4390624e3dbfb75</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es-ES</dc:language>
  <dcterms:modified xsi:type="dcterms:W3CDTF">2015-12-01T09:48:35Z</dcterms:modified>
  <cp:revision>15</cp:revision>
</cp:coreProperties>
</file>