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第一天练习题</w:t>
      </w:r>
    </w:p>
    <w:p>
      <w:pPr>
        <w:pStyle w:val="3"/>
        <w:numPr>
          <w:ilvl w:val="0"/>
          <w:numId w:val="1"/>
        </w:numPr>
        <w:tabs>
          <w:tab w:val="left" w:pos="60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测试用例设计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针对记事本的保存功能编写3个用例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rPr>
          <w:rFonts w:hint="eastAsia" w:ascii="Verdana" w:hAnsi="Verdana"/>
        </w:rPr>
      </w:pPr>
      <w:r>
        <w:rPr>
          <w:rFonts w:hint="eastAsia"/>
        </w:rPr>
        <w:t>针对手机通话功能编写三个用例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601"/>
        </w:tabs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等价类设计用例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rPr>
          <w:rFonts w:hint="eastAsia" w:ascii="Verdana" w:hAnsi="Verdana"/>
        </w:rPr>
      </w:pPr>
      <w:r>
        <w:rPr>
          <w:rFonts w:ascii="Verdana" w:hAnsi="Verdana"/>
        </w:rPr>
        <w:t>设有一个档案管理系统，要求用户输入以年月表示的日期。假设日期限定在1990年1月~2049年12月，并规定日期由6位数字字符组成，前4位表示年，后2位表示月。现用等价类划分法设计测试用例，来测试程序的"日期检查功能"。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Verdana" w:hAnsi="Verdana"/>
        </w:rPr>
      </w:pPr>
      <w:r>
        <w:rPr>
          <w:rFonts w:ascii="Verdana" w:hAnsi="Verdana"/>
        </w:rPr>
        <w:t>划分等价类并编号,下表等价类划分的结果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eastAsia" w:ascii="Verdana" w:hAnsi="Verdana" w:cs="宋体"/>
                <w:kern w:val="0"/>
                <w:sz w:val="22"/>
                <w:szCs w:val="22"/>
              </w:rPr>
            </w:pPr>
            <w:r>
              <w:rPr>
                <w:rFonts w:ascii="Verdana" w:hAnsi="Verdana" w:cs="宋体"/>
                <w:b/>
                <w:bCs/>
                <w:kern w:val="0"/>
                <w:sz w:val="22"/>
              </w:rPr>
              <w:t>输入等价类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有效等价类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日期的类型及长度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left"/>
              <w:rPr>
                <w:rFonts w:hint="eastAsia"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①</w:t>
            </w:r>
            <w:r>
              <w:rPr>
                <w:rFonts w:ascii="Verdana" w:hAnsi="Verdana" w:cs="Verdana"/>
                <w:kern w:val="0"/>
                <w:sz w:val="22"/>
                <w:szCs w:val="22"/>
              </w:rPr>
              <w:t>6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位数字字符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②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有非数字字符</w:t>
            </w:r>
          </w:p>
          <w:p>
            <w:pPr>
              <w:widowControl/>
              <w:jc w:val="left"/>
              <w:rPr>
                <w:rFonts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③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少于6位数字字符</w:t>
            </w:r>
          </w:p>
          <w:p>
            <w:pPr>
              <w:widowControl/>
              <w:jc w:val="left"/>
              <w:rPr>
                <w:rFonts w:hint="eastAsia"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④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多于6位数字字符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年份范围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left"/>
              <w:rPr>
                <w:rFonts w:hint="eastAsia"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⑤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在1990~2049之间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⑥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小于1990</w:t>
            </w:r>
          </w:p>
          <w:p>
            <w:pPr>
              <w:widowControl/>
              <w:jc w:val="left"/>
              <w:rPr>
                <w:rFonts w:hint="eastAsia"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⑦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大于2049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月份范围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left"/>
              <w:rPr>
                <w:rFonts w:hint="eastAsia"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⑧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在01~12之间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⑨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等于00</w:t>
            </w:r>
          </w:p>
          <w:p>
            <w:pPr>
              <w:widowControl/>
              <w:jc w:val="left"/>
              <w:rPr>
                <w:rFonts w:hint="eastAsia" w:ascii="Verdana" w:hAnsi="Verdana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⑩</w:t>
            </w:r>
            <w:r>
              <w:rPr>
                <w:rFonts w:ascii="Verdana" w:hAnsi="Verdana" w:cs="宋体"/>
                <w:kern w:val="0"/>
                <w:sz w:val="22"/>
                <w:szCs w:val="22"/>
              </w:rPr>
              <w:t>大于12</w:t>
            </w:r>
          </w:p>
        </w:tc>
      </w:tr>
    </w:tbl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ascii="Verdana" w:hAnsi="Verdana"/>
        </w:rPr>
        <w:t>设计测试用例，以便覆盖所有的有效等价类在表中列出了3个有效等价类，编号分别为</w:t>
      </w:r>
      <w:r>
        <w:rPr>
          <w:rFonts w:hint="eastAsia"/>
        </w:rPr>
        <w:t>①</w:t>
      </w:r>
      <w:r>
        <w:rPr>
          <w:rFonts w:ascii="Verdana" w:hAnsi="Verdana"/>
        </w:rPr>
        <w:t>、</w:t>
      </w:r>
      <w:r>
        <w:rPr>
          <w:rFonts w:hint="eastAsia"/>
        </w:rPr>
        <w:t>⑤</w:t>
      </w:r>
      <w:r>
        <w:rPr>
          <w:rFonts w:ascii="Verdana" w:hAnsi="Verdana"/>
        </w:rPr>
        <w:t>、</w:t>
      </w:r>
      <w:r>
        <w:rPr>
          <w:rFonts w:hint="eastAsia"/>
        </w:rPr>
        <w:t>⑧</w:t>
      </w:r>
      <w:r>
        <w:rPr>
          <w:rFonts w:ascii="Verdana" w:hAnsi="Verdana"/>
        </w:rPr>
        <w:t>，设计的测试用例如下：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测试数据    期望结果      覆盖的有效等价类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   200211      输入有效      </w:t>
      </w:r>
      <w:r>
        <w:rPr>
          <w:rFonts w:hint="eastAsia"/>
        </w:rPr>
        <w:t>①</w:t>
      </w:r>
      <w:r>
        <w:rPr>
          <w:rFonts w:ascii="Verdana" w:hAnsi="Verdana"/>
        </w:rPr>
        <w:t>、</w:t>
      </w:r>
      <w:r>
        <w:rPr>
          <w:rFonts w:hint="eastAsia"/>
        </w:rPr>
        <w:t>⑤</w:t>
      </w:r>
      <w:r>
        <w:rPr>
          <w:rFonts w:ascii="Verdana" w:hAnsi="Verdana"/>
        </w:rPr>
        <w:t>、</w:t>
      </w:r>
      <w:r>
        <w:rPr>
          <w:rFonts w:hint="eastAsia"/>
        </w:rPr>
        <w:t>⑧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ascii="Verdana" w:hAnsi="Verdana"/>
        </w:rPr>
        <w:t>为每一个无效等价类设计一个测试用例，设计结果如下：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测试数据   期望结果     覆盖的无效等价类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   95June     无效输入          </w:t>
      </w:r>
      <w:r>
        <w:rPr>
          <w:rFonts w:hint="eastAsia"/>
        </w:rPr>
        <w:t>②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   20036      </w:t>
      </w:r>
      <w:r>
        <w:rPr>
          <w:rFonts w:ascii="Verdana" w:hAnsi="Verdana"/>
        </w:rPr>
        <w:t>无效输入          </w:t>
      </w:r>
      <w:r>
        <w:rPr>
          <w:rFonts w:hint="eastAsia"/>
        </w:rPr>
        <w:t>③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>    200100</w:t>
      </w:r>
      <w:r>
        <w:rPr>
          <w:rFonts w:ascii="Verdana" w:hAnsi="Verdana"/>
        </w:rPr>
        <w:t xml:space="preserve">6   无效输入          </w:t>
      </w:r>
      <w:r>
        <w:rPr>
          <w:rFonts w:hint="eastAsia"/>
        </w:rPr>
        <w:t>④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   198912     </w:t>
      </w:r>
      <w:r>
        <w:rPr>
          <w:rFonts w:ascii="Verdana" w:hAnsi="Verdana"/>
        </w:rPr>
        <w:t xml:space="preserve">无效输入          </w:t>
      </w:r>
      <w:r>
        <w:rPr>
          <w:rFonts w:hint="eastAsia"/>
        </w:rPr>
        <w:t>⑥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   200401     </w:t>
      </w:r>
      <w:r>
        <w:rPr>
          <w:rFonts w:ascii="Verdana" w:hAnsi="Verdana"/>
        </w:rPr>
        <w:t xml:space="preserve">无效输入          </w:t>
      </w:r>
      <w:r>
        <w:rPr>
          <w:rFonts w:hint="eastAsia"/>
        </w:rPr>
        <w:t>⑦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   200100     </w:t>
      </w:r>
      <w:r>
        <w:rPr>
          <w:rFonts w:ascii="Verdana" w:hAnsi="Verdana"/>
        </w:rPr>
        <w:t xml:space="preserve">无效输入          </w:t>
      </w:r>
      <w:r>
        <w:rPr>
          <w:rFonts w:hint="eastAsia"/>
        </w:rPr>
        <w:t>⑨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   200113     </w:t>
      </w:r>
      <w:r>
        <w:rPr>
          <w:rFonts w:ascii="Verdana" w:hAnsi="Verdana"/>
        </w:rPr>
        <w:t xml:space="preserve">无效输入          </w:t>
      </w:r>
      <w:r>
        <w:rPr>
          <w:rFonts w:hint="eastAsia"/>
        </w:rPr>
        <w:t>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Verdana"/>
        </w:rPr>
        <w:t xml:space="preserve">NextDate </w:t>
      </w:r>
      <w:r>
        <w:rPr>
          <w:rFonts w:ascii="Verdana" w:hAnsi="Verdana"/>
        </w:rPr>
        <w:t>函数包含三个变量：month 、 day 和 year ，函数的输出为输入日期后一天的日期。 例如，输入为 2006年3月 7日，则函数的输出为 2006年3月8日 。要求输入变量 month 、 day 和 year 均为整数值，并且满足下列条件：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 </w:t>
      </w:r>
      <w:r>
        <w:rPr>
          <w:rFonts w:hint="eastAsia"/>
        </w:rPr>
        <w:t>①</w:t>
      </w:r>
      <w:r>
        <w:rPr>
          <w:rFonts w:ascii="Verdana" w:hAnsi="Verdana" w:cs="Verdana"/>
        </w:rPr>
        <w:t>1≤month≤12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 </w:t>
      </w:r>
      <w:r>
        <w:rPr>
          <w:rFonts w:hint="eastAsia"/>
        </w:rPr>
        <w:t>②</w:t>
      </w:r>
      <w:r>
        <w:rPr>
          <w:rFonts w:ascii="Verdana" w:hAnsi="Verdana" w:cs="Verdana"/>
        </w:rPr>
        <w:t>1≤day≤31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 </w:t>
      </w:r>
      <w:r>
        <w:rPr>
          <w:rFonts w:hint="eastAsia"/>
        </w:rPr>
        <w:t>③</w:t>
      </w:r>
      <w:r>
        <w:rPr>
          <w:rFonts w:ascii="Verdana" w:hAnsi="Verdana" w:cs="Verdana"/>
        </w:rPr>
        <w:t xml:space="preserve">1920≤year≤2050  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ascii="Verdana" w:hAnsi="Verdana"/>
        </w:rPr>
      </w:pPr>
      <w:r>
        <w:rPr>
          <w:rFonts w:ascii="Verdana" w:hAnsi="Verdana"/>
        </w:rPr>
        <w:t>有效等价类为：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M1＝{月份：1≤月份≤12}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D1＝{日期：1≤日期≤31}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Y1＝{年：1812≤年≤2012}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ascii="Verdana" w:hAnsi="Verdana"/>
        </w:rPr>
      </w:pPr>
      <w:r>
        <w:rPr>
          <w:rFonts w:ascii="Verdana" w:hAnsi="Verdana"/>
        </w:rPr>
        <w:t xml:space="preserve">若条件 </w:t>
      </w:r>
      <w:r>
        <w:rPr>
          <w:rFonts w:hint="eastAsia"/>
        </w:rPr>
        <w:t>①</w:t>
      </w:r>
      <w:r>
        <w:rPr>
          <w:rFonts w:ascii="Verdana" w:hAnsi="Verdana" w:cs="Verdana"/>
        </w:rPr>
        <w:t xml:space="preserve"> ~ </w:t>
      </w:r>
      <w:r>
        <w:rPr>
          <w:rFonts w:hint="eastAsia"/>
        </w:rPr>
        <w:t>③</w:t>
      </w:r>
      <w:r>
        <w:rPr>
          <w:rFonts w:ascii="Verdana" w:hAnsi="Verdana"/>
        </w:rPr>
        <w:t>中任何一个条件失效，则 NextDate 函数都会产生一个输出，指明相应的变量超出取值范围，比如 "month 的值不在 1-12 范围当中 " 。显然还存在着大量的 year 、 month 、 day 的无效组合， NextDate 函数将这些组合作统一的输出： " 无效输入日期 " 。其无效等价类为：</w:t>
      </w:r>
      <w:r>
        <w:rPr>
          <w:rFonts w:ascii="Verdana" w:hAnsi="Verdana"/>
          <w:color w:val="008000"/>
        </w:rPr>
        <w:br w:type="textWrapping"/>
      </w:r>
      <w:r>
        <w:rPr>
          <w:rFonts w:ascii="Verdana" w:hAnsi="Verdana"/>
        </w:rPr>
        <w:t>    M2＝{月份：月份&lt;1}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M3＝{月份：月份&gt;12}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D2＝{日期：日期&lt;1}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D3＝{日期：日期&gt;31}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Y2＝{年：年&lt;1812}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Y3＝{年：年&gt;2012}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ascii="Verdana" w:hAnsi="Verdana"/>
        </w:rPr>
      </w:pPr>
      <w:r>
        <w:rPr>
          <w:rFonts w:ascii="Verdana" w:hAnsi="Verdana"/>
        </w:rPr>
        <w:t xml:space="preserve"> 弱一般等价类测试用例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月份    日期       年               预期输出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 6       15        1912           1912年6月16日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强一般等价类测试用例同弱一般等价类测试用例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 注：弱--有单缺陷假设；健壮--考虑了无效值 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ascii="Verdana" w:hAnsi="Verdana"/>
        </w:rPr>
        <w:t>弱健壮等价类测试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用例ID   月份  日期    年          预期输出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WR1      6      15    1912      1912年6月16日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WR2     -1     15    1912      月份不在1～12中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WR3     13     15    1912      月份不在1～12中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WR4      6      -1    1912      日期不在1～31中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WR5      6      32    1912      日期不在1～31中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WR6      6      15    1811      年份不在1812～2012中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WR7      6      15    2013      年份不在1812～2012中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ascii="Verdana" w:hAnsi="Verdana"/>
        </w:rPr>
        <w:t>强健壮等价类测试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用例ID   月份    日期      年          预期输出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SR1       -1      15       1912      月份不在1～12中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SR2        6      -1        1912      日期不在1～31中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SR3        6      15       1811      年份不在1812～2012中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SR4       -1      -1       1912      两个无效一个有效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SR5        6      -1        1811      两个无效一个有效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SR6       -1      15       1811      两个无效一个有效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SR7       -1      -1       1811      三个无效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ascii="Verdana" w:hAnsi="Verdana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ascii="Verdana" w:hAnsi="Verdana"/>
        </w:rPr>
      </w:pPr>
    </w:p>
    <w:p>
      <w:pPr>
        <w:pStyle w:val="3"/>
        <w:numPr>
          <w:ilvl w:val="0"/>
          <w:numId w:val="1"/>
        </w:numPr>
        <w:tabs>
          <w:tab w:val="left" w:pos="601"/>
        </w:tabs>
        <w:rPr>
          <w:rFonts w:hint="eastAsia"/>
          <w:b/>
          <w:lang w:eastAsia="zh-CN"/>
        </w:rPr>
      </w:pPr>
      <w:r>
        <w:rPr>
          <w:rFonts w:hint="eastAsia" w:ascii="Verdana" w:hAnsi="Verdana"/>
          <w:lang w:eastAsia="zh-CN"/>
        </w:rPr>
        <w:t>边界值设计用例</w:t>
      </w:r>
    </w:p>
    <w:p>
      <w:pPr>
        <w:pStyle w:val="4"/>
        <w:numPr>
          <w:ilvl w:val="0"/>
          <w:numId w:val="2"/>
        </w:numPr>
        <w:shd w:val="clear" w:color="auto" w:fill="FFFFFF"/>
        <w:ind w:left="0" w:leftChars="0" w:firstLine="0" w:firstLineChars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现有一个学生标准化考试批阅试卷,产生成绩报告的程序。其规格说明如下:程序的输入文件由一些有80个字符的记录组成,如右图所示，所有记录分为3组：</w:t>
      </w:r>
    </w:p>
    <w:p>
      <w:pPr>
        <w:pStyle w:val="4"/>
        <w:shd w:val="clear" w:color="auto" w:fill="FFFFFF"/>
        <w:jc w:val="center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INCLUDEPICTURE "http://p.blog.csdn.net/images/p_blog_csdn_net/vincetest/266723/o_case4.jpg" \* MERGEFORMATINET </w:instrText>
      </w:r>
      <w:r>
        <w:rPr>
          <w:rFonts w:ascii="Verdana" w:hAnsi="Verdana"/>
        </w:rPr>
        <w:fldChar w:fldCharType="separate"/>
      </w:r>
      <w:r>
        <w:rPr>
          <w:rFonts w:ascii="Verdana" w:hAnsi="Verdana"/>
        </w:rPr>
        <w:drawing>
          <wp:inline distT="0" distB="0" distL="114300" distR="114300">
            <wp:extent cx="3829685" cy="2886075"/>
            <wp:effectExtent l="0" t="0" r="18415" b="9525"/>
            <wp:docPr id="5" name="图片 1" descr="o_ca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o_case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fldChar w:fldCharType="end"/>
      </w:r>
    </w:p>
    <w:p>
      <w:pPr>
        <w:pStyle w:val="4"/>
        <w:shd w:val="clear" w:color="auto" w:fill="FFFFFF"/>
        <w:ind w:leftChars="200"/>
        <w:rPr>
          <w:rFonts w:ascii="Verdana" w:hAnsi="Verdana"/>
        </w:rPr>
      </w:pPr>
      <w:r>
        <w:rPr>
          <w:rFonts w:hint="eastAsia"/>
          <w:color w:val="FF0000"/>
        </w:rPr>
        <w:t>①</w:t>
      </w:r>
      <w:r>
        <w:rPr>
          <w:rFonts w:ascii="Verdana" w:hAnsi="Verdana"/>
          <w:color w:val="FF0000"/>
        </w:rPr>
        <w:t>标题</w:t>
      </w:r>
      <w:r>
        <w:rPr>
          <w:rFonts w:ascii="Verdana" w:hAnsi="Verdana"/>
        </w:rPr>
        <w:t>：这一组只有一个记录，其内容为输出成绩报告的名字。</w:t>
      </w:r>
      <w:r>
        <w:rPr>
          <w:rFonts w:ascii="Verdana" w:hAnsi="Verdana"/>
        </w:rPr>
        <w:br w:type="textWrapping"/>
      </w:r>
      <w:r>
        <w:rPr>
          <w:rFonts w:hint="eastAsia"/>
        </w:rPr>
        <w:t>②</w:t>
      </w:r>
      <w:r>
        <w:rPr>
          <w:rFonts w:ascii="Verdana" w:hAnsi="Verdana"/>
        </w:rPr>
        <w:t>试卷各题标准答案记录：每个记录均在第80个字符处标以数字"2"。该组的第一个记录的第1至第3个字符为题目编号（取值为1一999）。第10至第59个字符给出第1至第50题的答案（每个合法字符表示一个答案）。该组的第2，第3……个记录相应为第51至第100，第101至第150，…题的答案。</w:t>
      </w:r>
      <w:r>
        <w:rPr>
          <w:rFonts w:ascii="Verdana" w:hAnsi="Verdana"/>
        </w:rPr>
        <w:br w:type="textWrapping"/>
      </w:r>
      <w:r>
        <w:rPr>
          <w:rFonts w:hint="eastAsia"/>
        </w:rPr>
        <w:t>③</w:t>
      </w:r>
      <w:r>
        <w:rPr>
          <w:rFonts w:ascii="Verdana" w:hAnsi="Verdana"/>
        </w:rPr>
        <w:t>每个学生的答卷描述：该组中每个记录的第80个字符均为数字"3"。每个学生的答卷在若干个记录中给出。如甲的首记录第1至第9字符给出学生姓名及学号，第10至第59字符列出的是甲所做的第1至第50题的答案。若试题数超过50，则第2，第3……纪录分别给出他的第51至第100，第101至第150……题的解答。然后是学生乙的答卷记录。</w:t>
      </w:r>
      <w:r>
        <w:rPr>
          <w:rFonts w:ascii="Verdana" w:hAnsi="Verdana"/>
        </w:rPr>
        <w:br w:type="textWrapping"/>
      </w:r>
      <w:r>
        <w:rPr>
          <w:rFonts w:hint="eastAsia"/>
          <w:color w:val="FF0000"/>
        </w:rPr>
        <w:t>④</w:t>
      </w:r>
      <w:r>
        <w:rPr>
          <w:rFonts w:ascii="Verdana" w:hAnsi="Verdana"/>
          <w:color w:val="FF0000"/>
        </w:rPr>
        <w:t>学生人数不超过200，试题数不超过999。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br w:type="textWrapping"/>
      </w:r>
      <w:bookmarkStart w:id="0" w:name="_GoBack"/>
      <w:bookmarkEnd w:id="0"/>
      <w:r>
        <w:rPr>
          <w:rFonts w:hint="eastAsia"/>
        </w:rPr>
        <w:t>⑤</w:t>
      </w:r>
      <w:r>
        <w:rPr>
          <w:rFonts w:ascii="Verdana" w:hAnsi="Verdana"/>
        </w:rPr>
        <w:t>程序的输出有4个报告：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a)按学号排列的成绩单，列出每个学生的成绩、名次。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b)按学生成绩排序的成绩单。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c)平均分数及标准偏差的报告。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   d)试题分析报告。按试题号排序，列出各题学生答对的百分比。 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解答：分别考虑输入条件和输出条件，以及边界条件。给出下表所示的输入条件及相应的测试用例。</w:t>
      </w:r>
    </w:p>
    <w:p>
      <w:pPr>
        <w:pStyle w:val="4"/>
        <w:shd w:val="clear" w:color="auto" w:fill="FFFFFF"/>
        <w:jc w:val="center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INCLUDEPICTURE "http://p.blog.csdn.net/images/p_blog_csdn_net/vincetest/266723/o_case5.jpg" \* MERGEFORMATINET </w:instrText>
      </w:r>
      <w:r>
        <w:rPr>
          <w:rFonts w:ascii="Verdana" w:hAnsi="Verdana"/>
        </w:rPr>
        <w:fldChar w:fldCharType="separate"/>
      </w:r>
      <w:r>
        <w:rPr>
          <w:rFonts w:ascii="Verdana" w:hAnsi="Verdana"/>
        </w:rPr>
        <w:drawing>
          <wp:inline distT="0" distB="0" distL="114300" distR="114300">
            <wp:extent cx="4630420" cy="6114415"/>
            <wp:effectExtent l="0" t="0" r="17780" b="635"/>
            <wp:docPr id="2" name="图片 2" descr="o_cas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_case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fldChar w:fldCharType="end"/>
      </w:r>
    </w:p>
    <w:p>
      <w:pPr>
        <w:pStyle w:val="4"/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> 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 输出条件及相应的测试用例表。</w:t>
      </w:r>
    </w:p>
    <w:p>
      <w:pPr>
        <w:pStyle w:val="4"/>
        <w:shd w:val="clear" w:color="auto" w:fill="FFFFFF"/>
        <w:jc w:val="center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INCLUDEPICTURE "http://p.blog.csdn.net/images/p_blog_csdn_net/vincetest/266723/o_case6.jpg" \* MERGEFORMATINET </w:instrText>
      </w:r>
      <w:r>
        <w:rPr>
          <w:rFonts w:ascii="Verdana" w:hAnsi="Verdana"/>
        </w:rPr>
        <w:fldChar w:fldCharType="separate"/>
      </w:r>
      <w:r>
        <w:rPr>
          <w:rFonts w:ascii="Verdana" w:hAnsi="Verdana"/>
        </w:rPr>
        <w:drawing>
          <wp:inline distT="0" distB="0" distL="114300" distR="114300">
            <wp:extent cx="4630420" cy="3448050"/>
            <wp:effectExtent l="0" t="0" r="17780" b="0"/>
            <wp:docPr id="4" name="图片 3" descr="o_cas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o_case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fldChar w:fldCharType="end"/>
      </w:r>
    </w:p>
    <w:p>
      <w:pPr>
        <w:pStyle w:val="4"/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> 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2.三角形问题的边界值分析测试用例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在三角形问题描述中，除了要求边长是整数外，没有给出其它的限制条件。在此，我们将三角形每边边长的取范围值设值为[1, 100] 。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4686300" cy="5343525"/>
            <wp:effectExtent l="0" t="0" r="0" b="9525"/>
            <wp:docPr id="3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/>
        </w:rPr>
      </w:pPr>
      <w:r>
        <w:rPr>
          <w:rFonts w:ascii="Verdana" w:hAnsi="Verdana"/>
        </w:rPr>
        <w:t>3.NextDate函数的边界值分析测试用例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在NextDate函数中，隐含规定了变量mouth和变量day的取值范围为1≤mouth≤12和1≤day≤31，并设定变量year的取值范围为1912≤year≤2050 。</w:t>
      </w:r>
    </w:p>
    <w:p>
      <w:pPr>
        <w:rPr>
          <w:rFonts w:hint="eastAsia"/>
          <w:lang w:eastAsia="zh-CN"/>
        </w:rPr>
      </w:pPr>
      <w:r>
        <w:rPr>
          <w:szCs w:val="21"/>
        </w:rPr>
        <w:drawing>
          <wp:inline distT="0" distB="0" distL="114300" distR="114300">
            <wp:extent cx="4819650" cy="5895975"/>
            <wp:effectExtent l="0" t="0" r="0" b="9525"/>
            <wp:docPr id="1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Verdana" w:hAnsi="Verdan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9F66"/>
    <w:multiLevelType w:val="singleLevel"/>
    <w:tmpl w:val="17D09F6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3C2BAEE"/>
    <w:multiLevelType w:val="multilevel"/>
    <w:tmpl w:val="53C2BA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64E84"/>
    <w:rsid w:val="00BB48DD"/>
    <w:rsid w:val="00BF58D4"/>
    <w:rsid w:val="014F4EFA"/>
    <w:rsid w:val="026832D8"/>
    <w:rsid w:val="03901F8B"/>
    <w:rsid w:val="066874AC"/>
    <w:rsid w:val="08CD3173"/>
    <w:rsid w:val="08E91E13"/>
    <w:rsid w:val="0945231C"/>
    <w:rsid w:val="0A95475E"/>
    <w:rsid w:val="0D4926DC"/>
    <w:rsid w:val="0E1141D7"/>
    <w:rsid w:val="0EF371C6"/>
    <w:rsid w:val="11421AA9"/>
    <w:rsid w:val="118047C5"/>
    <w:rsid w:val="12562FF5"/>
    <w:rsid w:val="14497BAD"/>
    <w:rsid w:val="14834A1C"/>
    <w:rsid w:val="14EA01B6"/>
    <w:rsid w:val="15BC5319"/>
    <w:rsid w:val="16A056FD"/>
    <w:rsid w:val="16A40FD5"/>
    <w:rsid w:val="1B400954"/>
    <w:rsid w:val="1B8B69CF"/>
    <w:rsid w:val="212D70AD"/>
    <w:rsid w:val="23064E84"/>
    <w:rsid w:val="23987003"/>
    <w:rsid w:val="246922BF"/>
    <w:rsid w:val="25A15940"/>
    <w:rsid w:val="25A34CB0"/>
    <w:rsid w:val="27780F66"/>
    <w:rsid w:val="2818402D"/>
    <w:rsid w:val="28B42DF8"/>
    <w:rsid w:val="29470E79"/>
    <w:rsid w:val="2B8B01EB"/>
    <w:rsid w:val="2BC61517"/>
    <w:rsid w:val="2C1C5D00"/>
    <w:rsid w:val="312C193C"/>
    <w:rsid w:val="32A27777"/>
    <w:rsid w:val="36903463"/>
    <w:rsid w:val="36F04704"/>
    <w:rsid w:val="370223AC"/>
    <w:rsid w:val="38244732"/>
    <w:rsid w:val="38402F21"/>
    <w:rsid w:val="388B07CD"/>
    <w:rsid w:val="396008BC"/>
    <w:rsid w:val="3A23664B"/>
    <w:rsid w:val="3B403C28"/>
    <w:rsid w:val="3B5F6524"/>
    <w:rsid w:val="3C0C70F8"/>
    <w:rsid w:val="3C73736E"/>
    <w:rsid w:val="3CBC1AA3"/>
    <w:rsid w:val="3DCE7E51"/>
    <w:rsid w:val="3F052B38"/>
    <w:rsid w:val="3FAA03EF"/>
    <w:rsid w:val="3FEB5114"/>
    <w:rsid w:val="40F71B33"/>
    <w:rsid w:val="422A4E6D"/>
    <w:rsid w:val="429D7093"/>
    <w:rsid w:val="45402DDE"/>
    <w:rsid w:val="45421F69"/>
    <w:rsid w:val="468E5E24"/>
    <w:rsid w:val="47F37BBD"/>
    <w:rsid w:val="482B7D6A"/>
    <w:rsid w:val="4F0042C3"/>
    <w:rsid w:val="4F3001B4"/>
    <w:rsid w:val="50B25B51"/>
    <w:rsid w:val="513F038D"/>
    <w:rsid w:val="517C73CC"/>
    <w:rsid w:val="523A4C46"/>
    <w:rsid w:val="526F5AEA"/>
    <w:rsid w:val="542C2DB0"/>
    <w:rsid w:val="5435331F"/>
    <w:rsid w:val="545A2C04"/>
    <w:rsid w:val="5482269F"/>
    <w:rsid w:val="550B1004"/>
    <w:rsid w:val="566E7649"/>
    <w:rsid w:val="56D1163C"/>
    <w:rsid w:val="57DF6118"/>
    <w:rsid w:val="58436B20"/>
    <w:rsid w:val="598824CA"/>
    <w:rsid w:val="5B6E3F4F"/>
    <w:rsid w:val="5B8E6EAB"/>
    <w:rsid w:val="5FFB1064"/>
    <w:rsid w:val="622034C1"/>
    <w:rsid w:val="63472A90"/>
    <w:rsid w:val="64D3757C"/>
    <w:rsid w:val="64F42321"/>
    <w:rsid w:val="65A0581E"/>
    <w:rsid w:val="660335C2"/>
    <w:rsid w:val="67293892"/>
    <w:rsid w:val="685A5AC3"/>
    <w:rsid w:val="68966E46"/>
    <w:rsid w:val="68C83E92"/>
    <w:rsid w:val="6A115B68"/>
    <w:rsid w:val="6B6E67CC"/>
    <w:rsid w:val="6B8F3F4B"/>
    <w:rsid w:val="6B971303"/>
    <w:rsid w:val="6F5F40D1"/>
    <w:rsid w:val="70732D7E"/>
    <w:rsid w:val="744F10E1"/>
    <w:rsid w:val="76D419A1"/>
    <w:rsid w:val="775D6B1E"/>
    <w:rsid w:val="786B2041"/>
    <w:rsid w:val="78933B5B"/>
    <w:rsid w:val="79BF0ABF"/>
    <w:rsid w:val="79C83724"/>
    <w:rsid w:val="7B7C011E"/>
    <w:rsid w:val="7E502426"/>
    <w:rsid w:val="7E92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2018-02-01T07:21:00Z</dcterms:created>
  <dc:creator>Administrator</dc:creator>
  <cp:lastModifiedBy>Administrator</cp:lastModifiedBy>
  <dcterms:modified xsi:type="dcterms:W3CDTF">2018-02-01T07:57:07Z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