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58BF2" w14:textId="77777777" w:rsidR="00CF0C4A" w:rsidRDefault="00335ED0">
      <w:pPr>
        <w:pStyle w:val="PHeader"/>
      </w:pPr>
      <w:bookmarkStart w:id="0" w:name="_GoBack"/>
      <w:bookmarkEnd w:id="0"/>
      <w:r>
        <w:t>China, Hong Kong Special Administrative Region</w:t>
      </w:r>
    </w:p>
    <w:p w14:paraId="50769017" w14:textId="77777777" w:rsidR="00CF0C4A" w:rsidRDefault="00335ED0">
      <w:pPr>
        <w:pStyle w:val="PGoal"/>
      </w:pPr>
      <w:r>
        <w:t>Goal 2: End hunger, achieve food security and improved nutrition and promote sustainable agriculture</w:t>
      </w:r>
    </w:p>
    <w:p w14:paraId="6F829FA3" w14:textId="77777777" w:rsidR="00CF0C4A" w:rsidRDefault="00335ED0">
      <w:pPr>
        <w:pStyle w:val="BulletList"/>
      </w:pPr>
      <w:r>
        <w:t xml:space="preserve">The proportion of the population </w:t>
      </w:r>
      <w:r>
        <w:t>suffering from hunger was less than 2.5% in 2015.</w:t>
      </w:r>
    </w:p>
    <w:p w14:paraId="013335E4" w14:textId="77777777" w:rsidR="00CF0C4A" w:rsidRDefault="00335ED0">
      <w:pPr>
        <w:pStyle w:val="PGoal"/>
      </w:pPr>
      <w:r>
        <w:t>Goal 4: Ensure inclusive and equitable quality education and promote lifelong learning opportunities for all</w:t>
      </w:r>
    </w:p>
    <w:p w14:paraId="24A7211B" w14:textId="77777777" w:rsidR="00CF0C4A" w:rsidRDefault="00335ED0">
      <w:pPr>
        <w:pStyle w:val="BulletList"/>
      </w:pPr>
      <w:r>
        <w:t>In 2016, 100% of children participated in pre-primary or primary education in the year prior to t</w:t>
      </w:r>
      <w:r>
        <w:t>he official entrance age for primary school.</w:t>
      </w:r>
    </w:p>
    <w:p w14:paraId="3AADC1E8" w14:textId="77777777" w:rsidR="00CF0C4A" w:rsidRDefault="00335ED0">
      <w:pPr>
        <w:pStyle w:val="PGoal"/>
      </w:pPr>
      <w:r>
        <w:t>Goal 6: Ensure availability and sustainable management of water and sanitation for all</w:t>
      </w:r>
    </w:p>
    <w:p w14:paraId="36F4AFFF" w14:textId="77777777" w:rsidR="00CF0C4A" w:rsidRDefault="00335ED0">
      <w:pPr>
        <w:pStyle w:val="BulletList"/>
      </w:pPr>
      <w:r>
        <w:t>In 2015, 100% of the population used a "safely managed" drinking water service - an improved source located on premises, ava</w:t>
      </w:r>
      <w:r>
        <w:t>ilable when needed and free from contamination, up from 98% in 2000.</w:t>
      </w:r>
    </w:p>
    <w:p w14:paraId="6410892D" w14:textId="77777777" w:rsidR="00CF0C4A" w:rsidRDefault="00335ED0">
      <w:pPr>
        <w:pStyle w:val="BulletList"/>
      </w:pPr>
      <w:r>
        <w:t>In 2015, 16% of the population used a "safely managed" sanitation service - a basic facility that safely disposes of human waste.</w:t>
      </w:r>
    </w:p>
    <w:p w14:paraId="696B5E62" w14:textId="77777777" w:rsidR="00CF0C4A" w:rsidRDefault="00335ED0">
      <w:pPr>
        <w:pStyle w:val="PGoal"/>
      </w:pPr>
      <w:r>
        <w:t>Goal 7: Ensure access to affordable, reliable, sustainabl</w:t>
      </w:r>
      <w:r>
        <w:t>e and modern energy for all</w:t>
      </w:r>
    </w:p>
    <w:p w14:paraId="5710CA0A" w14:textId="77777777" w:rsidR="00CF0C4A" w:rsidRDefault="00335ED0">
      <w:pPr>
        <w:pStyle w:val="BulletList"/>
      </w:pPr>
      <w:r>
        <w:t>The proportion of the population with access to electricity was 100% in 2016.</w:t>
      </w:r>
    </w:p>
    <w:p w14:paraId="3A23C5D0" w14:textId="77777777" w:rsidR="00CF0C4A" w:rsidRDefault="00335ED0">
      <w:pPr>
        <w:pStyle w:val="PGoal"/>
      </w:pPr>
      <w:r>
        <w:t>Goal 8: Promote sustained, inclusive and sustainable economic growth, full and productive employment and decent work for all</w:t>
      </w:r>
    </w:p>
    <w:p w14:paraId="096890C9" w14:textId="77777777" w:rsidR="00CF0C4A" w:rsidRDefault="00335ED0">
      <w:pPr>
        <w:pStyle w:val="BulletList"/>
      </w:pPr>
      <w:r>
        <w:t>The annual growth rate of</w:t>
      </w:r>
      <w:r>
        <w:t xml:space="preserve"> real gross domestic product (GDP) per capita declined from 6.3% in 2000 to 1.2% in 2016.</w:t>
      </w:r>
    </w:p>
    <w:p w14:paraId="0B8728CB" w14:textId="77777777" w:rsidR="00CF0C4A" w:rsidRDefault="00335ED0">
      <w:pPr>
        <w:pStyle w:val="PGoal"/>
      </w:pPr>
      <w:r>
        <w:t>Goal 9: Build resilient infrastructure, promote inclusive and sustainable industrialization and foster innovation</w:t>
      </w:r>
    </w:p>
    <w:p w14:paraId="5B34A8F2" w14:textId="77777777" w:rsidR="00CF0C4A" w:rsidRDefault="00335ED0">
      <w:pPr>
        <w:pStyle w:val="BulletList"/>
      </w:pPr>
      <w:r>
        <w:t>The carbon dioxide emissions per unit of GDP decreas</w:t>
      </w:r>
      <w:r>
        <w:t>ed from 0.18 kilograms in 2000 to 0.11 kilograms in 2015.</w:t>
      </w:r>
    </w:p>
    <w:p w14:paraId="0E422468" w14:textId="77777777" w:rsidR="00CF0C4A" w:rsidRDefault="00335ED0">
      <w:pPr>
        <w:pStyle w:val="BulletList"/>
      </w:pPr>
      <w:r>
        <w:t>In 2016, investment in research and development (R&amp;D) stood at 0.79% of GDP, up from 0.46% in 2000.</w:t>
      </w:r>
    </w:p>
    <w:p w14:paraId="1A7B711E" w14:textId="77777777" w:rsidR="00CF0C4A" w:rsidRDefault="00335ED0">
      <w:pPr>
        <w:pStyle w:val="BulletList"/>
      </w:pPr>
      <w:r>
        <w:t>In 2016, 100% of the population was in range of at least a second-generation (2G) cellular signal.</w:t>
      </w:r>
    </w:p>
    <w:p w14:paraId="0CAF3C61" w14:textId="77777777" w:rsidR="00CF0C4A" w:rsidRDefault="00335ED0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39AC1CB8" w14:textId="77777777" w:rsidR="00CF0C4A" w:rsidRDefault="00335ED0">
      <w:pPr>
        <w:pStyle w:val="BulletList"/>
      </w:pPr>
      <w:r>
        <w:t>The average proportion of terrestrial key biodiversity ar</w:t>
      </w:r>
      <w:r>
        <w:t>eas (KBAs) covered by protected areas was 57% in 2018.</w:t>
      </w:r>
    </w:p>
    <w:p w14:paraId="1AD6A3A0" w14:textId="77777777" w:rsidR="00CF0C4A" w:rsidRDefault="00335ED0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374FF05E" w14:textId="77777777" w:rsidR="00CF0C4A" w:rsidRDefault="00335ED0">
      <w:pPr>
        <w:pStyle w:val="BulletList"/>
      </w:pPr>
      <w:r>
        <w:t xml:space="preserve">In 2016, the </w:t>
      </w:r>
      <w:r>
        <w:t>intentional homicide rate was 0.38 per 100,000 population.</w:t>
      </w:r>
    </w:p>
    <w:p w14:paraId="10C50551" w14:textId="77777777" w:rsidR="00CF0C4A" w:rsidRDefault="00335ED0">
      <w:pPr>
        <w:pStyle w:val="PGoal"/>
      </w:pPr>
      <w:r>
        <w:t>Goal 17: Strengthen the means of implementation and revitalize the Global Partnership for Sustainable Development</w:t>
      </w:r>
    </w:p>
    <w:p w14:paraId="7169AC9F" w14:textId="77777777" w:rsidR="00CF0C4A" w:rsidRDefault="00335ED0">
      <w:pPr>
        <w:pStyle w:val="BulletList"/>
      </w:pPr>
      <w:r>
        <w:t>As of 2017, China, Hong Kong Special Administrative Region has developed national s</w:t>
      </w:r>
      <w:r>
        <w:t>tatistical plans that are fully funded.</w:t>
      </w:r>
    </w:p>
    <w:p w14:paraId="7E103270" w14:textId="77777777" w:rsidR="00CF0C4A" w:rsidRDefault="00335ED0">
      <w:pPr>
        <w:pStyle w:val="BulletList"/>
      </w:pPr>
      <w:r>
        <w:t>In 2016, the inflow of personal remittances was 0.12% of GDP.</w:t>
      </w:r>
    </w:p>
    <w:p w14:paraId="4E6BFB6E" w14:textId="77777777" w:rsidR="00CF0C4A" w:rsidRDefault="00335ED0">
      <w:pPr>
        <w:pStyle w:val="BulletList"/>
      </w:pPr>
      <w:r>
        <w:t>In 2016, fixed-broadband internet penetration reached 36% of the population, up from 6.5% in 2000.</w:t>
      </w:r>
    </w:p>
    <w:p w14:paraId="1F9997D6" w14:textId="77777777" w:rsidR="00CF0C4A" w:rsidRDefault="00335ED0">
      <w:pPr>
        <w:pStyle w:val="PHeaderFooter"/>
      </w:pPr>
      <w:r>
        <w:t>________________________</w:t>
      </w:r>
    </w:p>
    <w:p w14:paraId="62629D4B" w14:textId="77777777" w:rsidR="00CF0C4A" w:rsidRDefault="00335ED0">
      <w:pPr>
        <w:pStyle w:val="PHeaderFooter"/>
      </w:pPr>
      <w:r>
        <w:t xml:space="preserve">Note (1): This fact sheet was </w:t>
      </w:r>
      <w:r>
        <w:t>prepared by the UN Statistics Division on selected indicators.  More data and information are available in the Sustainable Development Goal Indicators Database (http://unstats.un.org/sdgs/indicators/database/).</w:t>
      </w:r>
    </w:p>
    <w:p w14:paraId="7C393B0E" w14:textId="77777777" w:rsidR="00CF0C4A" w:rsidRDefault="00335ED0">
      <w:pPr>
        <w:pStyle w:val="PHeaderFooter"/>
      </w:pPr>
      <w:r>
        <w:t>Note (2): Some Goals may have been omitted fr</w:t>
      </w:r>
      <w:r>
        <w:t>om this profile due to a lack of data availability.</w:t>
      </w:r>
    </w:p>
    <w:sectPr w:rsidR="00CF0C4A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BA562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E147E0A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3DB85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72FD4F6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2109A87A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625DF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79A34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76B38D96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DE4EF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C0B6D" w14:textId="06FB767C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335ED0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641D1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00BEDFE2">
      <w:start w:val="1"/>
      <w:numFmt w:val="decimal"/>
      <w:lvlText w:val="%1."/>
      <w:lvlJc w:val="left"/>
      <w:pPr>
        <w:ind w:left="576" w:hanging="576"/>
      </w:pPr>
    </w:lvl>
    <w:lvl w:ilvl="1" w:tplc="6570CFB6">
      <w:start w:val="1"/>
      <w:numFmt w:val="decimal"/>
      <w:lvlText w:val="%2."/>
      <w:lvlJc w:val="left"/>
      <w:pPr>
        <w:ind w:left="1152" w:hanging="576"/>
      </w:pPr>
    </w:lvl>
    <w:lvl w:ilvl="2" w:tplc="F8C436BC">
      <w:start w:val="1"/>
      <w:numFmt w:val="decimal"/>
      <w:lvlText w:val="%3."/>
      <w:lvlJc w:val="left"/>
      <w:pPr>
        <w:ind w:left="1728" w:hanging="576"/>
      </w:pPr>
    </w:lvl>
    <w:lvl w:ilvl="3" w:tplc="43A0DCEE">
      <w:start w:val="1"/>
      <w:numFmt w:val="decimal"/>
      <w:lvlText w:val="%4."/>
      <w:lvlJc w:val="left"/>
      <w:pPr>
        <w:ind w:left="2304" w:hanging="576"/>
      </w:pPr>
    </w:lvl>
    <w:lvl w:ilvl="4" w:tplc="18E8F3BA">
      <w:start w:val="1"/>
      <w:numFmt w:val="decimal"/>
      <w:lvlText w:val="%5."/>
      <w:lvlJc w:val="left"/>
      <w:pPr>
        <w:ind w:left="2880" w:hanging="576"/>
      </w:pPr>
    </w:lvl>
    <w:lvl w:ilvl="5" w:tplc="A6D8534C">
      <w:start w:val="1"/>
      <w:numFmt w:val="decimal"/>
      <w:lvlText w:val="%6."/>
      <w:lvlJc w:val="left"/>
      <w:pPr>
        <w:ind w:left="3456" w:hanging="576"/>
      </w:pPr>
    </w:lvl>
    <w:lvl w:ilvl="6" w:tplc="021C35DA">
      <w:start w:val="1"/>
      <w:numFmt w:val="decimal"/>
      <w:lvlText w:val="%7."/>
      <w:lvlJc w:val="left"/>
      <w:pPr>
        <w:ind w:left="4032" w:hanging="576"/>
      </w:pPr>
    </w:lvl>
    <w:lvl w:ilvl="7" w:tplc="6E4A810C">
      <w:start w:val="1"/>
      <w:numFmt w:val="decimal"/>
      <w:lvlText w:val="%8."/>
      <w:lvlJc w:val="left"/>
      <w:pPr>
        <w:ind w:left="4608" w:hanging="576"/>
      </w:pPr>
    </w:lvl>
    <w:lvl w:ilvl="8" w:tplc="4956FD3A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D3E22D22">
      <w:start w:val="1"/>
      <w:numFmt w:val="bullet"/>
      <w:lvlText w:val="● "/>
      <w:lvlJc w:val="left"/>
      <w:pPr>
        <w:ind w:left="576" w:hanging="576"/>
      </w:pPr>
    </w:lvl>
    <w:lvl w:ilvl="1" w:tplc="001A62CE">
      <w:start w:val="1"/>
      <w:numFmt w:val="bullet"/>
      <w:lvlText w:val="○ "/>
      <w:lvlJc w:val="left"/>
      <w:pPr>
        <w:ind w:left="1152" w:hanging="576"/>
      </w:pPr>
    </w:lvl>
    <w:lvl w:ilvl="2" w:tplc="100E624C">
      <w:start w:val="1"/>
      <w:numFmt w:val="bullet"/>
      <w:lvlText w:val="∎ "/>
      <w:lvlJc w:val="left"/>
      <w:pPr>
        <w:ind w:left="1728" w:hanging="576"/>
      </w:pPr>
    </w:lvl>
    <w:lvl w:ilvl="3" w:tplc="8E82BBF8">
      <w:start w:val="1"/>
      <w:numFmt w:val="bullet"/>
      <w:lvlText w:val="● "/>
      <w:lvlJc w:val="left"/>
      <w:pPr>
        <w:ind w:left="2304" w:hanging="576"/>
      </w:pPr>
    </w:lvl>
    <w:lvl w:ilvl="4" w:tplc="B67AF6E4">
      <w:start w:val="1"/>
      <w:numFmt w:val="bullet"/>
      <w:lvlText w:val="○ "/>
      <w:lvlJc w:val="left"/>
      <w:pPr>
        <w:ind w:left="2880" w:hanging="576"/>
      </w:pPr>
    </w:lvl>
    <w:lvl w:ilvl="5" w:tplc="356CD9D8">
      <w:start w:val="1"/>
      <w:numFmt w:val="bullet"/>
      <w:lvlText w:val="∎ "/>
      <w:lvlJc w:val="left"/>
      <w:pPr>
        <w:ind w:left="3456" w:hanging="576"/>
      </w:pPr>
    </w:lvl>
    <w:lvl w:ilvl="6" w:tplc="E8C464A8">
      <w:start w:val="1"/>
      <w:numFmt w:val="bullet"/>
      <w:lvlText w:val="● "/>
      <w:lvlJc w:val="left"/>
      <w:pPr>
        <w:ind w:left="4032" w:hanging="576"/>
      </w:pPr>
    </w:lvl>
    <w:lvl w:ilvl="7" w:tplc="F1BA1014">
      <w:start w:val="1"/>
      <w:numFmt w:val="bullet"/>
      <w:lvlText w:val="○ "/>
      <w:lvlJc w:val="left"/>
      <w:pPr>
        <w:ind w:left="4608" w:hanging="576"/>
      </w:pPr>
    </w:lvl>
    <w:lvl w:ilvl="8" w:tplc="3A0E980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35ED0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CF0C4A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2018-11-28T17:38:00Z</dcterms:modified>
  <cp:version/>
</cp:coreProperties>
</file>