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37C9" w14:textId="77777777" w:rsidR="000C1A9B" w:rsidRDefault="000A41FF">
      <w:pPr>
        <w:pStyle w:val="PHeader"/>
      </w:pPr>
      <w:bookmarkStart w:id="0" w:name="_GoBack"/>
      <w:bookmarkEnd w:id="0"/>
      <w:r>
        <w:t>Faroe Islands</w:t>
      </w:r>
    </w:p>
    <w:p w14:paraId="2A6EF728" w14:textId="77777777" w:rsidR="000C1A9B" w:rsidRDefault="000A41FF">
      <w:pPr>
        <w:pStyle w:val="PGoal"/>
      </w:pPr>
      <w:r>
        <w:t>Goal 7: Ensure access to affordable, reliable, sustainable and modern energy for all</w:t>
      </w:r>
    </w:p>
    <w:p w14:paraId="7E0C8AE6" w14:textId="77777777" w:rsidR="000C1A9B" w:rsidRDefault="000A41FF">
      <w:pPr>
        <w:pStyle w:val="BulletList"/>
      </w:pPr>
      <w:r>
        <w:t>The proportion of the population with access to electricity was 100% in 2016.</w:t>
      </w:r>
    </w:p>
    <w:p w14:paraId="4239A3CC" w14:textId="77777777" w:rsidR="000C1A9B" w:rsidRDefault="000A41FF">
      <w:pPr>
        <w:pStyle w:val="PGoal"/>
      </w:pPr>
      <w:r>
        <w:t>Goal 9:</w:t>
      </w:r>
      <w:r>
        <w:t xml:space="preserve"> Build resilient infrastructure, promote inclusive and sustainable industrialization and foster innovation</w:t>
      </w:r>
    </w:p>
    <w:p w14:paraId="384DA7E5" w14:textId="77777777" w:rsidR="000C1A9B" w:rsidRDefault="000A41FF">
      <w:pPr>
        <w:pStyle w:val="BulletList"/>
      </w:pPr>
      <w:r>
        <w:t>In 2003, investment in research and development (R&amp;D) stood at 0.86% of GDP.</w:t>
      </w:r>
    </w:p>
    <w:p w14:paraId="162ECD6B" w14:textId="77777777" w:rsidR="000C1A9B" w:rsidRDefault="000A41FF">
      <w:pPr>
        <w:pStyle w:val="BulletList"/>
      </w:pPr>
      <w:r>
        <w:t>In 2016, 100% of the population was in range of at least a second-genera</w:t>
      </w:r>
      <w:r>
        <w:t>tion (2G) cellular signal, up from 98% in 2002.</w:t>
      </w:r>
    </w:p>
    <w:p w14:paraId="1C8B3174" w14:textId="77777777" w:rsidR="000C1A9B" w:rsidRDefault="000A41FF">
      <w:pPr>
        <w:pStyle w:val="PGoal"/>
      </w:pPr>
      <w:r>
        <w:t>Goal 14: Conserve and sustainably use the oceans, seas and marine resources for sustainable development</w:t>
      </w:r>
    </w:p>
    <w:p w14:paraId="22F4EFBB" w14:textId="77777777" w:rsidR="000C1A9B" w:rsidRDefault="000A41FF">
      <w:pPr>
        <w:pStyle w:val="BulletList"/>
      </w:pPr>
      <w:r>
        <w:t>In 2017, 0.01% of the marine environment under national jurisdiction (up to 200 nautical miles from shor</w:t>
      </w:r>
      <w:r>
        <w:t>e) was under protection.</w:t>
      </w:r>
    </w:p>
    <w:p w14:paraId="299DA271" w14:textId="77777777" w:rsidR="000C1A9B" w:rsidRDefault="000A41FF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1F6D83CC" w14:textId="77777777" w:rsidR="000C1A9B" w:rsidRDefault="000A41FF">
      <w:pPr>
        <w:pStyle w:val="BulletList"/>
      </w:pPr>
      <w:r>
        <w:t>Land area covered by forest was 0</w:t>
      </w:r>
      <w:r>
        <w:t>.06% in 2015.</w:t>
      </w:r>
    </w:p>
    <w:p w14:paraId="4765EC2C" w14:textId="77777777" w:rsidR="000C1A9B" w:rsidRDefault="000A41FF">
      <w:pPr>
        <w:pStyle w:val="BulletList"/>
      </w:pPr>
      <w:r>
        <w:t>The average proportion of terrestrial key biodiversity areas (KBAs) covered by protected areas was 6.7% in 2018.</w:t>
      </w:r>
    </w:p>
    <w:p w14:paraId="2C221D44" w14:textId="77777777" w:rsidR="000C1A9B" w:rsidRDefault="000A41FF">
      <w:pPr>
        <w:pStyle w:val="PGoal"/>
      </w:pPr>
      <w:r>
        <w:t>Goal 17: Strengthen the means of implementation and revitalize the Global Partnership for Sustainable Development</w:t>
      </w:r>
    </w:p>
    <w:p w14:paraId="33C985E8" w14:textId="77777777" w:rsidR="000C1A9B" w:rsidRDefault="000A41FF">
      <w:pPr>
        <w:pStyle w:val="BulletList"/>
      </w:pPr>
      <w:r>
        <w:t>In 2015, the in</w:t>
      </w:r>
      <w:r>
        <w:t>flow of personal remittances was 6.4% of GDP, up from 4% in 2000.</w:t>
      </w:r>
    </w:p>
    <w:p w14:paraId="5522E4B4" w14:textId="77777777" w:rsidR="000C1A9B" w:rsidRDefault="000A41FF">
      <w:pPr>
        <w:pStyle w:val="BulletList"/>
      </w:pPr>
      <w:r>
        <w:t>In 2016, fixed-broadband internet penetration reached 37% of the population, up from 0.11% in 2001.</w:t>
      </w:r>
    </w:p>
    <w:p w14:paraId="36ACBBE9" w14:textId="77777777" w:rsidR="000C1A9B" w:rsidRDefault="000A41FF">
      <w:pPr>
        <w:pStyle w:val="PHeaderFooter"/>
      </w:pPr>
      <w:r>
        <w:t>________________________</w:t>
      </w:r>
    </w:p>
    <w:p w14:paraId="1BB1B06A" w14:textId="77777777" w:rsidR="000C1A9B" w:rsidRDefault="000A41FF">
      <w:pPr>
        <w:pStyle w:val="PHeaderFooter"/>
      </w:pPr>
      <w:r>
        <w:t>Note (1): This fact sheet was prepared by the UN Statistics Divis</w:t>
      </w:r>
      <w:r>
        <w:t>ion on selected indicators.  More data and information are available in the Sustainable Development Goal Indicators Database (http://unstats.un.org/sdgs/indicators/database/).</w:t>
      </w:r>
    </w:p>
    <w:p w14:paraId="0AC99306" w14:textId="77777777" w:rsidR="000C1A9B" w:rsidRDefault="000A41FF">
      <w:pPr>
        <w:pStyle w:val="PHeaderFooter"/>
      </w:pPr>
      <w:r>
        <w:t>Note (2): Some Goals may have been omitted from this profile due to a lack of da</w:t>
      </w:r>
      <w:r>
        <w:t>ta availability.</w:t>
      </w:r>
    </w:p>
    <w:sectPr w:rsidR="000C1A9B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EEB14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E4D142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A12B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9E84349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E6A15B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328B1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C48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CCD1C2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C4B5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85795" w14:textId="176C5DA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0A41FF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B8D0D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3589596">
      <w:start w:val="1"/>
      <w:numFmt w:val="decimal"/>
      <w:lvlText w:val="%1."/>
      <w:lvlJc w:val="left"/>
      <w:pPr>
        <w:ind w:left="576" w:hanging="576"/>
      </w:pPr>
    </w:lvl>
    <w:lvl w:ilvl="1" w:tplc="2242B606">
      <w:start w:val="1"/>
      <w:numFmt w:val="decimal"/>
      <w:lvlText w:val="%2."/>
      <w:lvlJc w:val="left"/>
      <w:pPr>
        <w:ind w:left="1152" w:hanging="576"/>
      </w:pPr>
    </w:lvl>
    <w:lvl w:ilvl="2" w:tplc="B53A05D0">
      <w:start w:val="1"/>
      <w:numFmt w:val="decimal"/>
      <w:lvlText w:val="%3."/>
      <w:lvlJc w:val="left"/>
      <w:pPr>
        <w:ind w:left="1728" w:hanging="576"/>
      </w:pPr>
    </w:lvl>
    <w:lvl w:ilvl="3" w:tplc="63FE880A">
      <w:start w:val="1"/>
      <w:numFmt w:val="decimal"/>
      <w:lvlText w:val="%4."/>
      <w:lvlJc w:val="left"/>
      <w:pPr>
        <w:ind w:left="2304" w:hanging="576"/>
      </w:pPr>
    </w:lvl>
    <w:lvl w:ilvl="4" w:tplc="60C4B716">
      <w:start w:val="1"/>
      <w:numFmt w:val="decimal"/>
      <w:lvlText w:val="%5."/>
      <w:lvlJc w:val="left"/>
      <w:pPr>
        <w:ind w:left="2880" w:hanging="576"/>
      </w:pPr>
    </w:lvl>
    <w:lvl w:ilvl="5" w:tplc="6422055E">
      <w:start w:val="1"/>
      <w:numFmt w:val="decimal"/>
      <w:lvlText w:val="%6."/>
      <w:lvlJc w:val="left"/>
      <w:pPr>
        <w:ind w:left="3456" w:hanging="576"/>
      </w:pPr>
    </w:lvl>
    <w:lvl w:ilvl="6" w:tplc="2F50933E">
      <w:start w:val="1"/>
      <w:numFmt w:val="decimal"/>
      <w:lvlText w:val="%7."/>
      <w:lvlJc w:val="left"/>
      <w:pPr>
        <w:ind w:left="4032" w:hanging="576"/>
      </w:pPr>
    </w:lvl>
    <w:lvl w:ilvl="7" w:tplc="3E24449A">
      <w:start w:val="1"/>
      <w:numFmt w:val="decimal"/>
      <w:lvlText w:val="%8."/>
      <w:lvlJc w:val="left"/>
      <w:pPr>
        <w:ind w:left="4608" w:hanging="576"/>
      </w:pPr>
    </w:lvl>
    <w:lvl w:ilvl="8" w:tplc="12ACBF0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8E889BA4">
      <w:start w:val="1"/>
      <w:numFmt w:val="bullet"/>
      <w:lvlText w:val="● "/>
      <w:lvlJc w:val="left"/>
      <w:pPr>
        <w:ind w:left="576" w:hanging="576"/>
      </w:pPr>
    </w:lvl>
    <w:lvl w:ilvl="1" w:tplc="47AACD50">
      <w:start w:val="1"/>
      <w:numFmt w:val="bullet"/>
      <w:lvlText w:val="○ "/>
      <w:lvlJc w:val="left"/>
      <w:pPr>
        <w:ind w:left="1152" w:hanging="576"/>
      </w:pPr>
    </w:lvl>
    <w:lvl w:ilvl="2" w:tplc="289C348C">
      <w:start w:val="1"/>
      <w:numFmt w:val="bullet"/>
      <w:lvlText w:val="∎ "/>
      <w:lvlJc w:val="left"/>
      <w:pPr>
        <w:ind w:left="1728" w:hanging="576"/>
      </w:pPr>
    </w:lvl>
    <w:lvl w:ilvl="3" w:tplc="3AD4497E">
      <w:start w:val="1"/>
      <w:numFmt w:val="bullet"/>
      <w:lvlText w:val="● "/>
      <w:lvlJc w:val="left"/>
      <w:pPr>
        <w:ind w:left="2304" w:hanging="576"/>
      </w:pPr>
    </w:lvl>
    <w:lvl w:ilvl="4" w:tplc="DE7CF8EE">
      <w:start w:val="1"/>
      <w:numFmt w:val="bullet"/>
      <w:lvlText w:val="○ "/>
      <w:lvlJc w:val="left"/>
      <w:pPr>
        <w:ind w:left="2880" w:hanging="576"/>
      </w:pPr>
    </w:lvl>
    <w:lvl w:ilvl="5" w:tplc="8A4ADB3A">
      <w:start w:val="1"/>
      <w:numFmt w:val="bullet"/>
      <w:lvlText w:val="∎ "/>
      <w:lvlJc w:val="left"/>
      <w:pPr>
        <w:ind w:left="3456" w:hanging="576"/>
      </w:pPr>
    </w:lvl>
    <w:lvl w:ilvl="6" w:tplc="D144BF16">
      <w:start w:val="1"/>
      <w:numFmt w:val="bullet"/>
      <w:lvlText w:val="● "/>
      <w:lvlJc w:val="left"/>
      <w:pPr>
        <w:ind w:left="4032" w:hanging="576"/>
      </w:pPr>
    </w:lvl>
    <w:lvl w:ilvl="7" w:tplc="42A8B49E">
      <w:start w:val="1"/>
      <w:numFmt w:val="bullet"/>
      <w:lvlText w:val="○ "/>
      <w:lvlJc w:val="left"/>
      <w:pPr>
        <w:ind w:left="4608" w:hanging="576"/>
      </w:pPr>
    </w:lvl>
    <w:lvl w:ilvl="8" w:tplc="810662A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A41FF"/>
    <w:rsid w:val="000C1A9B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2018-11-28T21:28:00Z</dcterms:modified>
  <cp:version/>
</cp:coreProperties>
</file>