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6122"/>
      </w:tblGrid>
      <w:tr w:rsidRPr="00155B79" w:rsidR="0002100C" w:rsidTr="3C71AE8F" w14:paraId="4612C4C5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75735C4" w:rsidP="175735C4" w:rsidRDefault="175735C4" w14:paraId="3336CE4E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D3EB56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75735C4" w:rsidP="3C71AE8F" w:rsidRDefault="175735C4" w14:paraId="7F277A9B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D3EB56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175735C4" w:rsidP="175735C4" w:rsidRDefault="175735C4" w14:paraId="6B9D6EEF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D3EB56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0A380E8" w:rsidP="175735C4" w:rsidRDefault="20A380E8" w14:paraId="31F0EE8A" w14:textId="5E7D3A2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175735C4" w:rsidR="20A380E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2E017C2E" w14:textId="77777777" w14:noSpellErr="1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461AF24C" w:rsidR="0002100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Contact point in international agency</w:t>
            </w:r>
            <w:r w:rsidRPr="461AF24C" w:rsidR="0002100C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062AC89E" w14:textId="0181D985">
            <w:pPr>
              <w:textAlignment w:val="baselin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Data Production and Analysis Unit, Department of Statistics </w:t>
            </w:r>
          </w:p>
          <w:p w:rsidRPr="00155B79" w:rsidR="0002100C" w:rsidP="461AF24C" w:rsidRDefault="0002100C" w14:paraId="317783E3" w14:textId="63896B20">
            <w:pPr>
              <w:textAlignment w:val="baselin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International Labour Organization (ILO) </w:t>
            </w:r>
          </w:p>
          <w:p w:rsidRPr="00155B79" w:rsidR="0002100C" w:rsidP="461AF24C" w:rsidRDefault="0002100C" w14:paraId="11051BA2" w14:textId="2A3E9CF0">
            <w:pPr>
              <w:textAlignment w:val="baselin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Email: </w:t>
            </w:r>
            <w:hyperlink r:id="R6844b42410a14ab7">
              <w:r w:rsidRPr="461AF24C" w:rsidR="0B6118AB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ilostat@ilo.org</w:t>
              </w:r>
            </w:hyperlink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Pr="00155B79" w:rsidR="0002100C" w:rsidP="461AF24C" w:rsidRDefault="0002100C" w14:paraId="32435899" w14:textId="48C761DF">
            <w:pPr>
              <w:textAlignment w:val="baselin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Website: </w:t>
            </w:r>
            <w:hyperlink>
              <w:r w:rsidRPr="461AF24C" w:rsidR="0B6118AB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www.ilo.org/ilostat</w:t>
              </w:r>
            </w:hyperlink>
            <w:r w:rsidRPr="461AF24C" w:rsidR="0B6118A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  </w:t>
            </w:r>
          </w:p>
          <w:p w:rsidRPr="00155B79" w:rsidR="0002100C" w:rsidP="461AF24C" w:rsidRDefault="0002100C" w14:paraId="1780DFB4" w14:textId="5385A6E5">
            <w:pPr>
              <w:pStyle w:val="Normal"/>
              <w:textAlignment w:val="baseline"/>
              <w:rPr>
                <w:rStyle w:val="eop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155B79" w:rsidR="0002100C" w:rsidTr="3C71AE8F" w14:paraId="2EE2BC90" w14:textId="77777777">
        <w:trPr>
          <w:trHeight w:val="1125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471FA3C4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225EB90F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183413C1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9427200" w:rsidP="175735C4" w:rsidRDefault="09427200" w14:paraId="33CACB95" w14:textId="385B4961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B6880A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913A53D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International agreed definition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02100C" w:rsidP="00A048A5" w:rsidRDefault="0002100C" w14:paraId="5291316A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is the number of persons in the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as a percentage of the working-age population. The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 is the sum of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the number of persons employed and the number of persons unemployed.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Thus, the measurement of the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requires the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measurement of both employment and unemployment. Employment comprises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all persons of working age who during a specified brief period, such as one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week or one day, were in the following categories: a) paid employment (whether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at work or with a job but not at work); or b) self-employment (whether at work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or with an enterprise but not at work). The unemployed comprise all persons of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working age who were: a) without work during the reference period, </w:t>
            </w:r>
            <w:proofErr w:type="gram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were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not in paid employment or self-employment; b) currently available for work, i.e.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were available for paid employment or self-employment during the reference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period; and c) seeking work, i.e. had taken specific steps in a specified recent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period to seek paid employment or self-employment.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02100C" w:rsidP="00A048A5" w:rsidRDefault="0002100C" w14:paraId="4CA1CCE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2100C" w:rsidP="461AF24C" w:rsidRDefault="0002100C" w14:paraId="7FEAC4BA" w14:textId="109B82D6">
            <w:pPr>
              <w:rPr>
                <w:rFonts w:ascii="Calibri" w:hAnsi="Calibri" w:cs="Calibri"/>
                <w:sz w:val="20"/>
                <w:szCs w:val="20"/>
              </w:rPr>
            </w:pPr>
            <w:r w:rsidRPr="461AF24C" w:rsidR="0002100C">
              <w:rPr>
                <w:rFonts w:ascii="Calibri" w:hAnsi="Calibri" w:cs="Calibri"/>
                <w:sz w:val="20"/>
                <w:szCs w:val="20"/>
              </w:rPr>
              <w:t>The working-age population is the population above the legal working age, but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for statistical purposes it comprises all persons above a specified minimum age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threshold for which an inquiry on economic activity is made. To promote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international comparability, the working-age population is often defined as all persons aged 15 and older, but this may vary from country to country based on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national laws and practices (some countries also apply an upper age limit). </w:t>
            </w:r>
          </w:p>
          <w:p w:rsidR="0002100C" w:rsidP="461AF24C" w:rsidRDefault="0002100C" w14:paraId="65DD385F" w14:textId="1BFC414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2100C" w:rsidP="461AF24C" w:rsidRDefault="0002100C" w14:paraId="54DCF8FF" w14:textId="05DF52F0">
            <w:pPr>
              <w:rPr>
                <w:rFonts w:ascii="Calibri" w:hAnsi="Calibri" w:cs="Calibri"/>
                <w:sz w:val="20"/>
                <w:szCs w:val="20"/>
              </w:rPr>
            </w:pP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The inactivity rate is equal to 100 minus the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rate,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where the participation rate is expressed as a number between 0 and 100.</w:t>
            </w:r>
            <w:r w:rsidRPr="4054A090" w:rsidR="372F486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ILOSTAT also contains statistics on persons outside the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force (formerly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known as the economically inactive population). The employment-to-population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ratio is equal to the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force participation rate after the deduction of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054A090" w:rsidR="0002100C">
              <w:rPr>
                <w:rFonts w:ascii="Calibri" w:hAnsi="Calibri" w:cs="Calibri"/>
                <w:sz w:val="20"/>
                <w:szCs w:val="20"/>
              </w:rPr>
              <w:t>unemployment from the numerator of the rate.</w:t>
            </w:r>
          </w:p>
          <w:p w:rsidRPr="00155B79" w:rsidR="0002100C" w:rsidP="461AF24C" w:rsidRDefault="0002100C" w14:paraId="42BB84CE" w14:noSpellErr="1" w14:textId="62DAABE7">
            <w:pPr>
              <w:pStyle w:val="Normal"/>
              <w:textAlignment w:val="baseline"/>
              <w:rPr>
                <w:rFonts w:eastAsia="Times New Roman" w:cs="Calibri" w:cstheme="minorAscii"/>
                <w:sz w:val="20"/>
                <w:szCs w:val="20"/>
              </w:rPr>
            </w:pPr>
          </w:p>
        </w:tc>
      </w:tr>
      <w:tr w:rsidRPr="00155B79" w:rsidR="0002100C" w:rsidTr="3C71AE8F" w14:paraId="3FDBEFC2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1D8BD081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0C631A23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3A98F002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9427200" w:rsidP="175735C4" w:rsidRDefault="09427200" w14:paraId="7EEBE20E" w14:textId="658AEC8F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A96B8E2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4B689F1A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Method of computation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02100C" w:rsidP="00B044CE" w:rsidRDefault="0002100C" w14:paraId="7E76EEBE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B044CE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00B044CE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B044CE">
              <w:rPr>
                <w:rFonts w:ascii="Calibri" w:hAnsi="Calibri" w:cs="Calibri"/>
                <w:sz w:val="20"/>
                <w:szCs w:val="20"/>
              </w:rPr>
              <w:t xml:space="preserve"> force participation rate is calculated as follows:</w:t>
            </w:r>
          </w:p>
          <w:p w:rsidR="0002100C" w:rsidP="00B044CE" w:rsidRDefault="0002100C" w14:paraId="4995940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2100C" w:rsidP="00B044CE" w:rsidRDefault="0002100C" w14:paraId="298DC1FF" w14:textId="0681F945">
            <w:pPr>
              <w:rPr>
                <w:rFonts w:ascii="Calibri" w:hAnsi="Calibri" w:cs="Calibri"/>
                <w:sz w:val="20"/>
                <w:szCs w:val="20"/>
              </w:rPr>
            </w:pPr>
            <w:r w:rsidRPr="00B044CE">
              <w:rPr>
                <w:rFonts w:ascii="Calibri" w:hAnsi="Calibri" w:cs="Calibri"/>
                <w:sz w:val="20"/>
                <w:szCs w:val="20"/>
              </w:rPr>
              <w:t>LFPR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44CE">
              <w:rPr>
                <w:rFonts w:ascii="Calibri" w:hAnsi="Calibri" w:cs="Calibri"/>
                <w:sz w:val="20"/>
                <w:szCs w:val="20"/>
              </w:rPr>
              <w:t xml:space="preserve">(%) =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 w:rsidRPr="00B044CE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B044CE">
              <w:rPr>
                <w:rFonts w:ascii="Calibri" w:hAnsi="Calibri" w:cs="Calibri"/>
                <w:sz w:val="20"/>
                <w:szCs w:val="20"/>
              </w:rPr>
              <w:t xml:space="preserve"> force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/</w:t>
            </w:r>
            <w:r w:rsidRPr="00B044CE">
              <w:rPr>
                <w:rFonts w:ascii="Calibri" w:hAnsi="Calibri" w:cs="Calibri"/>
                <w:sz w:val="20"/>
                <w:szCs w:val="20"/>
              </w:rPr>
              <w:t xml:space="preserve"> Working-age population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  <w:r w:rsidRPr="00B044CE">
              <w:rPr>
                <w:rFonts w:ascii="Calibri" w:hAnsi="Calibri" w:cs="Calibri"/>
                <w:sz w:val="20"/>
                <w:szCs w:val="20"/>
              </w:rPr>
              <w:t xml:space="preserve"> x 100                        </w:t>
            </w:r>
          </w:p>
          <w:p w:rsidR="0002100C" w:rsidP="00B044CE" w:rsidRDefault="0002100C" w14:paraId="5665838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B044CE" w:rsidR="0002100C" w:rsidP="00B044CE" w:rsidRDefault="0002100C" w14:paraId="7BF6DA82" w14:textId="25389391">
            <w:pPr>
              <w:rPr>
                <w:rFonts w:ascii="Calibri" w:hAnsi="Calibri" w:cs="Calibri"/>
                <w:sz w:val="20"/>
                <w:szCs w:val="20"/>
              </w:rPr>
            </w:pPr>
            <w:r w:rsidRPr="00B044CE">
              <w:rPr>
                <w:rFonts w:ascii="Calibri" w:hAnsi="Calibri" w:cs="Calibri"/>
                <w:sz w:val="20"/>
                <w:szCs w:val="20"/>
              </w:rPr>
              <w:t>LFPR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44CE">
              <w:rPr>
                <w:rFonts w:ascii="Calibri" w:hAnsi="Calibri" w:cs="Calibri"/>
                <w:sz w:val="20"/>
                <w:szCs w:val="20"/>
              </w:rPr>
              <w:t xml:space="preserve">(%) = </w:t>
            </w:r>
            <w:r>
              <w:rPr>
                <w:rFonts w:ascii="Calibri" w:hAnsi="Calibri" w:cs="Calibri"/>
                <w:sz w:val="20"/>
                <w:szCs w:val="20"/>
              </w:rPr>
              <w:t>{(</w:t>
            </w:r>
            <w:r w:rsidRPr="00B044CE">
              <w:rPr>
                <w:rFonts w:ascii="Calibri" w:hAnsi="Calibri" w:cs="Calibri"/>
                <w:sz w:val="20"/>
                <w:szCs w:val="20"/>
              </w:rPr>
              <w:t>Persons employed + persons unemployed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) / </w:t>
            </w:r>
            <w:r w:rsidRPr="00B044CE">
              <w:rPr>
                <w:rFonts w:ascii="Calibri" w:hAnsi="Calibri" w:cs="Calibri"/>
                <w:sz w:val="20"/>
                <w:szCs w:val="20"/>
              </w:rPr>
              <w:t>Working-age population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  <w:r w:rsidRPr="00B044CE">
              <w:rPr>
                <w:rFonts w:ascii="Calibri" w:hAnsi="Calibri" w:cs="Calibri"/>
                <w:sz w:val="20"/>
                <w:szCs w:val="20"/>
              </w:rPr>
              <w:t xml:space="preserve"> x 100                                        </w:t>
            </w:r>
          </w:p>
          <w:p w:rsidRPr="00B044CE" w:rsidR="0002100C" w:rsidP="175735C4" w:rsidRDefault="0002100C" w14:paraId="0C6CAAAA" w14:textId="77EAAE07">
            <w:pPr>
              <w:pStyle w:val="Normal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155B79" w:rsidR="0002100C" w:rsidTr="3C71AE8F" w14:paraId="5740DFF9" w14:textId="77777777">
        <w:trPr>
          <w:trHeight w:val="2505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1A52D0DF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3E8D009D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6FFB80F8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34FB0813" w14:textId="4CDE644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47256453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7389C19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02100C" w:rsidP="00225A04" w:rsidRDefault="0002100C" w14:paraId="7A5C6858" w14:textId="539580D3">
            <w:pPr>
              <w:rPr>
                <w:rFonts w:ascii="Calibri" w:hAnsi="Calibri" w:cs="Calibri"/>
                <w:sz w:val="20"/>
                <w:szCs w:val="20"/>
              </w:rPr>
            </w:pPr>
            <w:r w:rsidRPr="00225A0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proofErr w:type="spellStart"/>
            <w:r w:rsidRPr="00225A04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225A04">
              <w:rPr>
                <w:rFonts w:ascii="Calibri" w:hAnsi="Calibri" w:cs="Calibri"/>
                <w:sz w:val="20"/>
                <w:szCs w:val="20"/>
              </w:rPr>
              <w:t xml:space="preserve"> force participation rate indicator plays a central role in the study of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25A04">
              <w:rPr>
                <w:rFonts w:ascii="Calibri" w:hAnsi="Calibri" w:cs="Calibri"/>
                <w:sz w:val="20"/>
                <w:szCs w:val="20"/>
              </w:rPr>
              <w:t>the factors that determine the size and composition of a country’s human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25A04">
              <w:rPr>
                <w:rFonts w:ascii="Calibri" w:hAnsi="Calibri" w:cs="Calibri"/>
                <w:sz w:val="20"/>
                <w:szCs w:val="20"/>
              </w:rPr>
              <w:t xml:space="preserve">resources and in making projections of the future supply of </w:t>
            </w:r>
            <w:proofErr w:type="spellStart"/>
            <w:r w:rsidRPr="00225A04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225A04">
              <w:rPr>
                <w:rFonts w:ascii="Calibri" w:hAnsi="Calibri" w:cs="Calibri"/>
                <w:sz w:val="20"/>
                <w:szCs w:val="20"/>
              </w:rPr>
              <w:t>.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25A04">
              <w:rPr>
                <w:rFonts w:ascii="Calibri" w:hAnsi="Calibri" w:cs="Calibri"/>
                <w:sz w:val="20"/>
                <w:szCs w:val="20"/>
              </w:rPr>
              <w:t>information is also used to formulate employment policies, to determine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25A04">
              <w:rPr>
                <w:rFonts w:ascii="Calibri" w:hAnsi="Calibri" w:cs="Calibri"/>
                <w:sz w:val="20"/>
                <w:szCs w:val="20"/>
              </w:rPr>
              <w:t>training needs and to calculate the expected working lives of the male and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25A04">
              <w:rPr>
                <w:rFonts w:ascii="Calibri" w:hAnsi="Calibri" w:cs="Calibri"/>
                <w:sz w:val="20"/>
                <w:szCs w:val="20"/>
              </w:rPr>
              <w:t xml:space="preserve">female populations and the </w:t>
            </w:r>
            <w:r w:rsidRPr="00FC4C99">
              <w:rPr>
                <w:rFonts w:ascii="Calibri" w:hAnsi="Calibri" w:cs="Calibri"/>
                <w:sz w:val="20"/>
                <w:szCs w:val="20"/>
              </w:rPr>
              <w:t>rates of accession to, and retirement from, economic activity – crucial information for the financial planning of social security systems.</w:t>
            </w:r>
          </w:p>
          <w:p w:rsidRPr="00FC4C99" w:rsidR="0002100C" w:rsidP="00225A04" w:rsidRDefault="0002100C" w14:paraId="297C068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2100C" w:rsidP="00FC4C99" w:rsidRDefault="0002100C" w14:paraId="3066B0D3" w14:textId="799ACD45">
            <w:pPr>
              <w:rPr>
                <w:rFonts w:ascii="Calibri" w:hAnsi="Calibri" w:cs="Calibri"/>
                <w:sz w:val="20"/>
                <w:szCs w:val="20"/>
              </w:rPr>
            </w:pP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To some degree, the way in which the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 is measured can have an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effect on the extent to which men and women are included in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estimates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Unless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specific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probing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are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built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into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the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survey questionnaire, participation among certain groups of workers may be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underestimated – particularly the number of employed persons who (a) work for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only a few hours in the reference period, especially if they do not do so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regularly; (b) are in unpaid employment; or (c) work near or in their home, thus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mixing work and personal activities during the day. Since women, more so than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men, are found in these situations, it is to be expected that the number of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women in employment (and thus the female </w:t>
            </w:r>
            <w:proofErr w:type="spellStart"/>
            <w:r w:rsidRPr="461AF24C" w:rsidR="0002100C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force) will tend to be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461AF24C" w:rsidR="0002100C">
              <w:rPr>
                <w:rFonts w:ascii="Calibri" w:hAnsi="Calibri" w:cs="Calibri"/>
                <w:sz w:val="20"/>
                <w:szCs w:val="20"/>
              </w:rPr>
              <w:t>underestimated to a larger extent than the number of men.</w:t>
            </w:r>
          </w:p>
          <w:p w:rsidR="461AF24C" w:rsidP="461AF24C" w:rsidRDefault="461AF24C" w14:paraId="0F8BA967" w14:textId="6E9E04F6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  <w:p w:rsidRPr="00FC4C99" w:rsidR="0002100C" w:rsidP="461AF24C" w:rsidRDefault="0002100C" w14:paraId="29B412AA" w14:textId="61192F2A">
            <w:pPr>
              <w:rPr>
                <w:rFonts w:cs="Calibri" w:cstheme="minorAscii"/>
                <w:sz w:val="20"/>
                <w:szCs w:val="20"/>
              </w:rPr>
            </w:pP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National data on </w:t>
            </w:r>
            <w:proofErr w:type="spellStart"/>
            <w:r w:rsidRPr="461AF24C" w:rsidR="0002100C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force participation rates may not be comparable owing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to differences in concepts and methodologies. The single most important factor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affecting data comparability is the data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source.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Labour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force data obtained from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population censuses are often based on a restricted number of questions on the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economic characteristics of individuals, with little possibility of probing. The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resulting data, therefore, are generally not consistent with corresponding </w:t>
            </w:r>
            <w:proofErr w:type="spellStart"/>
            <w:r w:rsidRPr="461AF24C" w:rsidR="0002100C">
              <w:rPr>
                <w:rFonts w:cs="Calibri" w:cstheme="minorAscii"/>
                <w:sz w:val="20"/>
                <w:szCs w:val="20"/>
              </w:rPr>
              <w:t>labour</w:t>
            </w:r>
            <w:proofErr w:type="spellEnd"/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force survey data and may vary considerably from one country to another,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depending on the number and type of questions included in the census.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Establishment censuses and surveys can – by their nature – only provide data on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the employed population, leaving out the unemployed and, in many countries,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also excluding workers engaged in small establishments or in the informal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461AF24C" w:rsidR="0002100C">
              <w:rPr>
                <w:rFonts w:cs="Calibri" w:cstheme="minorAscii"/>
                <w:sz w:val="20"/>
                <w:szCs w:val="20"/>
              </w:rPr>
              <w:t>economy who fall outside the scope of the survey or census.</w:t>
            </w:r>
          </w:p>
          <w:p w:rsidRPr="00FC4C99" w:rsidR="0002100C" w:rsidP="00FC4C99" w:rsidRDefault="0002100C" w14:paraId="42C1BFB6" w14:textId="77777777">
            <w:pPr>
              <w:rPr>
                <w:rFonts w:cstheme="minorHAnsi"/>
                <w:sz w:val="20"/>
                <w:szCs w:val="20"/>
              </w:rPr>
            </w:pPr>
          </w:p>
          <w:p w:rsidR="0002100C" w:rsidP="00FC4C99" w:rsidRDefault="0002100C" w14:paraId="3BD52BCC" w14:textId="56E5F01C">
            <w:pPr>
              <w:rPr>
                <w:rFonts w:cstheme="minorHAnsi"/>
                <w:sz w:val="20"/>
                <w:szCs w:val="20"/>
              </w:rPr>
            </w:pPr>
            <w:r w:rsidRPr="00FC4C99">
              <w:rPr>
                <w:rFonts w:cstheme="minorHAnsi"/>
                <w:sz w:val="20"/>
                <w:szCs w:val="20"/>
              </w:rPr>
              <w:t xml:space="preserve">For international comparisons of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 w:rsidRPr="00FC4C99">
              <w:rPr>
                <w:rFonts w:cstheme="minorHAnsi"/>
                <w:sz w:val="20"/>
                <w:szCs w:val="20"/>
              </w:rPr>
              <w:t xml:space="preserve"> force data, the most comprehensive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 xml:space="preserve">source is undoubtedly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 w:rsidRPr="00FC4C99">
              <w:rPr>
                <w:rFonts w:cstheme="minorHAnsi"/>
                <w:sz w:val="20"/>
                <w:szCs w:val="20"/>
              </w:rPr>
              <w:t xml:space="preserve"> force surveys. Nevertheless, despite their strength,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 w:rsidRPr="00FC4C99">
              <w:rPr>
                <w:rFonts w:cstheme="minorHAnsi"/>
                <w:sz w:val="20"/>
                <w:szCs w:val="20"/>
              </w:rPr>
              <w:t xml:space="preserve"> force survey data may contain non-comparable elements in terms of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scope and coverage, mainly because of differences in the inclusion or exclusion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of certain geographic areas, and the incorporation or non-incorporation of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 xml:space="preserve">military conscripts. Also, there are variations in national definitions of the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force concept, particularly with respect to the statistical treatment of some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specific groups, such as “contributing family workers” and “persons not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employed, available for work but not looking for work”.</w:t>
            </w:r>
          </w:p>
          <w:p w:rsidR="0002100C" w:rsidP="00FC4C99" w:rsidRDefault="0002100C" w14:paraId="5892C501" w14:textId="77777777">
            <w:pPr>
              <w:rPr>
                <w:rFonts w:cstheme="minorHAnsi"/>
                <w:sz w:val="20"/>
                <w:szCs w:val="20"/>
              </w:rPr>
            </w:pPr>
          </w:p>
          <w:p w:rsidRPr="00FC4C99" w:rsidR="0002100C" w:rsidP="00FC4C99" w:rsidRDefault="0002100C" w14:paraId="5F9A72A7" w14:textId="3FF3782D">
            <w:pPr>
              <w:rPr>
                <w:rFonts w:cstheme="minorHAnsi"/>
                <w:sz w:val="20"/>
                <w:szCs w:val="20"/>
              </w:rPr>
            </w:pPr>
            <w:r w:rsidRPr="00FC4C99">
              <w:rPr>
                <w:rFonts w:cstheme="minorHAnsi"/>
                <w:sz w:val="20"/>
                <w:szCs w:val="20"/>
              </w:rPr>
              <w:t>Non-comparability may also arise from differences in the age limits used in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 xml:space="preserve">measuring the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 w:rsidRPr="00FC4C99">
              <w:rPr>
                <w:rFonts w:cstheme="minorHAnsi"/>
                <w:sz w:val="20"/>
                <w:szCs w:val="20"/>
              </w:rPr>
              <w:t xml:space="preserve"> force (formerly known as the economically 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population). Some countries have adopted nonstandard upper-age limits for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 xml:space="preserve">inclusion in the </w:t>
            </w:r>
            <w:proofErr w:type="spellStart"/>
            <w:r w:rsidRPr="00FC4C99">
              <w:rPr>
                <w:rFonts w:cstheme="minorHAnsi"/>
                <w:sz w:val="20"/>
                <w:szCs w:val="20"/>
              </w:rPr>
              <w:t>labour</w:t>
            </w:r>
            <w:proofErr w:type="spellEnd"/>
            <w:r w:rsidRPr="00FC4C99">
              <w:rPr>
                <w:rFonts w:cstheme="minorHAnsi"/>
                <w:sz w:val="20"/>
                <w:szCs w:val="20"/>
              </w:rPr>
              <w:t xml:space="preserve"> force, with a cut-off point of 65 or 70 years, which will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affect broad comparisons, and especially comparisons of those at the higher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age levels. Finally, differences in the dates to which the data refer, as well as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method of averaging over the year, may contribute to the non-comparability of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4C99">
              <w:rPr>
                <w:rFonts w:cstheme="minorHAnsi"/>
                <w:sz w:val="20"/>
                <w:szCs w:val="20"/>
              </w:rPr>
              <w:t>the resulting statistics.</w:t>
            </w:r>
          </w:p>
          <w:p w:rsidRPr="00FC4C99" w:rsidR="0002100C" w:rsidP="461AF24C" w:rsidRDefault="0002100C" w14:paraId="5F0070B5" w14:textId="6E9A5CE0" w14:noSpellErr="1">
            <w:pPr>
              <w:rPr>
                <w:rFonts w:cs="Calibri" w:cstheme="minorAscii"/>
                <w:sz w:val="20"/>
                <w:szCs w:val="20"/>
              </w:rPr>
            </w:pPr>
          </w:p>
          <w:p w:rsidRPr="00225A04" w:rsidR="0002100C" w:rsidP="00225A04" w:rsidRDefault="0002100C" w14:paraId="1AD5BD6E" w14:textId="461BFC24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225A04" w:rsidR="0002100C" w:rsidP="00C20FFB" w:rsidRDefault="0002100C" w14:paraId="0E02948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225A04" w:rsidR="0002100C" w:rsidP="00C20FFB" w:rsidRDefault="0002100C" w14:paraId="1409CE6D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</w:rPr>
            </w:pPr>
          </w:p>
        </w:tc>
      </w:tr>
      <w:tr w:rsidRPr="00155B79" w:rsidR="0002100C" w:rsidTr="3C71AE8F" w14:paraId="20F5317B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52B791E8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7EDAC09E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6BE8ACD8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6C4A1F52" w14:textId="6A11F6DE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256B33F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5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6EDD2C0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lastRenderedPageBreak/>
              <w:t>Sources of discrepancies between global and national figures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35EEB07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Do not apply</w:t>
            </w:r>
          </w:p>
        </w:tc>
      </w:tr>
      <w:tr w:rsidRPr="00155B79" w:rsidR="0002100C" w:rsidTr="3C71AE8F" w14:paraId="0DFA5F09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4501B700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73CD5FB6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2F66F783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AE3456F" w:rsidP="175735C4" w:rsidRDefault="3AE3456F" w14:paraId="42AD620D" w14:textId="402F8C5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5FA15A6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6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79780A81" w14:textId="77777777" w14:noSpellErr="1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461AF24C" w:rsidR="0002100C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Process of obtaining data</w:t>
            </w:r>
            <w:r w:rsidRPr="461AF24C" w:rsidR="0002100C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461AF24C" w:rsidRDefault="0002100C" w14:paraId="1C1E770B" w14:textId="61099317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Labour force surveys are the preferred source of information for determining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participation rate and related indicators. Such surveys can be designed to cover virtually the entire non-institutional population of a given country, all branches of economic activity, all sectors of the economy and all categories of workers, including the self-employed, contributing family workers, casual workers and multiple jobholders. In addition, such surveys generally provide an opportunity for the simultaneous measurement of the employed, the unemployed and persons outside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in a coherent framework. </w:t>
            </w:r>
          </w:p>
          <w:p w:rsidRPr="00155B79" w:rsidR="0002100C" w:rsidP="461AF24C" w:rsidRDefault="0002100C" w14:paraId="5C9F9B49" w14:textId="5E7E1162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155B79" w:rsidR="0002100C" w:rsidP="461AF24C" w:rsidRDefault="0002100C" w14:paraId="39B08D91" w14:textId="1105C689">
            <w:pPr>
              <w:pStyle w:val="Normal"/>
              <w:textAlignment w:val="baseline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Population censuses are another major source of data on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and its components.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force participation rates obtained from population censuses, however, tend to be lower, as census forms do not typically allow for detailed probing on the </w:t>
            </w:r>
            <w:proofErr w:type="spellStart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labour</w:t>
            </w:r>
            <w:proofErr w:type="spellEnd"/>
            <w:r w:rsidRPr="461AF24C" w:rsidR="5D8F5B9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market activities of the respondents.</w:t>
            </w:r>
          </w:p>
          <w:p w:rsidRPr="00155B79" w:rsidR="0002100C" w:rsidP="461AF24C" w:rsidRDefault="0002100C" w14:paraId="263658D3" w14:textId="1531845A">
            <w:pPr>
              <w:pStyle w:val="Normal"/>
              <w:textAlignment w:val="baseline"/>
              <w:rPr>
                <w:rFonts w:ascii="Calibri" w:hAnsi="Calibri" w:eastAsia="Times New Roman" w:cs="Calibri"/>
                <w:sz w:val="20"/>
                <w:szCs w:val="20"/>
              </w:rPr>
            </w:pPr>
          </w:p>
        </w:tc>
      </w:tr>
      <w:tr w:rsidRPr="00155B79" w:rsidR="0002100C" w:rsidTr="3C71AE8F" w14:paraId="38B6ACC6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0C499CB8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2061DC79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4C359F06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F229897" w:rsidP="175735C4" w:rsidRDefault="3F229897" w14:paraId="5C716A64" w14:textId="580E896E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FAC97AB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7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91CA19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lastRenderedPageBreak/>
              <w:t>Treatment of missing values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733E86" w:rsidRDefault="0002100C" w14:paraId="63EDE6A8" w14:textId="403D4DE5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None.</w:t>
            </w:r>
          </w:p>
        </w:tc>
      </w:tr>
      <w:tr w:rsidRPr="00155B79" w:rsidR="0002100C" w:rsidTr="3C71AE8F" w14:paraId="5613385A" w14:textId="77777777">
        <w:trPr>
          <w:trHeight w:val="417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0F1B3748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4A84356D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0D2CF46C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F229897" w:rsidP="175735C4" w:rsidRDefault="3F229897" w14:paraId="2E7BBEA2" w14:textId="050873F9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B4B4481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8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530EF76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Data availability and assessment of countries’ capacity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33E86" w:rsidR="0002100C" w:rsidP="461AF24C" w:rsidRDefault="0002100C" w14:paraId="72EF0156" w14:textId="1FFD68EB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155B79" w:rsidR="0002100C" w:rsidTr="3C71AE8F" w14:paraId="4AF83FC3" w14:textId="77777777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61433831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5390908F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2DAE6C4A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988CE6B" w:rsidP="175735C4" w:rsidRDefault="7988CE6B" w14:paraId="6E7C0AE0" w14:textId="48388A11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72E8CC78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9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55B79" w:rsidR="0002100C" w:rsidP="00C20FFB" w:rsidRDefault="0002100C" w14:paraId="3A65B52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55B79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Expected time of release</w:t>
            </w:r>
            <w:r w:rsidRPr="00155B79">
              <w:rPr>
                <w:rFonts w:ascii="Calibri" w:hAnsi="Calibri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2100C" w:rsidR="0002100C" w:rsidP="461AF24C" w:rsidRDefault="0002100C" w14:paraId="4E7DCB97" w14:textId="4E0533BE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3C71AE8F" w:rsidTr="3C71AE8F" w14:paraId="4E4D74AE">
        <w:trPr>
          <w:trHeight w:val="300"/>
        </w:trPr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312D0D81" w14:textId="599953A3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C71AE8F" w:rsidP="3C71AE8F" w:rsidRDefault="3C71AE8F" w14:paraId="2AE87866" w14:textId="27EDC95B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</w:t>
            </w:r>
          </w:p>
          <w:p w:rsidR="3C71AE8F" w:rsidP="3C71AE8F" w:rsidRDefault="3C71AE8F" w14:paraId="75CACCFB" w14:textId="5E82F718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09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E36F275" w:rsidP="3C71AE8F" w:rsidRDefault="1E36F275" w14:paraId="1EFF72E4" w14:textId="38C9D8FA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1E36F275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10</w:t>
            </w:r>
          </w:p>
        </w:tc>
        <w:tc>
          <w:tcPr>
            <w:tcW w:w="8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C71AE8F" w:rsidP="3C71AE8F" w:rsidRDefault="3C71AE8F" w14:paraId="00ED3283" w14:textId="1345744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/>
              </w:rPr>
            </w:pPr>
            <w:r w:rsidRPr="3C71AE8F" w:rsidR="3C71AE8F">
              <w:rPr>
                <w:rFonts w:ascii="Calibri" w:hAnsi="Calibri" w:eastAsia="Times New Roman" w:cs="Calibri"/>
                <w:sz w:val="20"/>
                <w:szCs w:val="20"/>
                <w:lang w:val="en-GB"/>
              </w:rPr>
              <w:t>Source</w:t>
            </w:r>
          </w:p>
        </w:tc>
        <w:tc>
          <w:tcPr>
            <w:tcW w:w="6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C71AE8F" w:rsidP="3C71AE8F" w:rsidRDefault="3C71AE8F" w14:paraId="165A6FB2" w14:textId="45A09C6F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Data: </w:t>
            </w:r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https://ilostat.ilo.org/data/</w:t>
            </w:r>
          </w:p>
          <w:p w:rsidR="3C71AE8F" w:rsidP="3C71AE8F" w:rsidRDefault="3C71AE8F" w14:paraId="6A90F3B6" w14:textId="36F283FA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Metadata</w:t>
            </w:r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hyperlink r:id="Rf930ebf6cc344d5a">
              <w:r w:rsidRPr="3C71AE8F" w:rsidR="3C71AE8F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https://ilostat.ilo.org/resources/concepts-and-definitions/description-labour-force-participation-rate/</w:t>
              </w:r>
            </w:hyperlink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3C71AE8F" w:rsidP="3C71AE8F" w:rsidRDefault="3C71AE8F" w14:paraId="2E203E45" w14:textId="143B43E0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3C71AE8F" w:rsidR="3C71AE8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(Accessed on 21 May 2021)</w:t>
            </w:r>
          </w:p>
        </w:tc>
      </w:tr>
    </w:tbl>
    <w:p w:rsidR="00CC3778" w:rsidRDefault="00CC3778" w14:paraId="38E4B627" w14:textId="77777777"/>
    <w:sectPr w:rsidR="00CC37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3A21"/>
    <w:multiLevelType w:val="hybridMultilevel"/>
    <w:tmpl w:val="A7B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2FA7EAE"/>
    <w:multiLevelType w:val="hybridMultilevel"/>
    <w:tmpl w:val="598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7AC2D2D"/>
    <w:multiLevelType w:val="hybridMultilevel"/>
    <w:tmpl w:val="E61A2664"/>
    <w:lvl w:ilvl="0" w:tplc="E9F282A8">
      <w:start w:val="1"/>
      <w:numFmt w:val="upperRoman"/>
      <w:lvlText w:val="%1."/>
      <w:lvlJc w:val="left"/>
      <w:pPr>
        <w:ind w:left="1080" w:hanging="720"/>
      </w:pPr>
      <w:rPr>
        <w:rFonts w:hint="default" w:ascii="Calibri" w:hAnsi="Calibri" w:cs="Calibri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77FE"/>
    <w:multiLevelType w:val="hybridMultilevel"/>
    <w:tmpl w:val="20E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36623D"/>
    <w:multiLevelType w:val="hybridMultilevel"/>
    <w:tmpl w:val="378C3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A5"/>
    <w:rsid w:val="0002100C"/>
    <w:rsid w:val="00225A04"/>
    <w:rsid w:val="00733E86"/>
    <w:rsid w:val="00A048A5"/>
    <w:rsid w:val="00A50946"/>
    <w:rsid w:val="00B044CE"/>
    <w:rsid w:val="00CC3778"/>
    <w:rsid w:val="00FC4C99"/>
    <w:rsid w:val="09427200"/>
    <w:rsid w:val="0AE3B208"/>
    <w:rsid w:val="0B6118AB"/>
    <w:rsid w:val="0C499FFB"/>
    <w:rsid w:val="0EEB0A1A"/>
    <w:rsid w:val="10C31A96"/>
    <w:rsid w:val="125EEAF7"/>
    <w:rsid w:val="175735C4"/>
    <w:rsid w:val="1A36FE83"/>
    <w:rsid w:val="1A96B8E2"/>
    <w:rsid w:val="1B4B4481"/>
    <w:rsid w:val="1D3EB565"/>
    <w:rsid w:val="1E36F275"/>
    <w:rsid w:val="20A380E8"/>
    <w:rsid w:val="256B33FC"/>
    <w:rsid w:val="26603E34"/>
    <w:rsid w:val="2B1E7B21"/>
    <w:rsid w:val="2EB2ADB4"/>
    <w:rsid w:val="30FFEE24"/>
    <w:rsid w:val="34AC350A"/>
    <w:rsid w:val="36893CA8"/>
    <w:rsid w:val="372F486C"/>
    <w:rsid w:val="3AE3456F"/>
    <w:rsid w:val="3B66BC78"/>
    <w:rsid w:val="3C71AE8F"/>
    <w:rsid w:val="3E88FA6B"/>
    <w:rsid w:val="3F229897"/>
    <w:rsid w:val="4054A090"/>
    <w:rsid w:val="461AF24C"/>
    <w:rsid w:val="47256453"/>
    <w:rsid w:val="4A80716F"/>
    <w:rsid w:val="4CD5583F"/>
    <w:rsid w:val="4CF02FDD"/>
    <w:rsid w:val="59EE87CB"/>
    <w:rsid w:val="5A56DDC9"/>
    <w:rsid w:val="5AE3DE55"/>
    <w:rsid w:val="5D8F5B9E"/>
    <w:rsid w:val="6029A890"/>
    <w:rsid w:val="676CF8E5"/>
    <w:rsid w:val="6908C946"/>
    <w:rsid w:val="72E8CC78"/>
    <w:rsid w:val="75FA15A6"/>
    <w:rsid w:val="7988CE6B"/>
    <w:rsid w:val="7B6880A9"/>
    <w:rsid w:val="7E0B5363"/>
    <w:rsid w:val="7FAC9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361B"/>
  <w15:chartTrackingRefBased/>
  <w15:docId w15:val="{0776D705-327A-9141-9DBA-F23DC672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48A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048A5"/>
  </w:style>
  <w:style w:type="character" w:styleId="apple-converted-space" w:customStyle="1">
    <w:name w:val="apple-converted-space"/>
    <w:basedOn w:val="DefaultParagraphFont"/>
    <w:rsid w:val="00A048A5"/>
  </w:style>
  <w:style w:type="character" w:styleId="eop" w:customStyle="1">
    <w:name w:val="eop"/>
    <w:basedOn w:val="DefaultParagraphFont"/>
    <w:rsid w:val="00A048A5"/>
  </w:style>
  <w:style w:type="character" w:styleId="scxw90659825" w:customStyle="1">
    <w:name w:val="scxw90659825"/>
    <w:basedOn w:val="DefaultParagraphFont"/>
    <w:rsid w:val="00A048A5"/>
  </w:style>
  <w:style w:type="paragraph" w:styleId="ListParagraph">
    <w:name w:val="List Paragraph"/>
    <w:basedOn w:val="Normal"/>
    <w:uiPriority w:val="34"/>
    <w:qFormat/>
    <w:rsid w:val="00A048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A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04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0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5A04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Relationship Type="http://schemas.openxmlformats.org/officeDocument/2006/relationships/hyperlink" Target="mailto:ilostat@ilo.org" TargetMode="External" Id="R6844b42410a14ab7" /><Relationship Type="http://schemas.openxmlformats.org/officeDocument/2006/relationships/hyperlink" Target="https://ilostat.ilo.org/resources/concepts-and-definitions/description-labour-force-participation-rate/" TargetMode="External" Id="Rf930ebf6cc34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47DD87B3-75A9-412B-ACBC-3AD407AE6BA7}"/>
</file>

<file path=customXml/itemProps2.xml><?xml version="1.0" encoding="utf-8"?>
<ds:datastoreItem xmlns:ds="http://schemas.openxmlformats.org/officeDocument/2006/customXml" ds:itemID="{65E4A142-0676-40B7-9887-47822316A738}"/>
</file>

<file path=customXml/itemProps3.xml><?xml version="1.0" encoding="utf-8"?>
<ds:datastoreItem xmlns:ds="http://schemas.openxmlformats.org/officeDocument/2006/customXml" ds:itemID="{DA77E663-270C-4A51-A2D5-79E6DF4AE1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Zahia Khalid</dc:creator>
  <keywords/>
  <dc:description/>
  <lastModifiedBy>Zahia Khalid</lastModifiedBy>
  <revision>7</revision>
  <dcterms:created xsi:type="dcterms:W3CDTF">2021-07-30T02:53:00.0000000Z</dcterms:created>
  <dcterms:modified xsi:type="dcterms:W3CDTF">2021-08-13T15:28:46.4241709Z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