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6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849"/>
        <w:gridCol w:w="849"/>
        <w:gridCol w:w="849"/>
        <w:gridCol w:w="849"/>
        <w:gridCol w:w="5964"/>
      </w:tblGrid>
      <w:tr w:rsidRPr="00A40ED5" w:rsidR="004D4A3D" w:rsidTr="714BA356" w14:paraId="34C4E879" w14:textId="77777777">
        <w:trPr>
          <w:trHeight w:val="300"/>
        </w:trPr>
        <w:tc>
          <w:tcPr>
            <w:tcW w:w="849" w:type="dxa"/>
            <w:tcBorders>
              <w:top w:val="single" w:color="auto" w:sz="6"/>
              <w:left w:val="single" w:color="auto" w:sz="6"/>
              <w:bottom w:val="single" w:color="auto" w:sz="6"/>
              <w:right w:val="single" w:color="auto" w:sz="6"/>
            </w:tcBorders>
            <w:shd w:val="clear" w:color="auto" w:fill="auto"/>
            <w:tcMar/>
          </w:tcPr>
          <w:p w:rsidR="2F6EF34B" w:rsidP="2F6EF34B" w:rsidRDefault="2F6EF34B" w14:paraId="53C8911B" w14:textId="360256E4">
            <w:pPr>
              <w:pStyle w:val="Normal"/>
              <w:rPr>
                <w:rFonts w:ascii="Calibri" w:hAnsi="Calibri" w:eastAsia="Times New Roman" w:cs="Calibri"/>
                <w:sz w:val="20"/>
                <w:szCs w:val="20"/>
                <w:lang w:val="en-GB"/>
              </w:rPr>
            </w:pPr>
            <w:r w:rsidRPr="714BA356" w:rsidR="456A63DA">
              <w:rPr>
                <w:rFonts w:ascii="Calibri" w:hAnsi="Calibri" w:eastAsia="Times New Roman" w:cs="Calibri"/>
                <w:sz w:val="20"/>
                <w:szCs w:val="20"/>
                <w:lang w:val="en-GB"/>
              </w:rPr>
              <w:t>8</w:t>
            </w:r>
          </w:p>
        </w:tc>
        <w:tc>
          <w:tcPr>
            <w:tcW w:w="849" w:type="dxa"/>
            <w:tcBorders>
              <w:top w:val="single" w:color="auto" w:sz="6"/>
              <w:left w:val="single" w:color="auto" w:sz="6"/>
              <w:bottom w:val="single" w:color="auto" w:sz="6"/>
              <w:right w:val="single" w:color="auto" w:sz="6"/>
            </w:tcBorders>
            <w:shd w:val="clear" w:color="auto" w:fill="auto"/>
            <w:tcMar/>
          </w:tcPr>
          <w:p w:rsidR="2F6EF34B" w:rsidP="714BA356" w:rsidRDefault="2F6EF34B" w14:paraId="002B9818" w14:textId="5D0E6053">
            <w:pPr>
              <w:pStyle w:val="Normal"/>
              <w:rPr>
                <w:rFonts w:ascii="Calibri" w:hAnsi="Calibri" w:eastAsia="Times New Roman" w:cs="Calibri"/>
                <w:sz w:val="20"/>
                <w:szCs w:val="20"/>
                <w:lang w:val="en-GB"/>
              </w:rPr>
            </w:pPr>
            <w:r w:rsidRPr="714BA356" w:rsidR="456A63DA">
              <w:rPr>
                <w:rFonts w:ascii="Calibri" w:hAnsi="Calibri" w:eastAsia="Times New Roman" w:cs="Calibri"/>
                <w:sz w:val="20"/>
                <w:szCs w:val="20"/>
                <w:lang w:val="en-GB"/>
              </w:rPr>
              <w:t>6</w:t>
            </w:r>
          </w:p>
          <w:p w:rsidR="2F6EF34B" w:rsidP="714BA356" w:rsidRDefault="2F6EF34B" w14:paraId="44F50528" w14:textId="544AA711">
            <w:pPr>
              <w:pStyle w:val="Normal"/>
              <w:rPr>
                <w:rFonts w:ascii="Calibri" w:hAnsi="Calibri" w:eastAsia="Times New Roman" w:cs="Calibri"/>
                <w:sz w:val="20"/>
                <w:szCs w:val="20"/>
                <w:lang w:val="en-GB"/>
              </w:rPr>
            </w:pPr>
            <w:r w:rsidRPr="714BA356" w:rsidR="456A63DA">
              <w:rPr>
                <w:rFonts w:ascii="Calibri" w:hAnsi="Calibri" w:eastAsia="Times New Roman" w:cs="Calibri"/>
                <w:sz w:val="20"/>
                <w:szCs w:val="20"/>
                <w:lang w:val="en-GB"/>
              </w:rPr>
              <w:t>7</w:t>
            </w:r>
          </w:p>
          <w:p w:rsidR="2F6EF34B" w:rsidP="2F6EF34B" w:rsidRDefault="2F6EF34B" w14:paraId="67CEC1FF" w14:textId="5F536B59">
            <w:pPr>
              <w:pStyle w:val="Normal"/>
              <w:rPr>
                <w:rFonts w:ascii="Calibri" w:hAnsi="Calibri" w:eastAsia="Times New Roman" w:cs="Calibri"/>
                <w:sz w:val="20"/>
                <w:szCs w:val="20"/>
                <w:lang w:val="en-GB"/>
              </w:rPr>
            </w:pPr>
            <w:r w:rsidRPr="714BA356" w:rsidR="456A63DA">
              <w:rPr>
                <w:rFonts w:ascii="Calibri" w:hAnsi="Calibri" w:eastAsia="Times New Roman" w:cs="Calibri"/>
                <w:sz w:val="20"/>
                <w:szCs w:val="20"/>
                <w:lang w:val="en-GB"/>
              </w:rPr>
              <w:t>8</w:t>
            </w:r>
          </w:p>
        </w:tc>
        <w:tc>
          <w:tcPr>
            <w:tcW w:w="849" w:type="dxa"/>
            <w:tcBorders>
              <w:top w:val="single" w:color="auto" w:sz="6"/>
              <w:left w:val="single" w:color="auto" w:sz="6"/>
              <w:bottom w:val="single" w:color="auto" w:sz="6"/>
              <w:right w:val="single" w:color="auto" w:sz="6"/>
            </w:tcBorders>
            <w:shd w:val="clear" w:color="auto" w:fill="auto"/>
            <w:tcMar/>
          </w:tcPr>
          <w:p w:rsidR="2B003967" w:rsidP="2F6EF34B" w:rsidRDefault="2B003967" w14:paraId="39413C2A" w14:textId="3C1A39EE">
            <w:pPr>
              <w:pStyle w:val="Normal"/>
              <w:rPr>
                <w:rFonts w:ascii="Calibri" w:hAnsi="Calibri" w:eastAsia="Times New Roman" w:cs="Calibri"/>
                <w:sz w:val="20"/>
                <w:szCs w:val="20"/>
                <w:lang w:val="en-GB"/>
              </w:rPr>
            </w:pPr>
            <w:r w:rsidRPr="2F6EF34B" w:rsidR="2B003967">
              <w:rPr>
                <w:rFonts w:ascii="Calibri" w:hAnsi="Calibri" w:eastAsia="Times New Roman" w:cs="Calibri"/>
                <w:sz w:val="20"/>
                <w:szCs w:val="20"/>
                <w:lang w:val="en-GB"/>
              </w:rPr>
              <w:t>1</w:t>
            </w:r>
          </w:p>
        </w:tc>
        <w:tc>
          <w:tcPr>
            <w:tcW w:w="84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4D4A3D" w:rsidP="00450FA4" w:rsidRDefault="004D4A3D" w14:paraId="4ACCE49E"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Contact point in international agency</w:t>
            </w:r>
            <w:r w:rsidRPr="00A40ED5">
              <w:rPr>
                <w:rFonts w:ascii="Calibri" w:hAnsi="Calibri" w:eastAsia="Times New Roman" w:cs="Calibri"/>
                <w:sz w:val="20"/>
                <w:szCs w:val="20"/>
              </w:rPr>
              <w:t>  </w:t>
            </w:r>
          </w:p>
        </w:tc>
        <w:tc>
          <w:tcPr>
            <w:tcW w:w="5964"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4D4A3D" w:rsidP="5BEB4D14" w:rsidRDefault="004D4A3D" w14:paraId="7241233B" w14:textId="7241E650">
            <w:pPr>
              <w:textAlignment w:val="baseline"/>
              <w:rPr>
                <w:rFonts w:ascii="Calibri" w:hAnsi="Calibri" w:eastAsia="Calibri" w:cs="Calibri"/>
                <w:noProof w:val="0"/>
                <w:color w:val="000000" w:themeColor="text1" w:themeTint="FF" w:themeShade="FF"/>
                <w:sz w:val="20"/>
                <w:szCs w:val="20"/>
                <w:lang w:val="en-US"/>
              </w:rPr>
            </w:pPr>
            <w:r w:rsidRPr="5BEB4D14" w:rsidR="535FDB34">
              <w:rPr>
                <w:rFonts w:ascii="Calibri" w:hAnsi="Calibri" w:eastAsia="Calibri" w:cs="Calibri"/>
                <w:noProof w:val="0"/>
                <w:color w:val="000000" w:themeColor="text1" w:themeTint="FF" w:themeShade="FF"/>
                <w:sz w:val="20"/>
                <w:szCs w:val="20"/>
                <w:lang w:val="en-US"/>
              </w:rPr>
              <w:t xml:space="preserve">Data Production and Analysis Unit, Department of Statistics </w:t>
            </w:r>
          </w:p>
          <w:p w:rsidRPr="00A40ED5" w:rsidR="004D4A3D" w:rsidP="5BEB4D14" w:rsidRDefault="004D4A3D" w14:paraId="3B2867C7" w14:textId="362831E5">
            <w:pPr>
              <w:textAlignment w:val="baseline"/>
              <w:rPr>
                <w:rFonts w:ascii="Calibri" w:hAnsi="Calibri" w:eastAsia="Calibri" w:cs="Calibri"/>
                <w:noProof w:val="0"/>
                <w:color w:val="000000" w:themeColor="text1" w:themeTint="FF" w:themeShade="FF"/>
                <w:sz w:val="20"/>
                <w:szCs w:val="20"/>
                <w:lang w:val="en-US"/>
              </w:rPr>
            </w:pPr>
            <w:r w:rsidRPr="5BEB4D14" w:rsidR="535FDB34">
              <w:rPr>
                <w:rFonts w:ascii="Calibri" w:hAnsi="Calibri" w:eastAsia="Calibri" w:cs="Calibri"/>
                <w:noProof w:val="0"/>
                <w:color w:val="000000" w:themeColor="text1" w:themeTint="FF" w:themeShade="FF"/>
                <w:sz w:val="20"/>
                <w:szCs w:val="20"/>
                <w:lang w:val="en-US"/>
              </w:rPr>
              <w:t xml:space="preserve">International Labour Organization (ILO) </w:t>
            </w:r>
          </w:p>
          <w:p w:rsidRPr="00A40ED5" w:rsidR="004D4A3D" w:rsidP="5BEB4D14" w:rsidRDefault="004D4A3D" w14:paraId="446E1BED" w14:textId="6C750D83">
            <w:pPr>
              <w:textAlignment w:val="baseline"/>
              <w:rPr>
                <w:rFonts w:ascii="Calibri" w:hAnsi="Calibri" w:eastAsia="Calibri" w:cs="Calibri"/>
                <w:noProof w:val="0"/>
                <w:color w:val="000000" w:themeColor="text1" w:themeTint="FF" w:themeShade="FF"/>
                <w:sz w:val="20"/>
                <w:szCs w:val="20"/>
                <w:lang w:val="en-US"/>
              </w:rPr>
            </w:pPr>
            <w:r w:rsidRPr="5BEB4D14" w:rsidR="535FDB34">
              <w:rPr>
                <w:rFonts w:ascii="Calibri" w:hAnsi="Calibri" w:eastAsia="Calibri" w:cs="Calibri"/>
                <w:noProof w:val="0"/>
                <w:color w:val="000000" w:themeColor="text1" w:themeTint="FF" w:themeShade="FF"/>
                <w:sz w:val="20"/>
                <w:szCs w:val="20"/>
                <w:lang w:val="en-US"/>
              </w:rPr>
              <w:t xml:space="preserve">Email: </w:t>
            </w:r>
            <w:hyperlink r:id="R2685f1d7377b41b5">
              <w:r w:rsidRPr="5BEB4D14" w:rsidR="535FDB34">
                <w:rPr>
                  <w:rStyle w:val="Hyperlink"/>
                  <w:rFonts w:ascii="Calibri" w:hAnsi="Calibri" w:eastAsia="Calibri" w:cs="Calibri"/>
                  <w:noProof w:val="0"/>
                  <w:sz w:val="20"/>
                  <w:szCs w:val="20"/>
                  <w:lang w:val="en-US"/>
                </w:rPr>
                <w:t>ilostat@ilo.org</w:t>
              </w:r>
            </w:hyperlink>
            <w:r w:rsidRPr="5BEB4D14" w:rsidR="535FDB34">
              <w:rPr>
                <w:rFonts w:ascii="Calibri" w:hAnsi="Calibri" w:eastAsia="Calibri" w:cs="Calibri"/>
                <w:noProof w:val="0"/>
                <w:color w:val="000000" w:themeColor="text1" w:themeTint="FF" w:themeShade="FF"/>
                <w:sz w:val="20"/>
                <w:szCs w:val="20"/>
                <w:lang w:val="en-US"/>
              </w:rPr>
              <w:t xml:space="preserve"> </w:t>
            </w:r>
          </w:p>
          <w:p w:rsidRPr="00A40ED5" w:rsidR="004D4A3D" w:rsidP="5BEB4D14" w:rsidRDefault="004D4A3D" w14:paraId="56228247" w14:textId="2C1A1B0C">
            <w:pPr>
              <w:textAlignment w:val="baseline"/>
              <w:rPr>
                <w:rFonts w:ascii="Calibri" w:hAnsi="Calibri" w:eastAsia="Calibri" w:cs="Calibri"/>
                <w:noProof w:val="0"/>
                <w:color w:val="000000" w:themeColor="text1" w:themeTint="FF" w:themeShade="FF"/>
                <w:sz w:val="20"/>
                <w:szCs w:val="20"/>
                <w:lang w:val="en-US"/>
              </w:rPr>
            </w:pPr>
            <w:r w:rsidRPr="5BEB4D14" w:rsidR="535FDB34">
              <w:rPr>
                <w:rFonts w:ascii="Calibri" w:hAnsi="Calibri" w:eastAsia="Calibri" w:cs="Calibri"/>
                <w:noProof w:val="0"/>
                <w:color w:val="000000" w:themeColor="text1" w:themeTint="FF" w:themeShade="FF"/>
                <w:sz w:val="20"/>
                <w:szCs w:val="20"/>
                <w:lang w:val="en-US"/>
              </w:rPr>
              <w:t xml:space="preserve">Website: </w:t>
            </w:r>
            <w:hyperlink>
              <w:r w:rsidRPr="5BEB4D14" w:rsidR="535FDB34">
                <w:rPr>
                  <w:rStyle w:val="Hyperlink"/>
                  <w:rFonts w:ascii="Calibri" w:hAnsi="Calibri" w:eastAsia="Calibri" w:cs="Calibri"/>
                  <w:noProof w:val="0"/>
                  <w:sz w:val="20"/>
                  <w:szCs w:val="20"/>
                  <w:lang w:val="en-US"/>
                </w:rPr>
                <w:t>www.ilo.org/ilostat</w:t>
              </w:r>
            </w:hyperlink>
            <w:r w:rsidRPr="5BEB4D14" w:rsidR="535FDB34">
              <w:rPr>
                <w:rFonts w:ascii="Calibri" w:hAnsi="Calibri" w:eastAsia="Calibri" w:cs="Calibri"/>
                <w:noProof w:val="0"/>
                <w:color w:val="000000" w:themeColor="text1" w:themeTint="FF" w:themeShade="FF"/>
                <w:sz w:val="20"/>
                <w:szCs w:val="20"/>
                <w:lang w:val="en-US"/>
              </w:rPr>
              <w:t>  </w:t>
            </w:r>
          </w:p>
          <w:p w:rsidRPr="00A40ED5" w:rsidR="004D4A3D" w:rsidP="5BEB4D14" w:rsidRDefault="004D4A3D" w14:paraId="7ED4621D" w14:textId="6008558C">
            <w:pPr>
              <w:pStyle w:val="Normal"/>
              <w:textAlignment w:val="baseline"/>
              <w:rPr>
                <w:rFonts w:ascii="Calibri" w:hAnsi="Calibri" w:eastAsia="Times New Roman" w:cs="Calibri"/>
                <w:color w:val="000000" w:themeColor="text1" w:themeTint="FF" w:themeShade="FF"/>
                <w:sz w:val="20"/>
                <w:szCs w:val="20"/>
              </w:rPr>
            </w:pPr>
          </w:p>
        </w:tc>
      </w:tr>
      <w:tr w:rsidRPr="00A40ED5" w:rsidR="004D4A3D" w:rsidTr="714BA356" w14:paraId="302EE746" w14:textId="77777777">
        <w:trPr>
          <w:trHeight w:val="1125"/>
        </w:trPr>
        <w:tc>
          <w:tcPr>
            <w:tcW w:w="849" w:type="dxa"/>
            <w:tcBorders>
              <w:top w:val="single" w:color="auto" w:sz="6"/>
              <w:left w:val="single" w:color="auto" w:sz="6"/>
              <w:bottom w:val="single" w:color="auto" w:sz="6"/>
              <w:right w:val="single" w:color="auto" w:sz="6"/>
            </w:tcBorders>
            <w:shd w:val="clear" w:color="auto" w:fill="auto"/>
            <w:tcMar/>
          </w:tcPr>
          <w:p w:rsidR="714BA356" w:rsidP="714BA356" w:rsidRDefault="714BA356" w14:paraId="71D10B0B" w14:textId="360256E4">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8</w:t>
            </w:r>
          </w:p>
        </w:tc>
        <w:tc>
          <w:tcPr>
            <w:tcW w:w="849" w:type="dxa"/>
            <w:tcBorders>
              <w:top w:val="single" w:color="auto" w:sz="6"/>
              <w:left w:val="single" w:color="auto" w:sz="6"/>
              <w:bottom w:val="single" w:color="auto" w:sz="6"/>
              <w:right w:val="single" w:color="auto" w:sz="6"/>
            </w:tcBorders>
            <w:shd w:val="clear" w:color="auto" w:fill="auto"/>
            <w:tcMar/>
          </w:tcPr>
          <w:p w:rsidR="714BA356" w:rsidP="714BA356" w:rsidRDefault="714BA356" w14:paraId="14239153" w14:textId="5D0E6053">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6</w:t>
            </w:r>
          </w:p>
          <w:p w:rsidR="714BA356" w:rsidP="714BA356" w:rsidRDefault="714BA356" w14:paraId="5EDA726F" w14:textId="544AA711">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7</w:t>
            </w:r>
          </w:p>
          <w:p w:rsidR="714BA356" w:rsidP="714BA356" w:rsidRDefault="714BA356" w14:paraId="484171F0" w14:textId="5F536B59">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8</w:t>
            </w:r>
          </w:p>
        </w:tc>
        <w:tc>
          <w:tcPr>
            <w:tcW w:w="849" w:type="dxa"/>
            <w:tcBorders>
              <w:top w:val="single" w:color="auto" w:sz="6"/>
              <w:left w:val="single" w:color="auto" w:sz="6"/>
              <w:bottom w:val="single" w:color="auto" w:sz="6"/>
              <w:right w:val="single" w:color="auto" w:sz="6"/>
            </w:tcBorders>
            <w:shd w:val="clear" w:color="auto" w:fill="auto"/>
            <w:tcMar/>
          </w:tcPr>
          <w:p w:rsidR="2B003967" w:rsidP="2F6EF34B" w:rsidRDefault="2B003967" w14:paraId="128FB31B" w14:textId="3196CA74">
            <w:pPr>
              <w:pStyle w:val="Normal"/>
              <w:rPr>
                <w:rFonts w:ascii="Calibri" w:hAnsi="Calibri" w:eastAsia="Times New Roman" w:cs="Calibri"/>
                <w:sz w:val="20"/>
                <w:szCs w:val="20"/>
                <w:lang w:val="en-GB"/>
              </w:rPr>
            </w:pPr>
            <w:r w:rsidRPr="714BA356" w:rsidR="3B1597E6">
              <w:rPr>
                <w:rFonts w:ascii="Calibri" w:hAnsi="Calibri" w:eastAsia="Times New Roman" w:cs="Calibri"/>
                <w:sz w:val="20"/>
                <w:szCs w:val="20"/>
                <w:lang w:val="en-GB"/>
              </w:rPr>
              <w:t>2</w:t>
            </w:r>
          </w:p>
        </w:tc>
        <w:tc>
          <w:tcPr>
            <w:tcW w:w="84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4D4A3D" w:rsidP="00450FA4" w:rsidRDefault="004D4A3D" w14:paraId="23AEE67D"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International agreed definition</w:t>
            </w:r>
            <w:r w:rsidRPr="00A40ED5">
              <w:rPr>
                <w:rFonts w:ascii="Calibri" w:hAnsi="Calibri" w:eastAsia="Times New Roman" w:cs="Calibri"/>
                <w:sz w:val="20"/>
                <w:szCs w:val="20"/>
              </w:rPr>
              <w:t>  </w:t>
            </w:r>
          </w:p>
        </w:tc>
        <w:tc>
          <w:tcPr>
            <w:tcW w:w="5964" w:type="dxa"/>
            <w:tcBorders>
              <w:top w:val="single" w:color="auto" w:sz="6" w:space="0"/>
              <w:left w:val="single" w:color="auto" w:sz="6" w:space="0"/>
              <w:bottom w:val="single" w:color="auto" w:sz="6" w:space="0"/>
              <w:right w:val="single" w:color="auto" w:sz="6" w:space="0"/>
            </w:tcBorders>
            <w:shd w:val="clear" w:color="auto" w:fill="auto"/>
            <w:tcMar/>
            <w:hideMark/>
          </w:tcPr>
          <w:p w:rsidR="004D4A3D" w:rsidP="004D4A3D" w:rsidRDefault="004D4A3D" w14:paraId="6590207D" w14:textId="629CC471">
            <w:pPr>
              <w:textAlignment w:val="baseline"/>
              <w:rPr>
                <w:rFonts w:cstheme="minorHAnsi"/>
                <w:color w:val="000000" w:themeColor="text1"/>
                <w:sz w:val="20"/>
                <w:szCs w:val="20"/>
              </w:rPr>
            </w:pPr>
            <w:r w:rsidRPr="004D4A3D">
              <w:rPr>
                <w:rFonts w:cstheme="minorHAnsi"/>
                <w:color w:val="000000" w:themeColor="text1"/>
                <w:sz w:val="20"/>
                <w:szCs w:val="20"/>
              </w:rPr>
              <w:t>Employment comprises all persons of working age who, during a specified brief period, such as one week or one day, were in the following categories: a) paid employment (whether at work or having a job but not at work); or b) self-employment (whether at work or with an enterprise but not at work).</w:t>
            </w:r>
          </w:p>
          <w:p w:rsidRPr="004D4A3D" w:rsidR="004D4A3D" w:rsidP="004D4A3D" w:rsidRDefault="004D4A3D" w14:paraId="3329091B" w14:textId="77777777">
            <w:pPr>
              <w:textAlignment w:val="baseline"/>
              <w:rPr>
                <w:rFonts w:cstheme="minorHAnsi"/>
                <w:color w:val="000000" w:themeColor="text1"/>
                <w:sz w:val="20"/>
                <w:szCs w:val="20"/>
              </w:rPr>
            </w:pPr>
          </w:p>
          <w:p w:rsidRPr="004D4A3D" w:rsidR="004D4A3D" w:rsidP="004D4A3D" w:rsidRDefault="004D4A3D" w14:paraId="653B55D7" w14:textId="7EEBC689">
            <w:pPr>
              <w:pStyle w:val="NormalWeb"/>
              <w:spacing w:before="0" w:beforeAutospacing="0" w:after="420" w:afterAutospacing="0"/>
              <w:textAlignment w:val="baseline"/>
              <w:rPr>
                <w:rFonts w:asciiTheme="minorHAnsi" w:hAnsiTheme="minorHAnsi" w:cstheme="minorHAnsi"/>
                <w:color w:val="000000" w:themeColor="text1"/>
                <w:sz w:val="20"/>
                <w:szCs w:val="20"/>
              </w:rPr>
            </w:pPr>
            <w:r w:rsidRPr="004D4A3D">
              <w:rPr>
                <w:rFonts w:asciiTheme="minorHAnsi" w:hAnsiTheme="minorHAnsi" w:cstheme="minorHAnsi"/>
                <w:color w:val="000000" w:themeColor="text1"/>
                <w:sz w:val="20"/>
                <w:szCs w:val="20"/>
              </w:rPr>
              <w:t xml:space="preserve">The working-age population is the population above the legal working age, but for statistical purposes it comprises all persons above a specified minimum age threshold for which an inquiry on economic activity is made. To </w:t>
            </w:r>
            <w:r w:rsidRPr="004D4A3D">
              <w:rPr>
                <w:rFonts w:asciiTheme="minorHAnsi" w:hAnsiTheme="minorHAnsi" w:cstheme="minorHAnsi"/>
                <w:color w:val="000000" w:themeColor="text1"/>
                <w:sz w:val="20"/>
                <w:szCs w:val="20"/>
              </w:rPr>
              <w:t>promote</w:t>
            </w:r>
            <w:r w:rsidRPr="004D4A3D">
              <w:rPr>
                <w:rFonts w:asciiTheme="minorHAnsi" w:hAnsiTheme="minorHAnsi" w:cstheme="minorHAnsi"/>
                <w:color w:val="000000" w:themeColor="text1"/>
                <w:sz w:val="20"/>
                <w:szCs w:val="20"/>
              </w:rPr>
              <w:t xml:space="preserve"> international comparability, the working-age population is often defined as all persons aged 15 and older, but this may vary from country to country based on national laws and practices (some countries also use an upper age limit).</w:t>
            </w:r>
          </w:p>
          <w:p w:rsidRPr="004D4A3D" w:rsidR="004D4A3D" w:rsidP="004D4A3D" w:rsidRDefault="004D4A3D" w14:paraId="305911AB" w14:textId="77777777">
            <w:pPr>
              <w:pStyle w:val="NormalWeb"/>
              <w:spacing w:before="0" w:beforeAutospacing="0" w:after="420" w:afterAutospacing="0"/>
              <w:textAlignment w:val="baseline"/>
              <w:rPr>
                <w:rFonts w:asciiTheme="minorHAnsi" w:hAnsiTheme="minorHAnsi" w:cstheme="minorHAnsi"/>
                <w:color w:val="000000" w:themeColor="text1"/>
                <w:sz w:val="20"/>
                <w:szCs w:val="20"/>
              </w:rPr>
            </w:pPr>
            <w:r w:rsidRPr="004D4A3D">
              <w:rPr>
                <w:rFonts w:asciiTheme="minorHAnsi" w:hAnsiTheme="minorHAnsi" w:cstheme="minorHAnsi"/>
                <w:color w:val="000000" w:themeColor="text1"/>
                <w:sz w:val="20"/>
                <w:szCs w:val="20"/>
              </w:rPr>
              <w:t>The classification by economic activity refers to the main activity of the establishment in which a person worked during the reference period. The branch of economic activity of a person does not depend on the specific duties or functions of the person’s job, but rather on the characteristics of the economic unit in which the person works.</w:t>
            </w:r>
          </w:p>
          <w:p w:rsidRPr="004D4A3D" w:rsidR="004D4A3D" w:rsidP="004D4A3D" w:rsidRDefault="004D4A3D" w14:paraId="105B8E0F" w14:textId="5743BC4D">
            <w:pPr>
              <w:pStyle w:val="NormalWeb"/>
              <w:spacing w:before="0" w:beforeAutospacing="0" w:after="0" w:afterAutospacing="0"/>
              <w:textAlignment w:val="baseline"/>
              <w:rPr>
                <w:rFonts w:asciiTheme="minorHAnsi" w:hAnsiTheme="minorHAnsi" w:cstheme="minorHAnsi"/>
                <w:color w:val="000000" w:themeColor="text1"/>
                <w:sz w:val="20"/>
                <w:szCs w:val="20"/>
              </w:rPr>
            </w:pPr>
            <w:r w:rsidRPr="004D4A3D">
              <w:rPr>
                <w:rFonts w:asciiTheme="minorHAnsi" w:hAnsiTheme="minorHAnsi" w:cstheme="minorHAnsi"/>
                <w:color w:val="000000" w:themeColor="text1"/>
                <w:sz w:val="20"/>
                <w:szCs w:val="20"/>
              </w:rPr>
              <w:t>Data presented by branch of economic activity is based on the International Standard Industrial Classification of All Economic Activities (ISIC). The ISIC is the international reference classification of productive activities. Its main purpose is to provide a set of activity categories that can be utilized for the collection and reporting of statistics according to such activities.</w:t>
            </w:r>
            <w:r>
              <w:rPr>
                <w:rFonts w:asciiTheme="minorHAnsi" w:hAnsiTheme="minorHAnsi" w:cstheme="minorHAnsi"/>
                <w:color w:val="000000" w:themeColor="text1"/>
                <w:sz w:val="20"/>
                <w:szCs w:val="20"/>
              </w:rPr>
              <w:t xml:space="preserve"> </w:t>
            </w:r>
            <w:r w:rsidRPr="004D4A3D">
              <w:rPr>
                <w:rFonts w:asciiTheme="minorHAnsi" w:hAnsiTheme="minorHAnsi" w:cstheme="minorHAnsi"/>
                <w:color w:val="000000" w:themeColor="text1"/>
                <w:sz w:val="20"/>
                <w:szCs w:val="20"/>
              </w:rPr>
              <w:t>Statistics on employment by economic activity are presented in ILOSTAT according to both the categories of the latest version of the ISIC available and aggregate categories, based on the following correspondence table:</w:t>
            </w:r>
          </w:p>
          <w:tbl>
            <w:tblPr>
              <w:tblW w:w="8060" w:type="dxa"/>
              <w:tblCellSpacing w:w="15" w:type="dxa"/>
              <w:tblBorders>
                <w:top w:val="single" w:color="DDD9D4" w:sz="6" w:space="0"/>
                <w:left w:val="single" w:color="DDD9D4" w:sz="6" w:space="0"/>
                <w:bottom w:val="single" w:color="DDD9D4" w:sz="6" w:space="0"/>
                <w:right w:val="single" w:color="DDD9D4" w:sz="6" w:space="0"/>
              </w:tblBorders>
              <w:tblCellMar>
                <w:left w:w="0" w:type="dxa"/>
                <w:right w:w="0" w:type="dxa"/>
              </w:tblCellMar>
              <w:tblLook w:val="04A0" w:firstRow="1" w:lastRow="0" w:firstColumn="1" w:lastColumn="0" w:noHBand="0" w:noVBand="1"/>
            </w:tblPr>
            <w:tblGrid>
              <w:gridCol w:w="978"/>
              <w:gridCol w:w="732"/>
              <w:gridCol w:w="2906"/>
              <w:gridCol w:w="1224"/>
              <w:gridCol w:w="1170"/>
              <w:gridCol w:w="1000"/>
              <w:gridCol w:w="50"/>
            </w:tblGrid>
            <w:tr w:rsidRPr="004D4A3D" w:rsidR="004D4A3D" w:rsidTr="004D4A3D" w14:paraId="364FBBCE" w14:textId="77777777">
              <w:trPr>
                <w:gridAfter w:val="1"/>
                <w:wAfter w:w="5" w:type="dxa"/>
                <w:trHeight w:val="372"/>
                <w:tblHeader/>
                <w:tblCellSpacing w:w="15" w:type="dxa"/>
              </w:trPr>
              <w:tc>
                <w:tcPr>
                  <w:tcW w:w="4571" w:type="dxa"/>
                  <w:gridSpan w:val="3"/>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23657D77" w14:textId="77777777">
                  <w:pPr>
                    <w:rPr>
                      <w:rFonts w:cstheme="minorHAnsi"/>
                      <w:b/>
                      <w:bCs/>
                      <w:color w:val="000000" w:themeColor="text1"/>
                      <w:sz w:val="20"/>
                      <w:szCs w:val="20"/>
                    </w:rPr>
                  </w:pPr>
                  <w:r w:rsidRPr="004D4A3D">
                    <w:rPr>
                      <w:rStyle w:val="premium-table-inner"/>
                      <w:rFonts w:cstheme="minorHAnsi"/>
                      <w:b/>
                      <w:bCs/>
                      <w:color w:val="000000" w:themeColor="text1"/>
                      <w:sz w:val="20"/>
                      <w:szCs w:val="20"/>
                      <w:bdr w:val="none" w:color="auto" w:sz="0" w:space="0" w:frame="1"/>
                    </w:rPr>
                    <w:t>Aggregate Economic Activity</w:t>
                  </w:r>
                </w:p>
              </w:tc>
              <w:tc>
                <w:tcPr>
                  <w:tcW w:w="1194" w:type="dxa"/>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078AF18F" w14:textId="77777777">
                  <w:pPr>
                    <w:rPr>
                      <w:rFonts w:cstheme="minorHAnsi"/>
                      <w:b/>
                      <w:bCs/>
                      <w:color w:val="000000" w:themeColor="text1"/>
                      <w:sz w:val="20"/>
                      <w:szCs w:val="20"/>
                    </w:rPr>
                  </w:pPr>
                  <w:r w:rsidRPr="004D4A3D">
                    <w:rPr>
                      <w:rStyle w:val="premium-table-inner"/>
                      <w:rFonts w:cstheme="minorHAnsi"/>
                      <w:b/>
                      <w:bCs/>
                      <w:color w:val="000000" w:themeColor="text1"/>
                      <w:sz w:val="20"/>
                      <w:szCs w:val="20"/>
                      <w:bdr w:val="none" w:color="auto" w:sz="0" w:space="0" w:frame="1"/>
                    </w:rPr>
                    <w:t>Sections ISIC- Rev. 4</w:t>
                  </w:r>
                </w:p>
              </w:tc>
              <w:tc>
                <w:tcPr>
                  <w:tcW w:w="1140" w:type="dxa"/>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7861BEAE" w14:textId="77777777">
                  <w:pPr>
                    <w:rPr>
                      <w:rFonts w:cstheme="minorHAnsi"/>
                      <w:b/>
                      <w:bCs/>
                      <w:color w:val="000000" w:themeColor="text1"/>
                      <w:sz w:val="20"/>
                      <w:szCs w:val="20"/>
                    </w:rPr>
                  </w:pPr>
                  <w:r w:rsidRPr="004D4A3D">
                    <w:rPr>
                      <w:rStyle w:val="premium-table-inner"/>
                      <w:rFonts w:cstheme="minorHAnsi"/>
                      <w:b/>
                      <w:bCs/>
                      <w:color w:val="000000" w:themeColor="text1"/>
                      <w:sz w:val="20"/>
                      <w:szCs w:val="20"/>
                      <w:bdr w:val="none" w:color="auto" w:sz="0" w:space="0" w:frame="1"/>
                    </w:rPr>
                    <w:t>Sections ISIC- Rev. 3</w:t>
                  </w:r>
                </w:p>
              </w:tc>
              <w:tc>
                <w:tcPr>
                  <w:tcW w:w="970" w:type="dxa"/>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58DD2134" w14:textId="77777777">
                  <w:pPr>
                    <w:rPr>
                      <w:rFonts w:cstheme="minorHAnsi"/>
                      <w:b/>
                      <w:bCs/>
                      <w:color w:val="000000" w:themeColor="text1"/>
                      <w:sz w:val="20"/>
                      <w:szCs w:val="20"/>
                    </w:rPr>
                  </w:pPr>
                  <w:r w:rsidRPr="004D4A3D">
                    <w:rPr>
                      <w:rStyle w:val="premium-table-inner"/>
                      <w:rFonts w:cstheme="minorHAnsi"/>
                      <w:b/>
                      <w:bCs/>
                      <w:color w:val="000000" w:themeColor="text1"/>
                      <w:sz w:val="20"/>
                      <w:szCs w:val="20"/>
                      <w:bdr w:val="none" w:color="auto" w:sz="0" w:space="0" w:frame="1"/>
                    </w:rPr>
                    <w:t>Sections ISIC- Rev. 2</w:t>
                  </w:r>
                </w:p>
              </w:tc>
            </w:tr>
            <w:tr w:rsidRPr="004D4A3D" w:rsidR="004D4A3D" w:rsidTr="004D4A3D" w14:paraId="72F6F690" w14:textId="77777777">
              <w:trPr>
                <w:gridAfter w:val="1"/>
                <w:wAfter w:w="5" w:type="dxa"/>
                <w:trHeight w:val="178"/>
                <w:tblCellSpacing w:w="15" w:type="dxa"/>
              </w:trPr>
              <w:tc>
                <w:tcPr>
                  <w:tcW w:w="4571" w:type="dxa"/>
                  <w:gridSpan w:val="3"/>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2BE4A79A"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Agriculture</w:t>
                  </w:r>
                </w:p>
              </w:tc>
              <w:tc>
                <w:tcPr>
                  <w:tcW w:w="1194" w:type="dxa"/>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7DFE89A5"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A</w:t>
                  </w:r>
                </w:p>
              </w:tc>
              <w:tc>
                <w:tcPr>
                  <w:tcW w:w="1140" w:type="dxa"/>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28F382D1"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A, B</w:t>
                  </w:r>
                </w:p>
              </w:tc>
              <w:tc>
                <w:tcPr>
                  <w:tcW w:w="970" w:type="dxa"/>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20EE59C7"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1</w:t>
                  </w:r>
                </w:p>
              </w:tc>
            </w:tr>
            <w:tr w:rsidRPr="004D4A3D" w:rsidR="004D4A3D" w:rsidTr="004D4A3D" w14:paraId="7550C7F1" w14:textId="77777777">
              <w:trPr>
                <w:gridAfter w:val="1"/>
                <w:wAfter w:w="5" w:type="dxa"/>
                <w:trHeight w:val="205"/>
                <w:tblCellSpacing w:w="15" w:type="dxa"/>
              </w:trPr>
              <w:tc>
                <w:tcPr>
                  <w:tcW w:w="0" w:type="auto"/>
                  <w:vMerge w:val="restart"/>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075DF943" w14:textId="08253F89">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Non-Agriculture</w:t>
                  </w:r>
                </w:p>
              </w:tc>
              <w:tc>
                <w:tcPr>
                  <w:tcW w:w="0" w:type="auto"/>
                  <w:vMerge w:val="restart"/>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3B303810"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Industry</w:t>
                  </w:r>
                </w:p>
              </w:tc>
              <w:tc>
                <w:tcPr>
                  <w:tcW w:w="2876" w:type="dxa"/>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43E3848B"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Manufacturing</w:t>
                  </w:r>
                </w:p>
              </w:tc>
              <w:tc>
                <w:tcPr>
                  <w:tcW w:w="1194" w:type="dxa"/>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0A60B452"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C</w:t>
                  </w:r>
                </w:p>
              </w:tc>
              <w:tc>
                <w:tcPr>
                  <w:tcW w:w="1140" w:type="dxa"/>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3AF26FE0"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D</w:t>
                  </w:r>
                </w:p>
              </w:tc>
              <w:tc>
                <w:tcPr>
                  <w:tcW w:w="970" w:type="dxa"/>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01BAC629"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3</w:t>
                  </w:r>
                </w:p>
              </w:tc>
            </w:tr>
            <w:tr w:rsidRPr="004D4A3D" w:rsidR="004D4A3D" w:rsidTr="004D4A3D" w14:paraId="367999C1" w14:textId="77777777">
              <w:trPr>
                <w:gridAfter w:val="1"/>
                <w:wAfter w:w="5" w:type="dxa"/>
                <w:trHeight w:val="230"/>
                <w:tblCellSpacing w:w="15" w:type="dxa"/>
              </w:trPr>
              <w:tc>
                <w:tcPr>
                  <w:tcW w:w="0" w:type="auto"/>
                  <w:vMerge/>
                  <w:tcBorders>
                    <w:top w:val="single" w:color="DDD9D4" w:sz="6" w:space="0"/>
                    <w:left w:val="single" w:color="DDD9D4" w:sz="6" w:space="0"/>
                    <w:bottom w:val="single" w:color="DDD9D4" w:sz="6" w:space="0"/>
                    <w:right w:val="single" w:color="DDD9D4" w:sz="6" w:space="0"/>
                  </w:tcBorders>
                  <w:vAlign w:val="bottom"/>
                  <w:hideMark/>
                </w:tcPr>
                <w:p w:rsidRPr="004D4A3D" w:rsidR="004D4A3D" w:rsidP="004D4A3D" w:rsidRDefault="004D4A3D" w14:paraId="37135979" w14:textId="77777777">
                  <w:pPr>
                    <w:rPr>
                      <w:rFonts w:cstheme="minorHAnsi"/>
                      <w:color w:val="000000" w:themeColor="text1"/>
                      <w:sz w:val="20"/>
                      <w:szCs w:val="20"/>
                    </w:rPr>
                  </w:pPr>
                </w:p>
              </w:tc>
              <w:tc>
                <w:tcPr>
                  <w:tcW w:w="0" w:type="auto"/>
                  <w:vMerge/>
                  <w:tcBorders>
                    <w:top w:val="single" w:color="DDD9D4" w:sz="6" w:space="0"/>
                    <w:left w:val="single" w:color="DDD9D4" w:sz="6" w:space="0"/>
                    <w:bottom w:val="single" w:color="DDD9D4" w:sz="6" w:space="0"/>
                    <w:right w:val="single" w:color="DDD9D4" w:sz="6" w:space="0"/>
                  </w:tcBorders>
                  <w:vAlign w:val="bottom"/>
                  <w:hideMark/>
                </w:tcPr>
                <w:p w:rsidRPr="004D4A3D" w:rsidR="004D4A3D" w:rsidP="004D4A3D" w:rsidRDefault="004D4A3D" w14:paraId="7C5C372B" w14:textId="77777777">
                  <w:pPr>
                    <w:rPr>
                      <w:rFonts w:cstheme="minorHAnsi"/>
                      <w:color w:val="000000" w:themeColor="text1"/>
                      <w:sz w:val="20"/>
                      <w:szCs w:val="20"/>
                    </w:rPr>
                  </w:pPr>
                </w:p>
              </w:tc>
              <w:tc>
                <w:tcPr>
                  <w:tcW w:w="2876" w:type="dxa"/>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78BD6002"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Construction</w:t>
                  </w:r>
                </w:p>
              </w:tc>
              <w:tc>
                <w:tcPr>
                  <w:tcW w:w="1194" w:type="dxa"/>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14192271"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F</w:t>
                  </w:r>
                </w:p>
              </w:tc>
              <w:tc>
                <w:tcPr>
                  <w:tcW w:w="1140" w:type="dxa"/>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234B0A51"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F</w:t>
                  </w:r>
                </w:p>
              </w:tc>
              <w:tc>
                <w:tcPr>
                  <w:tcW w:w="970" w:type="dxa"/>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10D780EC"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5</w:t>
                  </w:r>
                </w:p>
              </w:tc>
            </w:tr>
            <w:tr w:rsidRPr="004D4A3D" w:rsidR="004D4A3D" w:rsidTr="004D4A3D" w14:paraId="0A549971" w14:textId="77777777">
              <w:trPr>
                <w:gridAfter w:val="1"/>
                <w:wAfter w:w="5" w:type="dxa"/>
                <w:trHeight w:val="230"/>
                <w:tblCellSpacing w:w="15" w:type="dxa"/>
              </w:trPr>
              <w:tc>
                <w:tcPr>
                  <w:tcW w:w="0" w:type="auto"/>
                  <w:vMerge/>
                  <w:tcBorders>
                    <w:top w:val="single" w:color="DDD9D4" w:sz="6" w:space="0"/>
                    <w:left w:val="single" w:color="DDD9D4" w:sz="6" w:space="0"/>
                    <w:bottom w:val="single" w:color="DDD9D4" w:sz="6" w:space="0"/>
                    <w:right w:val="single" w:color="DDD9D4" w:sz="6" w:space="0"/>
                  </w:tcBorders>
                  <w:vAlign w:val="bottom"/>
                  <w:hideMark/>
                </w:tcPr>
                <w:p w:rsidRPr="004D4A3D" w:rsidR="004D4A3D" w:rsidP="004D4A3D" w:rsidRDefault="004D4A3D" w14:paraId="720C478B" w14:textId="77777777">
                  <w:pPr>
                    <w:rPr>
                      <w:rFonts w:cstheme="minorHAnsi"/>
                      <w:color w:val="000000" w:themeColor="text1"/>
                      <w:sz w:val="20"/>
                      <w:szCs w:val="20"/>
                    </w:rPr>
                  </w:pPr>
                </w:p>
              </w:tc>
              <w:tc>
                <w:tcPr>
                  <w:tcW w:w="0" w:type="auto"/>
                  <w:vMerge/>
                  <w:tcBorders>
                    <w:top w:val="single" w:color="DDD9D4" w:sz="6" w:space="0"/>
                    <w:left w:val="single" w:color="DDD9D4" w:sz="6" w:space="0"/>
                    <w:bottom w:val="single" w:color="DDD9D4" w:sz="6" w:space="0"/>
                    <w:right w:val="single" w:color="DDD9D4" w:sz="6" w:space="0"/>
                  </w:tcBorders>
                  <w:vAlign w:val="bottom"/>
                  <w:hideMark/>
                </w:tcPr>
                <w:p w:rsidRPr="004D4A3D" w:rsidR="004D4A3D" w:rsidP="004D4A3D" w:rsidRDefault="004D4A3D" w14:paraId="5C2195CE" w14:textId="77777777">
                  <w:pPr>
                    <w:rPr>
                      <w:rFonts w:cstheme="minorHAnsi"/>
                      <w:color w:val="000000" w:themeColor="text1"/>
                      <w:sz w:val="20"/>
                      <w:szCs w:val="20"/>
                    </w:rPr>
                  </w:pPr>
                </w:p>
              </w:tc>
              <w:tc>
                <w:tcPr>
                  <w:tcW w:w="2876" w:type="dxa"/>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0F7CF8D9"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Mining and quarrying; Electricity, gas and water supply</w:t>
                  </w:r>
                </w:p>
              </w:tc>
              <w:tc>
                <w:tcPr>
                  <w:tcW w:w="1194" w:type="dxa"/>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48635DB8"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B, D, E</w:t>
                  </w:r>
                </w:p>
              </w:tc>
              <w:tc>
                <w:tcPr>
                  <w:tcW w:w="1140" w:type="dxa"/>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270F4139"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C, E</w:t>
                  </w:r>
                </w:p>
              </w:tc>
              <w:tc>
                <w:tcPr>
                  <w:tcW w:w="970" w:type="dxa"/>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0F45F855"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2, 4</w:t>
                  </w:r>
                </w:p>
              </w:tc>
            </w:tr>
            <w:tr w:rsidRPr="004D4A3D" w:rsidR="004D4A3D" w:rsidTr="004D4A3D" w14:paraId="63697456" w14:textId="77777777">
              <w:trPr>
                <w:gridAfter w:val="1"/>
                <w:wAfter w:w="5" w:type="dxa"/>
                <w:trHeight w:val="423"/>
                <w:tblCellSpacing w:w="15" w:type="dxa"/>
              </w:trPr>
              <w:tc>
                <w:tcPr>
                  <w:tcW w:w="0" w:type="auto"/>
                  <w:vMerge/>
                  <w:tcBorders>
                    <w:top w:val="single" w:color="DDD9D4" w:sz="6" w:space="0"/>
                    <w:left w:val="single" w:color="DDD9D4" w:sz="6" w:space="0"/>
                    <w:bottom w:val="single" w:color="DDD9D4" w:sz="6" w:space="0"/>
                    <w:right w:val="single" w:color="DDD9D4" w:sz="6" w:space="0"/>
                  </w:tcBorders>
                  <w:vAlign w:val="bottom"/>
                  <w:hideMark/>
                </w:tcPr>
                <w:p w:rsidRPr="004D4A3D" w:rsidR="004D4A3D" w:rsidP="004D4A3D" w:rsidRDefault="004D4A3D" w14:paraId="6A8F3F3E" w14:textId="77777777">
                  <w:pPr>
                    <w:rPr>
                      <w:rFonts w:cstheme="minorHAnsi"/>
                      <w:color w:val="000000" w:themeColor="text1"/>
                      <w:sz w:val="20"/>
                      <w:szCs w:val="20"/>
                    </w:rPr>
                  </w:pPr>
                </w:p>
              </w:tc>
              <w:tc>
                <w:tcPr>
                  <w:tcW w:w="0" w:type="auto"/>
                  <w:vMerge w:val="restart"/>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147A1A66"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Services</w:t>
                  </w:r>
                </w:p>
              </w:tc>
              <w:tc>
                <w:tcPr>
                  <w:tcW w:w="2876" w:type="dxa"/>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2B536B9C"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Market Services (Trade; Transportation; Accommodation and food; and Business and administrative services)</w:t>
                  </w:r>
                </w:p>
              </w:tc>
              <w:tc>
                <w:tcPr>
                  <w:tcW w:w="1194" w:type="dxa"/>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3A540E1F"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G, H, I, J, K, L, M, N</w:t>
                  </w:r>
                </w:p>
              </w:tc>
              <w:tc>
                <w:tcPr>
                  <w:tcW w:w="1140" w:type="dxa"/>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45AE9BEB"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G, H, I, J, K</w:t>
                  </w:r>
                </w:p>
              </w:tc>
              <w:tc>
                <w:tcPr>
                  <w:tcW w:w="970" w:type="dxa"/>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56A06C59"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6, 7, 8</w:t>
                  </w:r>
                </w:p>
              </w:tc>
            </w:tr>
            <w:tr w:rsidRPr="004D4A3D" w:rsidR="004D4A3D" w:rsidTr="004D4A3D" w14:paraId="21A441A3" w14:textId="77777777">
              <w:trPr>
                <w:gridAfter w:val="1"/>
                <w:wAfter w:w="5" w:type="dxa"/>
                <w:trHeight w:val="398"/>
                <w:tblCellSpacing w:w="15" w:type="dxa"/>
              </w:trPr>
              <w:tc>
                <w:tcPr>
                  <w:tcW w:w="0" w:type="auto"/>
                  <w:vMerge/>
                  <w:tcBorders>
                    <w:top w:val="single" w:color="DDD9D4" w:sz="6" w:space="0"/>
                    <w:left w:val="single" w:color="DDD9D4" w:sz="6" w:space="0"/>
                    <w:bottom w:val="single" w:color="DDD9D4" w:sz="6" w:space="0"/>
                    <w:right w:val="single" w:color="DDD9D4" w:sz="6" w:space="0"/>
                  </w:tcBorders>
                  <w:vAlign w:val="bottom"/>
                  <w:hideMark/>
                </w:tcPr>
                <w:p w:rsidRPr="004D4A3D" w:rsidR="004D4A3D" w:rsidP="004D4A3D" w:rsidRDefault="004D4A3D" w14:paraId="5FA0F78F" w14:textId="77777777">
                  <w:pPr>
                    <w:rPr>
                      <w:rFonts w:cstheme="minorHAnsi"/>
                      <w:color w:val="000000" w:themeColor="text1"/>
                      <w:sz w:val="20"/>
                      <w:szCs w:val="20"/>
                    </w:rPr>
                  </w:pPr>
                </w:p>
              </w:tc>
              <w:tc>
                <w:tcPr>
                  <w:tcW w:w="0" w:type="auto"/>
                  <w:vMerge/>
                  <w:tcBorders>
                    <w:top w:val="single" w:color="DDD9D4" w:sz="6" w:space="0"/>
                    <w:left w:val="single" w:color="DDD9D4" w:sz="6" w:space="0"/>
                    <w:bottom w:val="single" w:color="DDD9D4" w:sz="6" w:space="0"/>
                    <w:right w:val="single" w:color="DDD9D4" w:sz="6" w:space="0"/>
                  </w:tcBorders>
                  <w:vAlign w:val="bottom"/>
                  <w:hideMark/>
                </w:tcPr>
                <w:p w:rsidRPr="004D4A3D" w:rsidR="004D4A3D" w:rsidP="004D4A3D" w:rsidRDefault="004D4A3D" w14:paraId="3D460D81" w14:textId="77777777">
                  <w:pPr>
                    <w:rPr>
                      <w:rFonts w:cstheme="minorHAnsi"/>
                      <w:color w:val="000000" w:themeColor="text1"/>
                      <w:sz w:val="20"/>
                      <w:szCs w:val="20"/>
                    </w:rPr>
                  </w:pPr>
                </w:p>
              </w:tc>
              <w:tc>
                <w:tcPr>
                  <w:tcW w:w="2876" w:type="dxa"/>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4380DE90"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Non-market services (Public administration; Community, Social and other services and activities)</w:t>
                  </w:r>
                </w:p>
              </w:tc>
              <w:tc>
                <w:tcPr>
                  <w:tcW w:w="1194" w:type="dxa"/>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41E705D7"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O, P, Q, R, S, T, U</w:t>
                  </w:r>
                </w:p>
              </w:tc>
              <w:tc>
                <w:tcPr>
                  <w:tcW w:w="1140" w:type="dxa"/>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56D7E68A"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L, M, N, O, P, Q</w:t>
                  </w:r>
                </w:p>
              </w:tc>
              <w:tc>
                <w:tcPr>
                  <w:tcW w:w="970" w:type="dxa"/>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33B42961"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9</w:t>
                  </w:r>
                </w:p>
              </w:tc>
            </w:tr>
            <w:tr w:rsidRPr="004D4A3D" w:rsidR="004D4A3D" w:rsidTr="004D4A3D" w14:paraId="62EAD94A" w14:textId="77777777">
              <w:trPr>
                <w:trHeight w:val="178"/>
                <w:tblCellSpacing w:w="15" w:type="dxa"/>
              </w:trPr>
              <w:tc>
                <w:tcPr>
                  <w:tcW w:w="4571" w:type="dxa"/>
                  <w:gridSpan w:val="3"/>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3576C40F"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Not elsewhere classified</w:t>
                  </w:r>
                </w:p>
              </w:tc>
              <w:tc>
                <w:tcPr>
                  <w:tcW w:w="2364" w:type="dxa"/>
                  <w:gridSpan w:val="2"/>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284C55FB"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X</w:t>
                  </w:r>
                </w:p>
              </w:tc>
              <w:tc>
                <w:tcPr>
                  <w:tcW w:w="1005" w:type="dxa"/>
                  <w:gridSpan w:val="2"/>
                  <w:tcBorders>
                    <w:top w:val="single" w:color="DDD9D4" w:sz="6" w:space="0"/>
                    <w:left w:val="single" w:color="DDD9D4" w:sz="6" w:space="0"/>
                    <w:bottom w:val="single" w:color="DDD9D4" w:sz="6" w:space="0"/>
                    <w:right w:val="single" w:color="DDD9D4" w:sz="6" w:space="0"/>
                  </w:tcBorders>
                  <w:vAlign w:val="center"/>
                  <w:hideMark/>
                </w:tcPr>
                <w:p w:rsidRPr="004D4A3D" w:rsidR="004D4A3D" w:rsidP="004D4A3D" w:rsidRDefault="004D4A3D" w14:paraId="138B528E"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0</w:t>
                  </w:r>
                </w:p>
              </w:tc>
            </w:tr>
          </w:tbl>
          <w:p w:rsidRPr="004D4A3D" w:rsidR="004D4A3D" w:rsidP="00450FA4" w:rsidRDefault="004D4A3D" w14:paraId="1285C04C" w14:textId="77777777">
            <w:pPr>
              <w:rPr>
                <w:rFonts w:cstheme="minorHAnsi"/>
                <w:color w:val="000000" w:themeColor="text1"/>
                <w:sz w:val="20"/>
                <w:szCs w:val="20"/>
              </w:rPr>
            </w:pPr>
          </w:p>
        </w:tc>
      </w:tr>
      <w:tr w:rsidRPr="00A40ED5" w:rsidR="004D4A3D" w:rsidTr="714BA356" w14:paraId="5915A79C" w14:textId="77777777">
        <w:trPr>
          <w:trHeight w:val="300"/>
        </w:trPr>
        <w:tc>
          <w:tcPr>
            <w:tcW w:w="849" w:type="dxa"/>
            <w:tcBorders>
              <w:top w:val="single" w:color="auto" w:sz="6"/>
              <w:left w:val="single" w:color="auto" w:sz="6"/>
              <w:bottom w:val="single" w:color="auto" w:sz="6"/>
              <w:right w:val="single" w:color="auto" w:sz="6"/>
            </w:tcBorders>
            <w:shd w:val="clear" w:color="auto" w:fill="auto"/>
            <w:tcMar/>
          </w:tcPr>
          <w:p w:rsidR="714BA356" w:rsidP="714BA356" w:rsidRDefault="714BA356" w14:paraId="283BD5A6" w14:textId="360256E4">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8</w:t>
            </w:r>
          </w:p>
        </w:tc>
        <w:tc>
          <w:tcPr>
            <w:tcW w:w="849" w:type="dxa"/>
            <w:tcBorders>
              <w:top w:val="single" w:color="auto" w:sz="6"/>
              <w:left w:val="single" w:color="auto" w:sz="6"/>
              <w:bottom w:val="single" w:color="auto" w:sz="6"/>
              <w:right w:val="single" w:color="auto" w:sz="6"/>
            </w:tcBorders>
            <w:shd w:val="clear" w:color="auto" w:fill="auto"/>
            <w:tcMar/>
          </w:tcPr>
          <w:p w:rsidR="714BA356" w:rsidP="714BA356" w:rsidRDefault="714BA356" w14:paraId="533BFFB2" w14:textId="5D0E6053">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6</w:t>
            </w:r>
          </w:p>
          <w:p w:rsidR="714BA356" w:rsidP="714BA356" w:rsidRDefault="714BA356" w14:paraId="72F7EB62" w14:textId="544AA711">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7</w:t>
            </w:r>
          </w:p>
          <w:p w:rsidR="714BA356" w:rsidP="714BA356" w:rsidRDefault="714BA356" w14:paraId="7EA6E8E8" w14:textId="5F536B59">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8</w:t>
            </w:r>
          </w:p>
        </w:tc>
        <w:tc>
          <w:tcPr>
            <w:tcW w:w="849" w:type="dxa"/>
            <w:tcBorders>
              <w:top w:val="single" w:color="auto" w:sz="6"/>
              <w:left w:val="single" w:color="auto" w:sz="6"/>
              <w:bottom w:val="single" w:color="auto" w:sz="6"/>
              <w:right w:val="single" w:color="auto" w:sz="6"/>
            </w:tcBorders>
            <w:shd w:val="clear" w:color="auto" w:fill="auto"/>
            <w:tcMar/>
          </w:tcPr>
          <w:p w:rsidR="086C8934" w:rsidP="2F6EF34B" w:rsidRDefault="086C8934" w14:paraId="447572AE" w14:textId="571F7723">
            <w:pPr>
              <w:pStyle w:val="Normal"/>
              <w:rPr>
                <w:rFonts w:ascii="Calibri" w:hAnsi="Calibri" w:eastAsia="Times New Roman" w:cs="Calibri"/>
                <w:sz w:val="20"/>
                <w:szCs w:val="20"/>
                <w:lang w:val="en-GB"/>
              </w:rPr>
            </w:pPr>
            <w:r w:rsidRPr="714BA356" w:rsidR="16E88139">
              <w:rPr>
                <w:rFonts w:ascii="Calibri" w:hAnsi="Calibri" w:eastAsia="Times New Roman" w:cs="Calibri"/>
                <w:sz w:val="20"/>
                <w:szCs w:val="20"/>
                <w:lang w:val="en-GB"/>
              </w:rPr>
              <w:t>3</w:t>
            </w:r>
          </w:p>
        </w:tc>
        <w:tc>
          <w:tcPr>
            <w:tcW w:w="84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4D4A3D" w:rsidP="00450FA4" w:rsidRDefault="004D4A3D" w14:paraId="126B33BC"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Method of computation</w:t>
            </w:r>
            <w:r w:rsidRPr="00A40ED5">
              <w:rPr>
                <w:rFonts w:ascii="Calibri" w:hAnsi="Calibri" w:eastAsia="Times New Roman" w:cs="Calibri"/>
                <w:sz w:val="20"/>
                <w:szCs w:val="20"/>
              </w:rPr>
              <w:t>  </w:t>
            </w:r>
          </w:p>
        </w:tc>
        <w:tc>
          <w:tcPr>
            <w:tcW w:w="5964"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4D4A3D" w:rsidP="004D4A3D" w:rsidRDefault="004D4A3D" w14:paraId="35AC7BD4" w14:textId="7950F62E">
            <w:pPr>
              <w:rPr>
                <w:rFonts w:ascii="Segoe UI" w:hAnsi="Segoe UI" w:eastAsia="Times New Roman" w:cs="Segoe UI"/>
                <w:sz w:val="18"/>
                <w:szCs w:val="18"/>
              </w:rPr>
            </w:pPr>
          </w:p>
          <w:p w:rsidRPr="00A40ED5" w:rsidR="004D4A3D" w:rsidP="00450FA4" w:rsidRDefault="004D4A3D" w14:paraId="35174743" w14:textId="5C9BB116">
            <w:pPr>
              <w:textAlignment w:val="baseline"/>
              <w:rPr>
                <w:rFonts w:ascii="Segoe UI" w:hAnsi="Segoe UI" w:eastAsia="Times New Roman" w:cs="Segoe UI"/>
                <w:sz w:val="18"/>
                <w:szCs w:val="18"/>
              </w:rPr>
            </w:pPr>
          </w:p>
        </w:tc>
      </w:tr>
      <w:tr w:rsidRPr="00A40ED5" w:rsidR="004D4A3D" w:rsidTr="714BA356" w14:paraId="69DEB115" w14:textId="77777777">
        <w:trPr>
          <w:trHeight w:val="2505"/>
        </w:trPr>
        <w:tc>
          <w:tcPr>
            <w:tcW w:w="849" w:type="dxa"/>
            <w:tcBorders>
              <w:top w:val="single" w:color="auto" w:sz="6"/>
              <w:left w:val="single" w:color="auto" w:sz="6"/>
              <w:bottom w:val="single" w:color="auto" w:sz="6"/>
              <w:right w:val="single" w:color="auto" w:sz="6"/>
            </w:tcBorders>
            <w:shd w:val="clear" w:color="auto" w:fill="auto"/>
            <w:tcMar/>
          </w:tcPr>
          <w:p w:rsidR="714BA356" w:rsidP="714BA356" w:rsidRDefault="714BA356" w14:paraId="2BDE1886" w14:textId="360256E4">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8</w:t>
            </w:r>
          </w:p>
        </w:tc>
        <w:tc>
          <w:tcPr>
            <w:tcW w:w="849" w:type="dxa"/>
            <w:tcBorders>
              <w:top w:val="single" w:color="auto" w:sz="6"/>
              <w:left w:val="single" w:color="auto" w:sz="6"/>
              <w:bottom w:val="single" w:color="auto" w:sz="6"/>
              <w:right w:val="single" w:color="auto" w:sz="6"/>
            </w:tcBorders>
            <w:shd w:val="clear" w:color="auto" w:fill="auto"/>
            <w:tcMar/>
          </w:tcPr>
          <w:p w:rsidR="714BA356" w:rsidP="714BA356" w:rsidRDefault="714BA356" w14:paraId="0EB6FA30" w14:textId="5D0E6053">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6</w:t>
            </w:r>
          </w:p>
          <w:p w:rsidR="714BA356" w:rsidP="714BA356" w:rsidRDefault="714BA356" w14:paraId="59AF03AD" w14:textId="544AA711">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7</w:t>
            </w:r>
          </w:p>
          <w:p w:rsidR="714BA356" w:rsidP="714BA356" w:rsidRDefault="714BA356" w14:paraId="6D6B0BED" w14:textId="5F536B59">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8</w:t>
            </w:r>
          </w:p>
        </w:tc>
        <w:tc>
          <w:tcPr>
            <w:tcW w:w="849" w:type="dxa"/>
            <w:tcBorders>
              <w:top w:val="single" w:color="auto" w:sz="6"/>
              <w:left w:val="single" w:color="auto" w:sz="6"/>
              <w:bottom w:val="single" w:color="auto" w:sz="6"/>
              <w:right w:val="single" w:color="auto" w:sz="6"/>
            </w:tcBorders>
            <w:shd w:val="clear" w:color="auto" w:fill="auto"/>
            <w:tcMar/>
          </w:tcPr>
          <w:p w:rsidR="086C8934" w:rsidP="2F6EF34B" w:rsidRDefault="086C8934" w14:paraId="4F7C477C" w14:textId="4507F72B">
            <w:pPr>
              <w:pStyle w:val="Normal"/>
              <w:rPr>
                <w:rFonts w:ascii="Calibri" w:hAnsi="Calibri" w:eastAsia="Times New Roman" w:cs="Calibri"/>
                <w:sz w:val="20"/>
                <w:szCs w:val="20"/>
                <w:lang w:val="en-GB"/>
              </w:rPr>
            </w:pPr>
            <w:r w:rsidRPr="714BA356" w:rsidR="78DFBA71">
              <w:rPr>
                <w:rFonts w:ascii="Calibri" w:hAnsi="Calibri" w:eastAsia="Times New Roman" w:cs="Calibri"/>
                <w:sz w:val="20"/>
                <w:szCs w:val="20"/>
                <w:lang w:val="en-GB"/>
              </w:rPr>
              <w:t>4</w:t>
            </w:r>
          </w:p>
        </w:tc>
        <w:tc>
          <w:tcPr>
            <w:tcW w:w="84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4D4A3D" w:rsidP="00450FA4" w:rsidRDefault="004D4A3D" w14:paraId="2ECBF672"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lastRenderedPageBreak/>
              <w:t>Importance of the indicator in addressing gender issues and its limitation</w:t>
            </w:r>
            <w:r w:rsidRPr="00A40ED5">
              <w:rPr>
                <w:rFonts w:ascii="Calibri" w:hAnsi="Calibri" w:eastAsia="Times New Roman" w:cs="Calibri"/>
                <w:sz w:val="20"/>
                <w:szCs w:val="20"/>
              </w:rPr>
              <w:t>  </w:t>
            </w:r>
          </w:p>
        </w:tc>
        <w:tc>
          <w:tcPr>
            <w:tcW w:w="5964" w:type="dxa"/>
            <w:tcBorders>
              <w:top w:val="single" w:color="auto" w:sz="6" w:space="0"/>
              <w:left w:val="single" w:color="auto" w:sz="6" w:space="0"/>
              <w:bottom w:val="single" w:color="auto" w:sz="6" w:space="0"/>
              <w:right w:val="single" w:color="auto" w:sz="6" w:space="0"/>
            </w:tcBorders>
            <w:shd w:val="clear" w:color="auto" w:fill="auto"/>
            <w:tcMar/>
            <w:hideMark/>
          </w:tcPr>
          <w:p w:rsidRPr="004D4A3D" w:rsidR="004D4A3D" w:rsidP="004D4A3D" w:rsidRDefault="004D4A3D" w14:paraId="05705A72" w14:textId="77777777">
            <w:pPr>
              <w:pStyle w:val="NormalWeb"/>
              <w:spacing w:before="0" w:beforeAutospacing="0" w:after="420" w:afterAutospacing="0"/>
              <w:textAlignment w:val="baseline"/>
              <w:rPr>
                <w:rFonts w:asciiTheme="minorHAnsi" w:hAnsiTheme="minorHAnsi" w:cstheme="minorHAnsi"/>
                <w:color w:val="000000" w:themeColor="text1"/>
                <w:sz w:val="20"/>
                <w:szCs w:val="20"/>
              </w:rPr>
            </w:pPr>
            <w:r w:rsidRPr="004D4A3D">
              <w:rPr>
                <w:rFonts w:asciiTheme="minorHAnsi" w:hAnsiTheme="minorHAnsi" w:cstheme="minorHAnsi"/>
                <w:color w:val="000000" w:themeColor="text1"/>
                <w:sz w:val="20"/>
                <w:szCs w:val="20"/>
              </w:rPr>
              <w:t xml:space="preserve">As economies develop, jobs are reallocated from agriculture and other </w:t>
            </w:r>
            <w:proofErr w:type="spellStart"/>
            <w:r w:rsidRPr="004D4A3D">
              <w:rPr>
                <w:rFonts w:asciiTheme="minorHAnsi" w:hAnsiTheme="minorHAnsi" w:cstheme="minorHAnsi"/>
                <w:color w:val="000000" w:themeColor="text1"/>
                <w:sz w:val="20"/>
                <w:szCs w:val="20"/>
              </w:rPr>
              <w:t>labour-intensive</w:t>
            </w:r>
            <w:proofErr w:type="spellEnd"/>
            <w:r w:rsidRPr="004D4A3D">
              <w:rPr>
                <w:rFonts w:asciiTheme="minorHAnsi" w:hAnsiTheme="minorHAnsi" w:cstheme="minorHAnsi"/>
                <w:color w:val="000000" w:themeColor="text1"/>
                <w:sz w:val="20"/>
                <w:szCs w:val="20"/>
              </w:rPr>
              <w:t xml:space="preserve"> primary activities to industry and finally to the services sector; in the process, workers migrate from rural to urban areas. In a large majority of countries, services are currently the largest sector in terms of employment. In most of the remaining countries, agricultural employment often remains widespread.</w:t>
            </w:r>
          </w:p>
          <w:p w:rsidRPr="004D4A3D" w:rsidR="004D4A3D" w:rsidP="004D4A3D" w:rsidRDefault="004D4A3D" w14:paraId="424A72B9" w14:textId="77777777">
            <w:pPr>
              <w:pStyle w:val="NormalWeb"/>
              <w:spacing w:before="0" w:beforeAutospacing="0" w:after="420" w:afterAutospacing="0"/>
              <w:textAlignment w:val="baseline"/>
              <w:rPr>
                <w:rFonts w:asciiTheme="minorHAnsi" w:hAnsiTheme="minorHAnsi" w:cstheme="minorHAnsi"/>
                <w:color w:val="000000" w:themeColor="text1"/>
                <w:sz w:val="20"/>
                <w:szCs w:val="20"/>
              </w:rPr>
            </w:pPr>
            <w:r w:rsidRPr="004D4A3D">
              <w:rPr>
                <w:rFonts w:asciiTheme="minorHAnsi" w:hAnsiTheme="minorHAnsi" w:cstheme="minorHAnsi"/>
                <w:color w:val="000000" w:themeColor="text1"/>
                <w:sz w:val="20"/>
                <w:szCs w:val="20"/>
              </w:rPr>
              <w:t xml:space="preserve">Classification into broad groupings may obscure fundamental shifts within industrial patterns. An analysis of employment statistics by economic activity following the 1-digit level categories of the ISIC allows identification of individual industries and services where employment is growing or stagnating. Teamed with information on job vacancies by sector, the more detailed data, viewed over time, provides a picture of where demand for </w:t>
            </w:r>
            <w:proofErr w:type="spellStart"/>
            <w:r w:rsidRPr="004D4A3D">
              <w:rPr>
                <w:rFonts w:asciiTheme="minorHAnsi" w:hAnsiTheme="minorHAnsi" w:cstheme="minorHAnsi"/>
                <w:color w:val="000000" w:themeColor="text1"/>
                <w:sz w:val="20"/>
                <w:szCs w:val="20"/>
              </w:rPr>
              <w:t>labour</w:t>
            </w:r>
            <w:proofErr w:type="spellEnd"/>
            <w:r w:rsidRPr="004D4A3D">
              <w:rPr>
                <w:rFonts w:asciiTheme="minorHAnsi" w:hAnsiTheme="minorHAnsi" w:cstheme="minorHAnsi"/>
                <w:color w:val="000000" w:themeColor="text1"/>
                <w:sz w:val="20"/>
                <w:szCs w:val="20"/>
              </w:rPr>
              <w:t xml:space="preserve"> is focused and, as such, can serve as a guide for </w:t>
            </w:r>
            <w:proofErr w:type="gramStart"/>
            <w:r w:rsidRPr="004D4A3D">
              <w:rPr>
                <w:rFonts w:asciiTheme="minorHAnsi" w:hAnsiTheme="minorHAnsi" w:cstheme="minorHAnsi"/>
                <w:color w:val="000000" w:themeColor="text1"/>
                <w:sz w:val="20"/>
                <w:szCs w:val="20"/>
              </w:rPr>
              <w:t>policy-makers</w:t>
            </w:r>
            <w:proofErr w:type="gramEnd"/>
            <w:r w:rsidRPr="004D4A3D">
              <w:rPr>
                <w:rFonts w:asciiTheme="minorHAnsi" w:hAnsiTheme="minorHAnsi" w:cstheme="minorHAnsi"/>
                <w:color w:val="000000" w:themeColor="text1"/>
                <w:sz w:val="20"/>
                <w:szCs w:val="20"/>
              </w:rPr>
              <w:t xml:space="preserve"> designing skills and training </w:t>
            </w:r>
            <w:proofErr w:type="spellStart"/>
            <w:r w:rsidRPr="004D4A3D">
              <w:rPr>
                <w:rFonts w:asciiTheme="minorHAnsi" w:hAnsiTheme="minorHAnsi" w:cstheme="minorHAnsi"/>
                <w:color w:val="000000" w:themeColor="text1"/>
                <w:sz w:val="20"/>
                <w:szCs w:val="20"/>
              </w:rPr>
              <w:t>programmes</w:t>
            </w:r>
            <w:proofErr w:type="spellEnd"/>
            <w:r w:rsidRPr="004D4A3D">
              <w:rPr>
                <w:rFonts w:asciiTheme="minorHAnsi" w:hAnsiTheme="minorHAnsi" w:cstheme="minorHAnsi"/>
                <w:color w:val="000000" w:themeColor="text1"/>
                <w:sz w:val="20"/>
                <w:szCs w:val="20"/>
              </w:rPr>
              <w:t xml:space="preserve"> that are aimed at improving the match between </w:t>
            </w:r>
            <w:proofErr w:type="spellStart"/>
            <w:r w:rsidRPr="004D4A3D">
              <w:rPr>
                <w:rFonts w:asciiTheme="minorHAnsi" w:hAnsiTheme="minorHAnsi" w:cstheme="minorHAnsi"/>
                <w:color w:val="000000" w:themeColor="text1"/>
                <w:sz w:val="20"/>
                <w:szCs w:val="20"/>
              </w:rPr>
              <w:t>labour</w:t>
            </w:r>
            <w:proofErr w:type="spellEnd"/>
            <w:r w:rsidRPr="004D4A3D">
              <w:rPr>
                <w:rFonts w:asciiTheme="minorHAnsi" w:hAnsiTheme="minorHAnsi" w:cstheme="minorHAnsi"/>
                <w:color w:val="000000" w:themeColor="text1"/>
                <w:sz w:val="20"/>
                <w:szCs w:val="20"/>
              </w:rPr>
              <w:t xml:space="preserve"> supply and demand. Employment in the manufacturing sector (ISIC 4, tabulation category C, ISIC 3, tabulation category D and ISIC 2, major division 3) is of particular interest to many researchers. One could also investigate, for example, how employment in the accommodations and food services sector (ISIC 4, tabulation category I and ISIC 3 tabulation category H) has evolved in countries where tourism comprises a significant portion of gross national product.</w:t>
            </w:r>
          </w:p>
          <w:p w:rsidR="004D4A3D" w:rsidP="004D4A3D" w:rsidRDefault="004D4A3D" w14:paraId="3D1FFC99" w14:textId="025938C3">
            <w:pPr>
              <w:pStyle w:val="NormalWeb"/>
              <w:spacing w:before="0" w:beforeAutospacing="0" w:after="420" w:afterAutospacing="0"/>
              <w:textAlignment w:val="baseline"/>
              <w:rPr>
                <w:rFonts w:asciiTheme="minorHAnsi" w:hAnsiTheme="minorHAnsi" w:cstheme="minorHAnsi"/>
                <w:color w:val="000000" w:themeColor="text1"/>
                <w:sz w:val="20"/>
                <w:szCs w:val="20"/>
              </w:rPr>
            </w:pPr>
            <w:r w:rsidRPr="004D4A3D">
              <w:rPr>
                <w:rFonts w:asciiTheme="minorHAnsi" w:hAnsiTheme="minorHAnsi" w:cstheme="minorHAnsi"/>
                <w:color w:val="000000" w:themeColor="text1"/>
                <w:sz w:val="20"/>
                <w:szCs w:val="20"/>
              </w:rPr>
              <w:t>It is also interesting to study sectoral employment flows in connection with productivity trends in order to separate within-sector productivity growth (</w:t>
            </w:r>
            <w:proofErr w:type="gramStart"/>
            <w:r w:rsidRPr="004D4A3D">
              <w:rPr>
                <w:rFonts w:asciiTheme="minorHAnsi" w:hAnsiTheme="minorHAnsi" w:cstheme="minorHAnsi"/>
                <w:color w:val="000000" w:themeColor="text1"/>
                <w:sz w:val="20"/>
                <w:szCs w:val="20"/>
              </w:rPr>
              <w:t>i.e.</w:t>
            </w:r>
            <w:proofErr w:type="gramEnd"/>
            <w:r w:rsidRPr="004D4A3D">
              <w:rPr>
                <w:rFonts w:asciiTheme="minorHAnsi" w:hAnsiTheme="minorHAnsi" w:cstheme="minorHAnsi"/>
                <w:color w:val="000000" w:themeColor="text1"/>
                <w:sz w:val="20"/>
                <w:szCs w:val="20"/>
              </w:rPr>
              <w:t xml:space="preserve"> resulting from changes in capital or technology) from productivity growth resulting from shifts of workers from lower- to higher-productivity sectors.</w:t>
            </w:r>
            <w:r>
              <w:rPr>
                <w:rFonts w:asciiTheme="minorHAnsi" w:hAnsiTheme="minorHAnsi" w:cstheme="minorHAnsi"/>
                <w:color w:val="000000" w:themeColor="text1"/>
                <w:sz w:val="20"/>
                <w:szCs w:val="20"/>
              </w:rPr>
              <w:t xml:space="preserve"> </w:t>
            </w:r>
            <w:r w:rsidRPr="004D4A3D">
              <w:rPr>
                <w:rFonts w:asciiTheme="minorHAnsi" w:hAnsiTheme="minorHAnsi" w:cstheme="minorHAnsi"/>
                <w:color w:val="000000" w:themeColor="text1"/>
                <w:sz w:val="20"/>
                <w:szCs w:val="20"/>
              </w:rPr>
              <w:t>The breakdown of the indicator by sex allows for analysis of gender segregation of employment by sector. Are men and women equally distributed across sectors, or is there a concentration of females in the services sector? Women may be drawn into lower paying service activities that allow for more flexible work schedules, thus making it easier to balance family responsibilities with work life. Segregation of women in certain sectors may also result from cultural attitudes that prevent them from taking up certain types of jobs.</w:t>
            </w:r>
          </w:p>
          <w:p w:rsidRPr="004D4A3D" w:rsidR="004D4A3D" w:rsidP="004D4A3D" w:rsidRDefault="004D4A3D" w14:paraId="32033D22" w14:textId="77777777">
            <w:pPr>
              <w:pStyle w:val="NormalWeb"/>
              <w:spacing w:before="0" w:beforeAutospacing="0" w:after="420" w:afterAutospacing="0"/>
              <w:textAlignment w:val="baseline"/>
              <w:rPr>
                <w:rFonts w:asciiTheme="minorHAnsi" w:hAnsiTheme="minorHAnsi" w:cstheme="minorHAnsi"/>
                <w:color w:val="000000" w:themeColor="text1"/>
                <w:sz w:val="20"/>
                <w:szCs w:val="20"/>
              </w:rPr>
            </w:pPr>
            <w:r w:rsidRPr="004D4A3D">
              <w:rPr>
                <w:rFonts w:asciiTheme="minorHAnsi" w:hAnsiTheme="minorHAnsi" w:cstheme="minorHAnsi"/>
                <w:color w:val="000000" w:themeColor="text1"/>
                <w:sz w:val="20"/>
                <w:szCs w:val="20"/>
              </w:rPr>
              <w:t xml:space="preserve">Comparability of employment statistics across countries is affected most significantly by variations in the definitions used for the employment figures. Differences may result from age coverage, such as the lower and upper age bounds for </w:t>
            </w:r>
            <w:proofErr w:type="spellStart"/>
            <w:r w:rsidRPr="004D4A3D">
              <w:rPr>
                <w:rFonts w:asciiTheme="minorHAnsi" w:hAnsiTheme="minorHAnsi" w:cstheme="minorHAnsi"/>
                <w:color w:val="000000" w:themeColor="text1"/>
                <w:sz w:val="20"/>
                <w:szCs w:val="20"/>
              </w:rPr>
              <w:t>labour</w:t>
            </w:r>
            <w:proofErr w:type="spellEnd"/>
            <w:r w:rsidRPr="004D4A3D">
              <w:rPr>
                <w:rFonts w:asciiTheme="minorHAnsi" w:hAnsiTheme="minorHAnsi" w:cstheme="minorHAnsi"/>
                <w:color w:val="000000" w:themeColor="text1"/>
                <w:sz w:val="20"/>
                <w:szCs w:val="20"/>
              </w:rPr>
              <w:t xml:space="preserve"> force activity. Estimates of employment are also likely to vary according to whether members of the armed forces are included. When the armed forces are included in the measure of employment they are usually allocated to the services sector. Therefore, in countries that do not include armed forces, the services sector tends to be understated in comparison with countries where they are included.</w:t>
            </w:r>
          </w:p>
          <w:p w:rsidR="004D4A3D" w:rsidP="004D4A3D" w:rsidRDefault="004D4A3D" w14:paraId="414CFE58" w14:textId="55EF07C9">
            <w:pPr>
              <w:pStyle w:val="NormalWeb"/>
              <w:spacing w:before="0" w:beforeAutospacing="0" w:after="0" w:afterAutospacing="0"/>
              <w:textAlignment w:val="baseline"/>
              <w:rPr>
                <w:rFonts w:asciiTheme="minorHAnsi" w:hAnsiTheme="minorHAnsi" w:cstheme="minorHAnsi"/>
                <w:color w:val="000000" w:themeColor="text1"/>
                <w:sz w:val="20"/>
                <w:szCs w:val="20"/>
              </w:rPr>
            </w:pPr>
            <w:r w:rsidRPr="004D4A3D">
              <w:rPr>
                <w:rFonts w:asciiTheme="minorHAnsi" w:hAnsiTheme="minorHAnsi" w:cstheme="minorHAnsi"/>
                <w:color w:val="000000" w:themeColor="text1"/>
                <w:sz w:val="20"/>
                <w:szCs w:val="20"/>
              </w:rPr>
              <w:t>Another area with scope for measurement differences has to do with the national treatment of particular groups of workers. The international definition of employment calls for inclusion of all persons who worked for at least one hour during the reference period.</w:t>
            </w:r>
            <w:r w:rsidR="003B32F8">
              <w:rPr>
                <w:rFonts w:asciiTheme="minorHAnsi" w:hAnsiTheme="minorHAnsi" w:cstheme="minorHAnsi"/>
                <w:color w:val="000000" w:themeColor="text1"/>
                <w:sz w:val="20"/>
                <w:szCs w:val="20"/>
              </w:rPr>
              <w:t xml:space="preserve"> </w:t>
            </w:r>
            <w:r w:rsidRPr="004D4A3D">
              <w:rPr>
                <w:rFonts w:asciiTheme="minorHAnsi" w:hAnsiTheme="minorHAnsi" w:cstheme="minorHAnsi"/>
                <w:color w:val="000000" w:themeColor="text1"/>
                <w:sz w:val="20"/>
                <w:szCs w:val="20"/>
              </w:rPr>
              <w:t xml:space="preserve">Workers could be in paid employment or in self-employment, including in less obvious forms of work, some of which are dealt with in detail in the resolution adopted by the 19th ICLS, such as unpaid family work, apprenticeship or non-market production. </w:t>
            </w:r>
          </w:p>
          <w:p w:rsidRPr="004D4A3D" w:rsidR="003B32F8" w:rsidP="004D4A3D" w:rsidRDefault="003B32F8" w14:paraId="4E0A8714" w14:textId="77777777">
            <w:pPr>
              <w:pStyle w:val="NormalWeb"/>
              <w:spacing w:before="0" w:beforeAutospacing="0" w:after="0" w:afterAutospacing="0"/>
              <w:textAlignment w:val="baseline"/>
              <w:rPr>
                <w:rFonts w:asciiTheme="minorHAnsi" w:hAnsiTheme="minorHAnsi" w:cstheme="minorHAnsi"/>
                <w:color w:val="000000" w:themeColor="text1"/>
                <w:sz w:val="20"/>
                <w:szCs w:val="20"/>
              </w:rPr>
            </w:pPr>
          </w:p>
          <w:p w:rsidRPr="004D4A3D" w:rsidR="004D4A3D" w:rsidP="004D4A3D" w:rsidRDefault="004D4A3D" w14:paraId="41C64A43" w14:textId="77777777">
            <w:pPr>
              <w:pStyle w:val="NormalWeb"/>
              <w:spacing w:before="0" w:beforeAutospacing="0" w:after="420" w:afterAutospacing="0"/>
              <w:textAlignment w:val="baseline"/>
              <w:rPr>
                <w:rFonts w:asciiTheme="minorHAnsi" w:hAnsiTheme="minorHAnsi" w:cstheme="minorHAnsi"/>
                <w:color w:val="000000" w:themeColor="text1"/>
                <w:sz w:val="20"/>
                <w:szCs w:val="20"/>
              </w:rPr>
            </w:pPr>
            <w:r w:rsidRPr="004D4A3D">
              <w:rPr>
                <w:rFonts w:asciiTheme="minorHAnsi" w:hAnsiTheme="minorHAnsi" w:cstheme="minorHAnsi"/>
                <w:color w:val="000000" w:themeColor="text1"/>
                <w:sz w:val="20"/>
                <w:szCs w:val="20"/>
              </w:rPr>
              <w:t xml:space="preserve">Comparisons can also be problematic when the frequency of data collection varies. The range of information collection can run from one month to 12 months in a year. Given the fact that seasonality of various kinds is undoubtedly present in all countries, employment figures can vary </w:t>
            </w:r>
            <w:r w:rsidRPr="004D4A3D">
              <w:rPr>
                <w:rFonts w:asciiTheme="minorHAnsi" w:hAnsiTheme="minorHAnsi" w:cstheme="minorHAnsi"/>
                <w:color w:val="000000" w:themeColor="text1"/>
                <w:sz w:val="20"/>
                <w:szCs w:val="20"/>
              </w:rPr>
              <w:lastRenderedPageBreak/>
              <w:t>for this reason alone. Also, changes in the level of employment can occur throughout the year, but this can be obscured when fewer observations are available.</w:t>
            </w:r>
          </w:p>
          <w:p w:rsidRPr="004D4A3D" w:rsidR="004D4A3D" w:rsidP="004D4A3D" w:rsidRDefault="004D4A3D" w14:paraId="01D090FE" w14:textId="12E0C850">
            <w:pPr>
              <w:pStyle w:val="NormalWeb"/>
              <w:spacing w:before="0" w:beforeAutospacing="0" w:after="420" w:afterAutospacing="0"/>
              <w:textAlignment w:val="baseline"/>
              <w:rPr>
                <w:rFonts w:asciiTheme="minorHAnsi" w:hAnsiTheme="minorHAnsi" w:cstheme="minorHAnsi"/>
                <w:color w:val="000000" w:themeColor="text1"/>
                <w:sz w:val="20"/>
                <w:szCs w:val="20"/>
              </w:rPr>
            </w:pPr>
            <w:r w:rsidRPr="004D4A3D">
              <w:rPr>
                <w:rFonts w:asciiTheme="minorHAnsi" w:hAnsiTheme="minorHAnsi" w:cstheme="minorHAnsi"/>
                <w:color w:val="000000" w:themeColor="text1"/>
                <w:sz w:val="20"/>
                <w:szCs w:val="20"/>
              </w:rPr>
              <w:t>It is also important to note that different versions of the ISIC can be used across countries, with countries moving to adopting the most recent version at different paces. A country may continue to use the previous version even after starting a new data series according to the most recent version. Although these different classification systems can have an impact on comparability at detailed levels of economic activity, changes from one ISIC to another should not have a significant impact on the information for the three broad sectors presented in ILOSTAT.</w:t>
            </w:r>
          </w:p>
          <w:p w:rsidRPr="004D4A3D" w:rsidR="004D4A3D" w:rsidP="004D4A3D" w:rsidRDefault="004D4A3D" w14:paraId="0F7A8220" w14:textId="54FDEC34">
            <w:pPr>
              <w:rPr>
                <w:rFonts w:cstheme="minorHAnsi"/>
                <w:color w:val="000000" w:themeColor="text1"/>
                <w:sz w:val="20"/>
                <w:szCs w:val="20"/>
              </w:rPr>
            </w:pPr>
          </w:p>
        </w:tc>
      </w:tr>
      <w:tr w:rsidRPr="00A40ED5" w:rsidR="004D4A3D" w:rsidTr="714BA356" w14:paraId="4FABA369" w14:textId="77777777">
        <w:trPr>
          <w:trHeight w:val="300"/>
        </w:trPr>
        <w:tc>
          <w:tcPr>
            <w:tcW w:w="849" w:type="dxa"/>
            <w:tcBorders>
              <w:top w:val="single" w:color="auto" w:sz="6"/>
              <w:left w:val="single" w:color="auto" w:sz="6"/>
              <w:bottom w:val="single" w:color="auto" w:sz="6"/>
              <w:right w:val="single" w:color="auto" w:sz="6"/>
            </w:tcBorders>
            <w:shd w:val="clear" w:color="auto" w:fill="auto"/>
            <w:tcMar/>
          </w:tcPr>
          <w:p w:rsidR="714BA356" w:rsidP="714BA356" w:rsidRDefault="714BA356" w14:paraId="607AFC96" w14:textId="360256E4">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8</w:t>
            </w:r>
          </w:p>
        </w:tc>
        <w:tc>
          <w:tcPr>
            <w:tcW w:w="849" w:type="dxa"/>
            <w:tcBorders>
              <w:top w:val="single" w:color="auto" w:sz="6"/>
              <w:left w:val="single" w:color="auto" w:sz="6"/>
              <w:bottom w:val="single" w:color="auto" w:sz="6"/>
              <w:right w:val="single" w:color="auto" w:sz="6"/>
            </w:tcBorders>
            <w:shd w:val="clear" w:color="auto" w:fill="auto"/>
            <w:tcMar/>
          </w:tcPr>
          <w:p w:rsidR="714BA356" w:rsidP="714BA356" w:rsidRDefault="714BA356" w14:paraId="3B56F0B6" w14:textId="5D0E6053">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6</w:t>
            </w:r>
          </w:p>
          <w:p w:rsidR="714BA356" w:rsidP="714BA356" w:rsidRDefault="714BA356" w14:paraId="7A4D6534" w14:textId="544AA711">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7</w:t>
            </w:r>
          </w:p>
          <w:p w:rsidR="714BA356" w:rsidP="714BA356" w:rsidRDefault="714BA356" w14:paraId="62B4EEEB" w14:textId="5F536B59">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8</w:t>
            </w:r>
          </w:p>
        </w:tc>
        <w:tc>
          <w:tcPr>
            <w:tcW w:w="849" w:type="dxa"/>
            <w:tcBorders>
              <w:top w:val="single" w:color="auto" w:sz="6"/>
              <w:left w:val="single" w:color="auto" w:sz="6"/>
              <w:bottom w:val="single" w:color="auto" w:sz="6"/>
              <w:right w:val="single" w:color="auto" w:sz="6"/>
            </w:tcBorders>
            <w:shd w:val="clear" w:color="auto" w:fill="auto"/>
            <w:tcMar/>
          </w:tcPr>
          <w:p w:rsidR="086C8934" w:rsidP="2F6EF34B" w:rsidRDefault="086C8934" w14:paraId="53DDE139" w14:textId="0A9AAEF0">
            <w:pPr>
              <w:pStyle w:val="Normal"/>
              <w:rPr>
                <w:rFonts w:ascii="Calibri" w:hAnsi="Calibri" w:eastAsia="Times New Roman" w:cs="Calibri"/>
                <w:sz w:val="20"/>
                <w:szCs w:val="20"/>
                <w:lang w:val="en-GB"/>
              </w:rPr>
            </w:pPr>
            <w:r w:rsidRPr="714BA356" w:rsidR="64095BA6">
              <w:rPr>
                <w:rFonts w:ascii="Calibri" w:hAnsi="Calibri" w:eastAsia="Times New Roman" w:cs="Calibri"/>
                <w:sz w:val="20"/>
                <w:szCs w:val="20"/>
                <w:lang w:val="en-GB"/>
              </w:rPr>
              <w:t>5</w:t>
            </w:r>
          </w:p>
        </w:tc>
        <w:tc>
          <w:tcPr>
            <w:tcW w:w="84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4D4A3D" w:rsidP="00450FA4" w:rsidRDefault="004D4A3D" w14:paraId="1F3C59F5"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lastRenderedPageBreak/>
              <w:t>Sources of discrepancies between global and national figures</w:t>
            </w:r>
            <w:r w:rsidRPr="00A40ED5">
              <w:rPr>
                <w:rFonts w:ascii="Calibri" w:hAnsi="Calibri" w:eastAsia="Times New Roman" w:cs="Calibri"/>
                <w:sz w:val="20"/>
                <w:szCs w:val="20"/>
              </w:rPr>
              <w:t>  </w:t>
            </w:r>
          </w:p>
        </w:tc>
        <w:tc>
          <w:tcPr>
            <w:tcW w:w="5964"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4D4A3D" w:rsidP="00450FA4" w:rsidRDefault="004D4A3D" w14:paraId="6953D1FC" w14:textId="77777777">
            <w:pPr>
              <w:textAlignment w:val="baseline"/>
              <w:rPr>
                <w:rFonts w:ascii="Segoe UI" w:hAnsi="Segoe UI" w:eastAsia="Times New Roman" w:cs="Segoe UI"/>
                <w:sz w:val="18"/>
                <w:szCs w:val="18"/>
              </w:rPr>
            </w:pPr>
            <w:r w:rsidRPr="00A40ED5">
              <w:rPr>
                <w:rFonts w:ascii="Segoe UI" w:hAnsi="Segoe UI" w:eastAsia="Times New Roman" w:cs="Segoe UI"/>
                <w:sz w:val="18"/>
                <w:szCs w:val="18"/>
              </w:rPr>
              <w:t>Do not apply </w:t>
            </w:r>
          </w:p>
        </w:tc>
      </w:tr>
      <w:tr w:rsidRPr="00A40ED5" w:rsidR="004D4A3D" w:rsidTr="714BA356" w14:paraId="40811169" w14:textId="77777777">
        <w:trPr>
          <w:trHeight w:val="300"/>
        </w:trPr>
        <w:tc>
          <w:tcPr>
            <w:tcW w:w="849" w:type="dxa"/>
            <w:tcBorders>
              <w:top w:val="single" w:color="auto" w:sz="6"/>
              <w:left w:val="single" w:color="auto" w:sz="6"/>
              <w:bottom w:val="single" w:color="auto" w:sz="6"/>
              <w:right w:val="single" w:color="auto" w:sz="6"/>
            </w:tcBorders>
            <w:shd w:val="clear" w:color="auto" w:fill="auto"/>
            <w:tcMar/>
          </w:tcPr>
          <w:p w:rsidR="714BA356" w:rsidP="714BA356" w:rsidRDefault="714BA356" w14:paraId="4688B921" w14:textId="360256E4">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8</w:t>
            </w:r>
          </w:p>
        </w:tc>
        <w:tc>
          <w:tcPr>
            <w:tcW w:w="849" w:type="dxa"/>
            <w:tcBorders>
              <w:top w:val="single" w:color="auto" w:sz="6"/>
              <w:left w:val="single" w:color="auto" w:sz="6"/>
              <w:bottom w:val="single" w:color="auto" w:sz="6"/>
              <w:right w:val="single" w:color="auto" w:sz="6"/>
            </w:tcBorders>
            <w:shd w:val="clear" w:color="auto" w:fill="auto"/>
            <w:tcMar/>
          </w:tcPr>
          <w:p w:rsidR="714BA356" w:rsidP="714BA356" w:rsidRDefault="714BA356" w14:paraId="61295DCD" w14:textId="5D0E6053">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6</w:t>
            </w:r>
          </w:p>
          <w:p w:rsidR="714BA356" w:rsidP="714BA356" w:rsidRDefault="714BA356" w14:paraId="0EF4528D" w14:textId="544AA711">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7</w:t>
            </w:r>
          </w:p>
          <w:p w:rsidR="714BA356" w:rsidP="714BA356" w:rsidRDefault="714BA356" w14:paraId="222F8840" w14:textId="5F536B59">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8</w:t>
            </w:r>
          </w:p>
        </w:tc>
        <w:tc>
          <w:tcPr>
            <w:tcW w:w="849" w:type="dxa"/>
            <w:tcBorders>
              <w:top w:val="single" w:color="auto" w:sz="6"/>
              <w:left w:val="single" w:color="auto" w:sz="6"/>
              <w:bottom w:val="single" w:color="auto" w:sz="6"/>
              <w:right w:val="single" w:color="auto" w:sz="6"/>
            </w:tcBorders>
            <w:shd w:val="clear" w:color="auto" w:fill="auto"/>
            <w:tcMar/>
          </w:tcPr>
          <w:p w:rsidR="1E90D574" w:rsidP="2F6EF34B" w:rsidRDefault="1E90D574" w14:paraId="7B45CB46" w14:textId="34D03184">
            <w:pPr>
              <w:pStyle w:val="Normal"/>
              <w:rPr>
                <w:rFonts w:ascii="Calibri" w:hAnsi="Calibri" w:eastAsia="Times New Roman" w:cs="Calibri"/>
                <w:sz w:val="20"/>
                <w:szCs w:val="20"/>
                <w:lang w:val="en-GB"/>
              </w:rPr>
            </w:pPr>
            <w:r w:rsidRPr="714BA356" w:rsidR="381E3E2A">
              <w:rPr>
                <w:rFonts w:ascii="Calibri" w:hAnsi="Calibri" w:eastAsia="Times New Roman" w:cs="Calibri"/>
                <w:sz w:val="20"/>
                <w:szCs w:val="20"/>
                <w:lang w:val="en-GB"/>
              </w:rPr>
              <w:t>6</w:t>
            </w:r>
          </w:p>
        </w:tc>
        <w:tc>
          <w:tcPr>
            <w:tcW w:w="84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4D4A3D" w:rsidP="00450FA4" w:rsidRDefault="004D4A3D" w14:paraId="06A8DE72"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Process of obtaining data</w:t>
            </w:r>
            <w:r w:rsidRPr="00A40ED5">
              <w:rPr>
                <w:rFonts w:ascii="Calibri" w:hAnsi="Calibri" w:eastAsia="Times New Roman" w:cs="Calibri"/>
                <w:sz w:val="20"/>
                <w:szCs w:val="20"/>
              </w:rPr>
              <w:t>  </w:t>
            </w:r>
          </w:p>
        </w:tc>
        <w:tc>
          <w:tcPr>
            <w:tcW w:w="5964" w:type="dxa"/>
            <w:tcBorders>
              <w:top w:val="single" w:color="auto" w:sz="6" w:space="0"/>
              <w:left w:val="single" w:color="auto" w:sz="6" w:space="0"/>
              <w:bottom w:val="single" w:color="auto" w:sz="6" w:space="0"/>
              <w:right w:val="single" w:color="auto" w:sz="6" w:space="0"/>
            </w:tcBorders>
            <w:shd w:val="clear" w:color="auto" w:fill="auto"/>
            <w:tcMar/>
            <w:hideMark/>
          </w:tcPr>
          <w:p w:rsidRPr="006D132C" w:rsidR="004D4A3D" w:rsidP="00450FA4" w:rsidRDefault="004D4A3D" w14:paraId="176A7317" w14:textId="77777777">
            <w:pPr>
              <w:pStyle w:val="NormalWeb"/>
              <w:spacing w:before="0" w:beforeAutospacing="0" w:after="420" w:afterAutospacing="0"/>
              <w:textAlignment w:val="baseline"/>
              <w:rPr>
                <w:rFonts w:asciiTheme="minorHAnsi" w:hAnsiTheme="minorHAnsi" w:cstheme="minorHAnsi"/>
                <w:color w:val="000000" w:themeColor="text1"/>
                <w:sz w:val="20"/>
                <w:szCs w:val="20"/>
              </w:rPr>
            </w:pPr>
            <w:proofErr w:type="spellStart"/>
            <w:r w:rsidRPr="006D132C">
              <w:rPr>
                <w:rFonts w:asciiTheme="minorHAnsi" w:hAnsiTheme="minorHAnsi" w:cstheme="minorHAnsi"/>
                <w:color w:val="000000" w:themeColor="text1"/>
                <w:sz w:val="20"/>
                <w:szCs w:val="20"/>
              </w:rPr>
              <w:t>Labour</w:t>
            </w:r>
            <w:proofErr w:type="spellEnd"/>
            <w:r w:rsidRPr="006D132C">
              <w:rPr>
                <w:rFonts w:asciiTheme="minorHAnsi" w:hAnsiTheme="minorHAnsi" w:cstheme="minorHAnsi"/>
                <w:color w:val="000000" w:themeColor="text1"/>
                <w:sz w:val="20"/>
                <w:szCs w:val="20"/>
              </w:rPr>
              <w:t xml:space="preserve"> force surveys are the preferred source of information on status in employment. Such surveys can be designed to cover virtually the entire non-institutional population of a given country, all branches of economic activity, all sectors of the economy and all categories of workers, including the self-employed, contributing family workers, casual workers and multiple jobholders. In addition, such surveys generally provide an opportunity for the simultaneous measurement of the employed, the unemployed and persons outside the </w:t>
            </w:r>
            <w:proofErr w:type="spellStart"/>
            <w:r w:rsidRPr="006D132C">
              <w:rPr>
                <w:rFonts w:asciiTheme="minorHAnsi" w:hAnsiTheme="minorHAnsi" w:cstheme="minorHAnsi"/>
                <w:color w:val="000000" w:themeColor="text1"/>
                <w:sz w:val="20"/>
                <w:szCs w:val="20"/>
              </w:rPr>
              <w:t>labour</w:t>
            </w:r>
            <w:proofErr w:type="spellEnd"/>
            <w:r w:rsidRPr="006D132C">
              <w:rPr>
                <w:rFonts w:asciiTheme="minorHAnsi" w:hAnsiTheme="minorHAnsi" w:cstheme="minorHAnsi"/>
                <w:color w:val="000000" w:themeColor="text1"/>
                <w:sz w:val="20"/>
                <w:szCs w:val="20"/>
              </w:rPr>
              <w:t xml:space="preserve"> force (and thus, the working-age population) in a coherent framework.</w:t>
            </w:r>
          </w:p>
          <w:p w:rsidRPr="006D132C" w:rsidR="004D4A3D" w:rsidP="00450FA4" w:rsidRDefault="004D4A3D" w14:paraId="69CDEB41" w14:textId="77777777">
            <w:pPr>
              <w:pStyle w:val="NormalWeb"/>
              <w:spacing w:before="0" w:beforeAutospacing="0" w:after="420" w:afterAutospacing="0"/>
              <w:textAlignment w:val="baseline"/>
              <w:rPr>
                <w:rFonts w:asciiTheme="minorHAnsi" w:hAnsiTheme="minorHAnsi" w:cstheme="minorHAnsi"/>
                <w:color w:val="000000" w:themeColor="text1"/>
                <w:sz w:val="20"/>
                <w:szCs w:val="20"/>
              </w:rPr>
            </w:pPr>
            <w:r w:rsidRPr="006D132C">
              <w:rPr>
                <w:rFonts w:asciiTheme="minorHAnsi" w:hAnsiTheme="minorHAnsi" w:cstheme="minorHAnsi"/>
                <w:color w:val="000000" w:themeColor="text1"/>
                <w:sz w:val="20"/>
                <w:szCs w:val="20"/>
              </w:rPr>
              <w:t xml:space="preserve">Other types of household surveys and population censuses can also be used as sources of data on status in employment. The information obtained from such sources may however be less reliable since they do not typically allow for detailed probing on the </w:t>
            </w:r>
            <w:proofErr w:type="spellStart"/>
            <w:r w:rsidRPr="006D132C">
              <w:rPr>
                <w:rFonts w:asciiTheme="minorHAnsi" w:hAnsiTheme="minorHAnsi" w:cstheme="minorHAnsi"/>
                <w:color w:val="000000" w:themeColor="text1"/>
                <w:sz w:val="20"/>
                <w:szCs w:val="20"/>
              </w:rPr>
              <w:t>labour</w:t>
            </w:r>
            <w:proofErr w:type="spellEnd"/>
            <w:r w:rsidRPr="006D132C">
              <w:rPr>
                <w:rFonts w:asciiTheme="minorHAnsi" w:hAnsiTheme="minorHAnsi" w:cstheme="minorHAnsi"/>
                <w:color w:val="000000" w:themeColor="text1"/>
                <w:sz w:val="20"/>
                <w:szCs w:val="20"/>
              </w:rPr>
              <w:t xml:space="preserve"> market activities of the respondents.</w:t>
            </w:r>
          </w:p>
          <w:p w:rsidRPr="00A40ED5" w:rsidR="004D4A3D" w:rsidP="00450FA4" w:rsidRDefault="004D4A3D" w14:paraId="1BC71BC5" w14:textId="77777777">
            <w:pPr>
              <w:textAlignment w:val="baseline"/>
              <w:rPr>
                <w:rFonts w:eastAsia="Times New Roman" w:cstheme="minorHAnsi"/>
                <w:color w:val="000000" w:themeColor="text1"/>
                <w:sz w:val="20"/>
                <w:szCs w:val="20"/>
              </w:rPr>
            </w:pPr>
          </w:p>
        </w:tc>
      </w:tr>
      <w:tr w:rsidRPr="00A40ED5" w:rsidR="004D4A3D" w:rsidTr="714BA356" w14:paraId="284F252A" w14:textId="77777777">
        <w:trPr>
          <w:trHeight w:val="300"/>
        </w:trPr>
        <w:tc>
          <w:tcPr>
            <w:tcW w:w="849" w:type="dxa"/>
            <w:tcBorders>
              <w:top w:val="single" w:color="auto" w:sz="6"/>
              <w:left w:val="single" w:color="auto" w:sz="6"/>
              <w:bottom w:val="single" w:color="auto" w:sz="6"/>
              <w:right w:val="single" w:color="auto" w:sz="6"/>
            </w:tcBorders>
            <w:shd w:val="clear" w:color="auto" w:fill="auto"/>
            <w:tcMar/>
          </w:tcPr>
          <w:p w:rsidR="714BA356" w:rsidP="714BA356" w:rsidRDefault="714BA356" w14:paraId="65953DF6" w14:textId="360256E4">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8</w:t>
            </w:r>
          </w:p>
        </w:tc>
        <w:tc>
          <w:tcPr>
            <w:tcW w:w="849" w:type="dxa"/>
            <w:tcBorders>
              <w:top w:val="single" w:color="auto" w:sz="6"/>
              <w:left w:val="single" w:color="auto" w:sz="6"/>
              <w:bottom w:val="single" w:color="auto" w:sz="6"/>
              <w:right w:val="single" w:color="auto" w:sz="6"/>
            </w:tcBorders>
            <w:shd w:val="clear" w:color="auto" w:fill="auto"/>
            <w:tcMar/>
          </w:tcPr>
          <w:p w:rsidR="714BA356" w:rsidP="714BA356" w:rsidRDefault="714BA356" w14:paraId="5FA88A6B" w14:textId="5D0E6053">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6</w:t>
            </w:r>
          </w:p>
          <w:p w:rsidR="714BA356" w:rsidP="714BA356" w:rsidRDefault="714BA356" w14:paraId="36F7E354" w14:textId="544AA711">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7</w:t>
            </w:r>
          </w:p>
          <w:p w:rsidR="714BA356" w:rsidP="714BA356" w:rsidRDefault="714BA356" w14:paraId="474D8FD0" w14:textId="5F536B59">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8</w:t>
            </w:r>
          </w:p>
        </w:tc>
        <w:tc>
          <w:tcPr>
            <w:tcW w:w="849" w:type="dxa"/>
            <w:tcBorders>
              <w:top w:val="single" w:color="auto" w:sz="6"/>
              <w:left w:val="single" w:color="auto" w:sz="6"/>
              <w:bottom w:val="single" w:color="auto" w:sz="6"/>
              <w:right w:val="single" w:color="auto" w:sz="6"/>
            </w:tcBorders>
            <w:shd w:val="clear" w:color="auto" w:fill="auto"/>
            <w:tcMar/>
          </w:tcPr>
          <w:p w:rsidR="5E2A34D5" w:rsidP="2F6EF34B" w:rsidRDefault="5E2A34D5" w14:paraId="0B79369E" w14:textId="0BFA5D1E">
            <w:pPr>
              <w:pStyle w:val="Normal"/>
              <w:rPr>
                <w:rFonts w:ascii="Calibri" w:hAnsi="Calibri" w:eastAsia="Times New Roman" w:cs="Calibri"/>
                <w:sz w:val="20"/>
                <w:szCs w:val="20"/>
                <w:lang w:val="en-GB"/>
              </w:rPr>
            </w:pPr>
            <w:r w:rsidRPr="714BA356" w:rsidR="3D131913">
              <w:rPr>
                <w:rFonts w:ascii="Calibri" w:hAnsi="Calibri" w:eastAsia="Times New Roman" w:cs="Calibri"/>
                <w:sz w:val="20"/>
                <w:szCs w:val="20"/>
                <w:lang w:val="en-GB"/>
              </w:rPr>
              <w:t>7</w:t>
            </w:r>
          </w:p>
        </w:tc>
        <w:tc>
          <w:tcPr>
            <w:tcW w:w="84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4D4A3D" w:rsidP="00450FA4" w:rsidRDefault="004D4A3D" w14:paraId="3285AF81"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Treatment of missing values</w:t>
            </w:r>
            <w:r w:rsidRPr="00A40ED5">
              <w:rPr>
                <w:rFonts w:ascii="Calibri" w:hAnsi="Calibri" w:eastAsia="Times New Roman" w:cs="Calibri"/>
                <w:sz w:val="20"/>
                <w:szCs w:val="20"/>
              </w:rPr>
              <w:t>  </w:t>
            </w:r>
          </w:p>
        </w:tc>
        <w:tc>
          <w:tcPr>
            <w:tcW w:w="5964"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4D4A3D" w:rsidP="00450FA4" w:rsidRDefault="004D4A3D" w14:paraId="4DAAB0D8"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rPr>
              <w:t>None. </w:t>
            </w:r>
          </w:p>
        </w:tc>
      </w:tr>
      <w:tr w:rsidRPr="00A40ED5" w:rsidR="004D4A3D" w:rsidTr="714BA356" w14:paraId="59CE94B3" w14:textId="77777777">
        <w:trPr>
          <w:trHeight w:val="405"/>
        </w:trPr>
        <w:tc>
          <w:tcPr>
            <w:tcW w:w="849" w:type="dxa"/>
            <w:tcBorders>
              <w:top w:val="single" w:color="auto" w:sz="6"/>
              <w:left w:val="single" w:color="auto" w:sz="6"/>
              <w:bottom w:val="single" w:color="auto" w:sz="6"/>
              <w:right w:val="single" w:color="auto" w:sz="6"/>
            </w:tcBorders>
            <w:shd w:val="clear" w:color="auto" w:fill="auto"/>
            <w:tcMar/>
          </w:tcPr>
          <w:p w:rsidR="714BA356" w:rsidP="714BA356" w:rsidRDefault="714BA356" w14:paraId="381313CF" w14:textId="360256E4">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8</w:t>
            </w:r>
          </w:p>
        </w:tc>
        <w:tc>
          <w:tcPr>
            <w:tcW w:w="849" w:type="dxa"/>
            <w:tcBorders>
              <w:top w:val="single" w:color="auto" w:sz="6"/>
              <w:left w:val="single" w:color="auto" w:sz="6"/>
              <w:bottom w:val="single" w:color="auto" w:sz="6"/>
              <w:right w:val="single" w:color="auto" w:sz="6"/>
            </w:tcBorders>
            <w:shd w:val="clear" w:color="auto" w:fill="auto"/>
            <w:tcMar/>
          </w:tcPr>
          <w:p w:rsidR="714BA356" w:rsidP="714BA356" w:rsidRDefault="714BA356" w14:paraId="46753026" w14:textId="5D0E6053">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6</w:t>
            </w:r>
          </w:p>
          <w:p w:rsidR="714BA356" w:rsidP="714BA356" w:rsidRDefault="714BA356" w14:paraId="119832C3" w14:textId="544AA711">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7</w:t>
            </w:r>
          </w:p>
          <w:p w:rsidR="714BA356" w:rsidP="714BA356" w:rsidRDefault="714BA356" w14:paraId="6BAE3650" w14:textId="5F536B59">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8</w:t>
            </w:r>
          </w:p>
        </w:tc>
        <w:tc>
          <w:tcPr>
            <w:tcW w:w="849" w:type="dxa"/>
            <w:tcBorders>
              <w:top w:val="single" w:color="auto" w:sz="6"/>
              <w:left w:val="single" w:color="auto" w:sz="6"/>
              <w:bottom w:val="single" w:color="auto" w:sz="6"/>
              <w:right w:val="single" w:color="auto" w:sz="6"/>
            </w:tcBorders>
            <w:shd w:val="clear" w:color="auto" w:fill="auto"/>
            <w:tcMar/>
          </w:tcPr>
          <w:p w:rsidR="38784C4B" w:rsidP="2F6EF34B" w:rsidRDefault="38784C4B" w14:paraId="51CCB3FD" w14:textId="78CAC8D3">
            <w:pPr>
              <w:pStyle w:val="Normal"/>
              <w:rPr>
                <w:rFonts w:ascii="Calibri" w:hAnsi="Calibri" w:eastAsia="Times New Roman" w:cs="Calibri"/>
                <w:sz w:val="20"/>
                <w:szCs w:val="20"/>
                <w:lang w:val="en-GB"/>
              </w:rPr>
            </w:pPr>
            <w:r w:rsidRPr="714BA356" w:rsidR="59540DFF">
              <w:rPr>
                <w:rFonts w:ascii="Calibri" w:hAnsi="Calibri" w:eastAsia="Times New Roman" w:cs="Calibri"/>
                <w:sz w:val="20"/>
                <w:szCs w:val="20"/>
                <w:lang w:val="en-GB"/>
              </w:rPr>
              <w:t>8</w:t>
            </w:r>
          </w:p>
        </w:tc>
        <w:tc>
          <w:tcPr>
            <w:tcW w:w="84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4D4A3D" w:rsidP="00450FA4" w:rsidRDefault="004D4A3D" w14:paraId="7F5175CD"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Data availability and assessment of countries’ capacity</w:t>
            </w:r>
            <w:r w:rsidRPr="00A40ED5">
              <w:rPr>
                <w:rFonts w:ascii="Calibri" w:hAnsi="Calibri" w:eastAsia="Times New Roman" w:cs="Calibri"/>
                <w:sz w:val="20"/>
                <w:szCs w:val="20"/>
              </w:rPr>
              <w:t>  </w:t>
            </w:r>
          </w:p>
        </w:tc>
        <w:tc>
          <w:tcPr>
            <w:tcW w:w="5964"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4D4A3D" w:rsidP="00450FA4" w:rsidRDefault="004D4A3D" w14:paraId="7321267E"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rPr>
              <w:t> </w:t>
            </w:r>
          </w:p>
        </w:tc>
      </w:tr>
      <w:tr w:rsidRPr="00A40ED5" w:rsidR="004D4A3D" w:rsidTr="714BA356" w14:paraId="11845B92" w14:textId="77777777">
        <w:trPr>
          <w:trHeight w:val="300"/>
        </w:trPr>
        <w:tc>
          <w:tcPr>
            <w:tcW w:w="849" w:type="dxa"/>
            <w:tcBorders>
              <w:top w:val="single" w:color="auto" w:sz="6"/>
              <w:left w:val="single" w:color="auto" w:sz="6"/>
              <w:bottom w:val="single" w:color="auto" w:sz="6"/>
              <w:right w:val="single" w:color="auto" w:sz="6"/>
            </w:tcBorders>
            <w:shd w:val="clear" w:color="auto" w:fill="auto"/>
            <w:tcMar/>
          </w:tcPr>
          <w:p w:rsidR="714BA356" w:rsidP="714BA356" w:rsidRDefault="714BA356" w14:paraId="7F3B064B" w14:textId="360256E4">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8</w:t>
            </w:r>
          </w:p>
        </w:tc>
        <w:tc>
          <w:tcPr>
            <w:tcW w:w="849" w:type="dxa"/>
            <w:tcBorders>
              <w:top w:val="single" w:color="auto" w:sz="6"/>
              <w:left w:val="single" w:color="auto" w:sz="6"/>
              <w:bottom w:val="single" w:color="auto" w:sz="6"/>
              <w:right w:val="single" w:color="auto" w:sz="6"/>
            </w:tcBorders>
            <w:shd w:val="clear" w:color="auto" w:fill="auto"/>
            <w:tcMar/>
          </w:tcPr>
          <w:p w:rsidR="714BA356" w:rsidP="714BA356" w:rsidRDefault="714BA356" w14:paraId="73DDEB82" w14:textId="5D0E6053">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6</w:t>
            </w:r>
          </w:p>
          <w:p w:rsidR="714BA356" w:rsidP="714BA356" w:rsidRDefault="714BA356" w14:paraId="670A6329" w14:textId="544AA711">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7</w:t>
            </w:r>
          </w:p>
          <w:p w:rsidR="714BA356" w:rsidP="714BA356" w:rsidRDefault="714BA356" w14:paraId="244D2F38" w14:textId="5F536B59">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8</w:t>
            </w:r>
          </w:p>
        </w:tc>
        <w:tc>
          <w:tcPr>
            <w:tcW w:w="849" w:type="dxa"/>
            <w:tcBorders>
              <w:top w:val="single" w:color="auto" w:sz="6"/>
              <w:left w:val="single" w:color="auto" w:sz="6"/>
              <w:bottom w:val="single" w:color="auto" w:sz="6"/>
              <w:right w:val="single" w:color="auto" w:sz="6"/>
            </w:tcBorders>
            <w:shd w:val="clear" w:color="auto" w:fill="auto"/>
            <w:tcMar/>
          </w:tcPr>
          <w:p w:rsidR="08D6A140" w:rsidP="2F6EF34B" w:rsidRDefault="08D6A140" w14:paraId="52824A12" w14:textId="6C6381F6">
            <w:pPr>
              <w:pStyle w:val="Normal"/>
              <w:rPr>
                <w:rFonts w:ascii="Calibri" w:hAnsi="Calibri" w:eastAsia="Times New Roman" w:cs="Calibri"/>
                <w:sz w:val="20"/>
                <w:szCs w:val="20"/>
                <w:lang w:val="en-GB"/>
              </w:rPr>
            </w:pPr>
            <w:r w:rsidRPr="714BA356" w:rsidR="5D172983">
              <w:rPr>
                <w:rFonts w:ascii="Calibri" w:hAnsi="Calibri" w:eastAsia="Times New Roman" w:cs="Calibri"/>
                <w:sz w:val="20"/>
                <w:szCs w:val="20"/>
                <w:lang w:val="en-GB"/>
              </w:rPr>
              <w:t>9</w:t>
            </w:r>
          </w:p>
        </w:tc>
        <w:tc>
          <w:tcPr>
            <w:tcW w:w="84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4D4A3D" w:rsidP="00450FA4" w:rsidRDefault="004D4A3D" w14:paraId="652B8AA4"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Expected time of release</w:t>
            </w:r>
            <w:r w:rsidRPr="00A40ED5">
              <w:rPr>
                <w:rFonts w:ascii="Calibri" w:hAnsi="Calibri" w:eastAsia="Times New Roman" w:cs="Calibri"/>
                <w:sz w:val="20"/>
                <w:szCs w:val="20"/>
              </w:rPr>
              <w:t>  </w:t>
            </w:r>
          </w:p>
        </w:tc>
        <w:tc>
          <w:tcPr>
            <w:tcW w:w="5964"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4D4A3D" w:rsidP="00450FA4" w:rsidRDefault="004D4A3D" w14:paraId="527299D5" w14:textId="77777777">
            <w:pPr>
              <w:textAlignment w:val="baseline"/>
              <w:rPr>
                <w:rFonts w:ascii="Segoe UI" w:hAnsi="Segoe UI" w:eastAsia="Times New Roman" w:cs="Segoe UI"/>
                <w:sz w:val="18"/>
                <w:szCs w:val="18"/>
              </w:rPr>
            </w:pPr>
          </w:p>
        </w:tc>
      </w:tr>
      <w:tr w:rsidR="714BA356" w:rsidTr="714BA356" w14:paraId="704E16C4">
        <w:trPr>
          <w:trHeight w:val="300"/>
        </w:trPr>
        <w:tc>
          <w:tcPr>
            <w:tcW w:w="849" w:type="dxa"/>
            <w:tcBorders>
              <w:top w:val="single" w:color="auto" w:sz="6"/>
              <w:left w:val="single" w:color="auto" w:sz="6"/>
              <w:bottom w:val="single" w:color="auto" w:sz="6"/>
              <w:right w:val="single" w:color="auto" w:sz="6"/>
            </w:tcBorders>
            <w:shd w:val="clear" w:color="auto" w:fill="auto"/>
            <w:tcMar/>
          </w:tcPr>
          <w:p w:rsidR="714BA356" w:rsidP="714BA356" w:rsidRDefault="714BA356" w14:paraId="4E2168FC" w14:textId="360256E4">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8</w:t>
            </w:r>
          </w:p>
        </w:tc>
        <w:tc>
          <w:tcPr>
            <w:tcW w:w="849" w:type="dxa"/>
            <w:tcBorders>
              <w:top w:val="single" w:color="auto" w:sz="6"/>
              <w:left w:val="single" w:color="auto" w:sz="6"/>
              <w:bottom w:val="single" w:color="auto" w:sz="6"/>
              <w:right w:val="single" w:color="auto" w:sz="6"/>
            </w:tcBorders>
            <w:shd w:val="clear" w:color="auto" w:fill="auto"/>
            <w:tcMar/>
          </w:tcPr>
          <w:p w:rsidR="714BA356" w:rsidP="714BA356" w:rsidRDefault="714BA356" w14:paraId="5C201E52" w14:textId="5D0E6053">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6</w:t>
            </w:r>
          </w:p>
          <w:p w:rsidR="714BA356" w:rsidP="714BA356" w:rsidRDefault="714BA356" w14:paraId="2766CCA9" w14:textId="544AA711">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7</w:t>
            </w:r>
          </w:p>
          <w:p w:rsidR="714BA356" w:rsidP="714BA356" w:rsidRDefault="714BA356" w14:paraId="2DE8E5EB" w14:textId="5F536B59">
            <w:pPr>
              <w:pStyle w:val="Normal"/>
              <w:rPr>
                <w:rFonts w:ascii="Calibri" w:hAnsi="Calibri" w:eastAsia="Times New Roman" w:cs="Calibri"/>
                <w:sz w:val="20"/>
                <w:szCs w:val="20"/>
                <w:lang w:val="en-GB"/>
              </w:rPr>
            </w:pPr>
            <w:r w:rsidRPr="714BA356" w:rsidR="714BA356">
              <w:rPr>
                <w:rFonts w:ascii="Calibri" w:hAnsi="Calibri" w:eastAsia="Times New Roman" w:cs="Calibri"/>
                <w:sz w:val="20"/>
                <w:szCs w:val="20"/>
                <w:lang w:val="en-GB"/>
              </w:rPr>
              <w:t>8</w:t>
            </w:r>
          </w:p>
        </w:tc>
        <w:tc>
          <w:tcPr>
            <w:tcW w:w="849" w:type="dxa"/>
            <w:tcBorders>
              <w:top w:val="single" w:color="auto" w:sz="6"/>
              <w:left w:val="single" w:color="auto" w:sz="6"/>
              <w:bottom w:val="single" w:color="auto" w:sz="6"/>
              <w:right w:val="single" w:color="auto" w:sz="6"/>
            </w:tcBorders>
            <w:shd w:val="clear" w:color="auto" w:fill="auto"/>
            <w:tcMar/>
          </w:tcPr>
          <w:p w:rsidR="66D91DAF" w:rsidP="714BA356" w:rsidRDefault="66D91DAF" w14:paraId="1EA749FC" w14:textId="224AE888">
            <w:pPr>
              <w:pStyle w:val="Normal"/>
              <w:rPr>
                <w:rFonts w:ascii="Calibri" w:hAnsi="Calibri" w:eastAsia="Times New Roman" w:cs="Calibri"/>
                <w:sz w:val="20"/>
                <w:szCs w:val="20"/>
                <w:lang w:val="en-GB"/>
              </w:rPr>
            </w:pPr>
            <w:r w:rsidRPr="714BA356" w:rsidR="66D91DAF">
              <w:rPr>
                <w:rFonts w:ascii="Calibri" w:hAnsi="Calibri" w:eastAsia="Times New Roman" w:cs="Calibri"/>
                <w:sz w:val="20"/>
                <w:szCs w:val="20"/>
                <w:lang w:val="en-GB"/>
              </w:rPr>
              <w:t>10</w:t>
            </w:r>
          </w:p>
        </w:tc>
        <w:tc>
          <w:tcPr>
            <w:tcW w:w="849" w:type="dxa"/>
            <w:tcBorders>
              <w:top w:val="single" w:color="auto" w:sz="6" w:space="0"/>
              <w:left w:val="single" w:color="auto" w:sz="6" w:space="0"/>
              <w:bottom w:val="single" w:color="auto" w:sz="6" w:space="0"/>
              <w:right w:val="single" w:color="auto" w:sz="6" w:space="0"/>
            </w:tcBorders>
            <w:shd w:val="clear" w:color="auto" w:fill="auto"/>
            <w:tcMar/>
            <w:hideMark/>
          </w:tcPr>
          <w:p w:rsidR="714BA356" w:rsidP="714BA356" w:rsidRDefault="714BA356" w14:paraId="01FE424F" w14:textId="0571DCC3">
            <w:pPr>
              <w:rPr>
                <w:rFonts w:ascii="Segoe UI" w:hAnsi="Segoe UI" w:eastAsia="Times New Roman" w:cs="Segoe UI"/>
                <w:sz w:val="18"/>
                <w:szCs w:val="18"/>
                <w:lang w:val="en-GB"/>
              </w:rPr>
            </w:pPr>
            <w:r w:rsidRPr="714BA356" w:rsidR="714BA356">
              <w:rPr>
                <w:rFonts w:ascii="Calibri" w:hAnsi="Calibri" w:eastAsia="Times New Roman" w:cs="Calibri"/>
                <w:sz w:val="20"/>
                <w:szCs w:val="20"/>
                <w:lang w:val="en-GB"/>
              </w:rPr>
              <w:t>Source</w:t>
            </w:r>
          </w:p>
        </w:tc>
        <w:tc>
          <w:tcPr>
            <w:tcW w:w="5964" w:type="dxa"/>
            <w:tcBorders>
              <w:top w:val="single" w:color="auto" w:sz="6" w:space="0"/>
              <w:left w:val="single" w:color="auto" w:sz="6" w:space="0"/>
              <w:bottom w:val="single" w:color="auto" w:sz="6" w:space="0"/>
              <w:right w:val="single" w:color="auto" w:sz="6" w:space="0"/>
            </w:tcBorders>
            <w:shd w:val="clear" w:color="auto" w:fill="auto"/>
            <w:tcMar/>
            <w:hideMark/>
          </w:tcPr>
          <w:p w:rsidR="714BA356" w:rsidP="714BA356" w:rsidRDefault="714BA356" w14:paraId="0073DA05" w14:textId="2B92A4C7">
            <w:pPr>
              <w:rPr>
                <w:rFonts w:ascii="Calibri" w:hAnsi="Calibri" w:eastAsia="Times New Roman" w:cs="Calibri"/>
                <w:color w:val="000000" w:themeColor="text1" w:themeTint="FF" w:themeShade="FF"/>
                <w:sz w:val="20"/>
                <w:szCs w:val="20"/>
              </w:rPr>
            </w:pPr>
            <w:r w:rsidRPr="714BA356" w:rsidR="714BA356">
              <w:rPr>
                <w:rFonts w:ascii="Calibri" w:hAnsi="Calibri" w:eastAsia="Times New Roman" w:cs="Calibri"/>
                <w:color w:val="000000" w:themeColor="text1" w:themeTint="FF" w:themeShade="FF"/>
                <w:sz w:val="20"/>
                <w:szCs w:val="20"/>
              </w:rPr>
              <w:t>Data: https://ilostat.ilo.org/data/</w:t>
            </w:r>
          </w:p>
          <w:p w:rsidR="714BA356" w:rsidP="714BA356" w:rsidRDefault="714BA356" w14:paraId="56F2BDB4" w14:textId="250886FB">
            <w:pPr>
              <w:rPr>
                <w:rFonts w:ascii="Segoe UI" w:hAnsi="Segoe UI" w:eastAsia="Times New Roman" w:cs="Segoe UI"/>
                <w:sz w:val="18"/>
                <w:szCs w:val="18"/>
              </w:rPr>
            </w:pPr>
            <w:r w:rsidRPr="714BA356" w:rsidR="714BA356">
              <w:rPr>
                <w:rFonts w:ascii="Calibri" w:hAnsi="Calibri" w:eastAsia="Times New Roman" w:cs="Calibri"/>
                <w:color w:val="000000" w:themeColor="text1" w:themeTint="FF" w:themeShade="FF"/>
                <w:sz w:val="20"/>
                <w:szCs w:val="20"/>
              </w:rPr>
              <w:t>Metadata</w:t>
            </w:r>
            <w:r w:rsidRPr="714BA356" w:rsidR="714BA356">
              <w:rPr>
                <w:rFonts w:ascii="Calibri" w:hAnsi="Calibri" w:eastAsia="Times New Roman" w:cs="Calibri"/>
                <w:color w:val="000000" w:themeColor="text1" w:themeTint="FF" w:themeShade="FF"/>
                <w:sz w:val="20"/>
                <w:szCs w:val="20"/>
              </w:rPr>
              <w:t>: </w:t>
            </w:r>
            <w:r w:rsidRPr="714BA356" w:rsidR="714BA356">
              <w:rPr>
                <w:rFonts w:ascii="Calibri" w:hAnsi="Calibri" w:eastAsia="Times New Roman" w:cs="Calibri"/>
                <w:color w:val="000000" w:themeColor="text1" w:themeTint="FF" w:themeShade="FF"/>
                <w:sz w:val="20"/>
                <w:szCs w:val="20"/>
              </w:rPr>
              <w:t>https://ilostat.ilo.org/resources/concepts-and-definitions/description-employment-by-economic-activity/</w:t>
            </w:r>
          </w:p>
          <w:p w:rsidR="714BA356" w:rsidP="714BA356" w:rsidRDefault="714BA356" w14:paraId="4889B62A">
            <w:pPr>
              <w:rPr>
                <w:rFonts w:ascii="Segoe UI" w:hAnsi="Segoe UI" w:eastAsia="Times New Roman" w:cs="Segoe UI"/>
                <w:sz w:val="18"/>
                <w:szCs w:val="18"/>
              </w:rPr>
            </w:pPr>
            <w:r w:rsidRPr="714BA356" w:rsidR="714BA356">
              <w:rPr>
                <w:rFonts w:ascii="Calibri" w:hAnsi="Calibri" w:eastAsia="Times New Roman" w:cs="Calibri"/>
                <w:color w:val="000000" w:themeColor="text1" w:themeTint="FF" w:themeShade="FF"/>
                <w:sz w:val="20"/>
                <w:szCs w:val="20"/>
              </w:rPr>
              <w:t>(Accessed on 2</w:t>
            </w:r>
            <w:r w:rsidRPr="714BA356" w:rsidR="714BA356">
              <w:rPr>
                <w:rFonts w:ascii="Calibri" w:hAnsi="Calibri" w:eastAsia="Times New Roman" w:cs="Calibri"/>
                <w:color w:val="000000" w:themeColor="text1" w:themeTint="FF" w:themeShade="FF"/>
                <w:sz w:val="20"/>
                <w:szCs w:val="20"/>
              </w:rPr>
              <w:t>6</w:t>
            </w:r>
            <w:r w:rsidRPr="714BA356" w:rsidR="714BA356">
              <w:rPr>
                <w:rFonts w:ascii="Calibri" w:hAnsi="Calibri" w:eastAsia="Times New Roman" w:cs="Calibri"/>
                <w:color w:val="000000" w:themeColor="text1" w:themeTint="FF" w:themeShade="FF"/>
                <w:sz w:val="20"/>
                <w:szCs w:val="20"/>
              </w:rPr>
              <w:t xml:space="preserve"> May 2021) </w:t>
            </w:r>
          </w:p>
        </w:tc>
      </w:tr>
    </w:tbl>
    <w:p w:rsidR="00DE277F" w:rsidRDefault="00DE277F" w14:paraId="4D40B727" w14:textId="77777777"/>
    <w:sectPr w:rsidR="00DE277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A3D"/>
    <w:rsid w:val="003B32F8"/>
    <w:rsid w:val="004D4A3D"/>
    <w:rsid w:val="00DE277F"/>
    <w:rsid w:val="086C8934"/>
    <w:rsid w:val="08D6A140"/>
    <w:rsid w:val="16E88139"/>
    <w:rsid w:val="17E8EF0A"/>
    <w:rsid w:val="1E90D574"/>
    <w:rsid w:val="2B003967"/>
    <w:rsid w:val="2BB46298"/>
    <w:rsid w:val="2F6EF34B"/>
    <w:rsid w:val="381E3E2A"/>
    <w:rsid w:val="38784C4B"/>
    <w:rsid w:val="3B1597E6"/>
    <w:rsid w:val="3D131913"/>
    <w:rsid w:val="456A63DA"/>
    <w:rsid w:val="535FDB34"/>
    <w:rsid w:val="5828970B"/>
    <w:rsid w:val="59540DFF"/>
    <w:rsid w:val="5BEB4D14"/>
    <w:rsid w:val="5D172983"/>
    <w:rsid w:val="5E2A34D5"/>
    <w:rsid w:val="64095BA6"/>
    <w:rsid w:val="66D91DAF"/>
    <w:rsid w:val="714BA356"/>
    <w:rsid w:val="78DFB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4AB394"/>
  <w15:chartTrackingRefBased/>
  <w15:docId w15:val="{436191CF-80E8-BE48-B3A7-B75380AD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D4A3D"/>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4D4A3D"/>
  </w:style>
  <w:style w:type="character" w:styleId="eop" w:customStyle="1">
    <w:name w:val="eop"/>
    <w:basedOn w:val="DefaultParagraphFont"/>
    <w:rsid w:val="004D4A3D"/>
  </w:style>
  <w:style w:type="character" w:styleId="apple-converted-space" w:customStyle="1">
    <w:name w:val="apple-converted-space"/>
    <w:basedOn w:val="DefaultParagraphFont"/>
    <w:rsid w:val="004D4A3D"/>
  </w:style>
  <w:style w:type="paragraph" w:styleId="NormalWeb">
    <w:name w:val="Normal (Web)"/>
    <w:basedOn w:val="Normal"/>
    <w:uiPriority w:val="99"/>
    <w:unhideWhenUsed/>
    <w:rsid w:val="004D4A3D"/>
    <w:pPr>
      <w:spacing w:before="100" w:beforeAutospacing="1" w:after="100" w:afterAutospacing="1"/>
    </w:pPr>
    <w:rPr>
      <w:rFonts w:ascii="Times New Roman" w:hAnsi="Times New Roman" w:eastAsia="Times New Roman" w:cs="Times New Roman"/>
    </w:rPr>
  </w:style>
  <w:style w:type="character" w:styleId="premium-table-inner" w:customStyle="1">
    <w:name w:val="premium-table-inner"/>
    <w:basedOn w:val="DefaultParagraphFont"/>
    <w:rsid w:val="004D4A3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153769">
      <w:marLeft w:val="0"/>
      <w:marRight w:val="0"/>
      <w:marTop w:val="0"/>
      <w:marBottom w:val="300"/>
      <w:divBdr>
        <w:top w:val="none" w:sz="0" w:space="0" w:color="auto"/>
        <w:left w:val="none" w:sz="0" w:space="0" w:color="auto"/>
        <w:bottom w:val="none" w:sz="0" w:space="0" w:color="auto"/>
        <w:right w:val="none" w:sz="0" w:space="0" w:color="auto"/>
      </w:divBdr>
      <w:divsChild>
        <w:div w:id="1272661457">
          <w:marLeft w:val="0"/>
          <w:marRight w:val="0"/>
          <w:marTop w:val="0"/>
          <w:marBottom w:val="0"/>
          <w:divBdr>
            <w:top w:val="none" w:sz="0" w:space="0" w:color="auto"/>
            <w:left w:val="none" w:sz="0" w:space="0" w:color="auto"/>
            <w:bottom w:val="none" w:sz="0" w:space="0" w:color="auto"/>
            <w:right w:val="none" w:sz="0" w:space="0" w:color="auto"/>
          </w:divBdr>
          <w:divsChild>
            <w:div w:id="6425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1203">
      <w:bodyDiv w:val="1"/>
      <w:marLeft w:val="0"/>
      <w:marRight w:val="0"/>
      <w:marTop w:val="0"/>
      <w:marBottom w:val="0"/>
      <w:divBdr>
        <w:top w:val="none" w:sz="0" w:space="0" w:color="auto"/>
        <w:left w:val="none" w:sz="0" w:space="0" w:color="auto"/>
        <w:bottom w:val="none" w:sz="0" w:space="0" w:color="auto"/>
        <w:right w:val="none" w:sz="0" w:space="0" w:color="auto"/>
      </w:divBdr>
    </w:div>
    <w:div w:id="1717392264">
      <w:bodyDiv w:val="1"/>
      <w:marLeft w:val="0"/>
      <w:marRight w:val="0"/>
      <w:marTop w:val="0"/>
      <w:marBottom w:val="0"/>
      <w:divBdr>
        <w:top w:val="none" w:sz="0" w:space="0" w:color="auto"/>
        <w:left w:val="none" w:sz="0" w:space="0" w:color="auto"/>
        <w:bottom w:val="none" w:sz="0" w:space="0" w:color="auto"/>
        <w:right w:val="none" w:sz="0" w:space="0" w:color="auto"/>
      </w:divBdr>
    </w:div>
    <w:div w:id="2123644238">
      <w:bodyDiv w:val="1"/>
      <w:marLeft w:val="0"/>
      <w:marRight w:val="0"/>
      <w:marTop w:val="0"/>
      <w:marBottom w:val="0"/>
      <w:divBdr>
        <w:top w:val="none" w:sz="0" w:space="0" w:color="auto"/>
        <w:left w:val="none" w:sz="0" w:space="0" w:color="auto"/>
        <w:bottom w:val="none" w:sz="0" w:space="0" w:color="auto"/>
        <w:right w:val="none" w:sz="0" w:space="0" w:color="auto"/>
      </w:divBdr>
      <w:divsChild>
        <w:div w:id="128477688">
          <w:marLeft w:val="0"/>
          <w:marRight w:val="0"/>
          <w:marTop w:val="0"/>
          <w:marBottom w:val="300"/>
          <w:divBdr>
            <w:top w:val="none" w:sz="0" w:space="0" w:color="auto"/>
            <w:left w:val="none" w:sz="0" w:space="0" w:color="auto"/>
            <w:bottom w:val="none" w:sz="0" w:space="0" w:color="auto"/>
            <w:right w:val="none" w:sz="0" w:space="0" w:color="auto"/>
          </w:divBdr>
          <w:divsChild>
            <w:div w:id="18479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ilostat@ilo.org" TargetMode="External" Id="R2685f1d7377b41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A4D9E429-119E-4E7E-8F2B-5391FE051E87}"/>
</file>

<file path=customXml/itemProps2.xml><?xml version="1.0" encoding="utf-8"?>
<ds:datastoreItem xmlns:ds="http://schemas.openxmlformats.org/officeDocument/2006/customXml" ds:itemID="{B43CDEFA-5C18-4022-AD07-78C753C9EF5B}"/>
</file>

<file path=customXml/itemProps3.xml><?xml version="1.0" encoding="utf-8"?>
<ds:datastoreItem xmlns:ds="http://schemas.openxmlformats.org/officeDocument/2006/customXml" ds:itemID="{F6BB606F-1DDB-48E6-8585-25A4633598F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Zahia Khalid</dc:creator>
  <keywords/>
  <dc:description/>
  <lastModifiedBy>Zahia Khalid</lastModifiedBy>
  <revision>4</revision>
  <dcterms:created xsi:type="dcterms:W3CDTF">2021-07-31T17:38:00.0000000Z</dcterms:created>
  <dcterms:modified xsi:type="dcterms:W3CDTF">2021-08-13T15:43:09.0508421Z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