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
        <w:gridCol w:w="826"/>
        <w:gridCol w:w="1638"/>
        <w:gridCol w:w="6947"/>
      </w:tblGrid>
      <w:tr w:rsidR="20CCF9C6" w14:paraId="7EBD0916" w14:textId="77777777" w:rsidTr="18A6E3A6">
        <w:trPr>
          <w:trHeight w:val="606"/>
        </w:trPr>
        <w:tc>
          <w:tcPr>
            <w:tcW w:w="765" w:type="dxa"/>
            <w:shd w:val="clear" w:color="auto" w:fill="auto"/>
            <w:hideMark/>
          </w:tcPr>
          <w:p w14:paraId="7D7B1112" w14:textId="509A1FEF" w:rsidR="6012EA56" w:rsidRDefault="6012EA56" w:rsidP="20CCF9C6">
            <w:pPr>
              <w:tabs>
                <w:tab w:val="left" w:pos="2375"/>
              </w:tabs>
              <w:rPr>
                <w:rFonts w:ascii="Calibri" w:eastAsia="Calibri" w:hAnsi="Calibri" w:cs="Calibri"/>
                <w:color w:val="000000" w:themeColor="text1"/>
              </w:rPr>
            </w:pPr>
            <w:r w:rsidRPr="20CCF9C6">
              <w:rPr>
                <w:rFonts w:ascii="Calibri" w:eastAsia="Calibri" w:hAnsi="Calibri" w:cs="Calibri"/>
                <w:color w:val="000000" w:themeColor="text1"/>
                <w:lang w:val="en-GB"/>
              </w:rPr>
              <w:t>INDICATOR_NUM</w:t>
            </w:r>
          </w:p>
        </w:tc>
        <w:tc>
          <w:tcPr>
            <w:tcW w:w="826" w:type="dxa"/>
            <w:shd w:val="clear" w:color="auto" w:fill="auto"/>
            <w:hideMark/>
          </w:tcPr>
          <w:p w14:paraId="0D74243E" w14:textId="350EE6F8" w:rsidR="6012EA56" w:rsidRDefault="6012EA56" w:rsidP="20CCF9C6">
            <w:pPr>
              <w:tabs>
                <w:tab w:val="left" w:pos="2375"/>
              </w:tabs>
              <w:rPr>
                <w:rFonts w:ascii="Calibri" w:eastAsia="Calibri" w:hAnsi="Calibri" w:cs="Calibri"/>
                <w:color w:val="000000" w:themeColor="text1"/>
              </w:rPr>
            </w:pPr>
            <w:r w:rsidRPr="20CCF9C6">
              <w:rPr>
                <w:rFonts w:ascii="Calibri" w:eastAsia="Calibri" w:hAnsi="Calibri" w:cs="Calibri"/>
                <w:color w:val="000000" w:themeColor="text1"/>
                <w:lang w:val="en-GB"/>
              </w:rPr>
              <w:t>METADATA_CATEGORY</w:t>
            </w:r>
          </w:p>
        </w:tc>
        <w:tc>
          <w:tcPr>
            <w:tcW w:w="1638" w:type="dxa"/>
            <w:shd w:val="clear" w:color="auto" w:fill="auto"/>
            <w:hideMark/>
          </w:tcPr>
          <w:p w14:paraId="6DD1FD03" w14:textId="5E8267AC" w:rsidR="6012EA56" w:rsidRDefault="6012EA56" w:rsidP="18A6E3A6">
            <w:pPr>
              <w:tabs>
                <w:tab w:val="left" w:pos="2375"/>
              </w:tabs>
              <w:rPr>
                <w:rFonts w:ascii="Calibri" w:eastAsia="Calibri" w:hAnsi="Calibri" w:cs="Calibri"/>
                <w:color w:val="000000" w:themeColor="text1"/>
              </w:rPr>
            </w:pPr>
            <w:r w:rsidRPr="18A6E3A6">
              <w:rPr>
                <w:rFonts w:ascii="Calibri" w:eastAsia="Calibri" w:hAnsi="Calibri" w:cs="Calibri"/>
                <w:color w:val="000000" w:themeColor="text1"/>
                <w:lang w:val="en-GB"/>
              </w:rPr>
              <w:t>METADATA_CATEGORY_DESC</w:t>
            </w:r>
          </w:p>
          <w:p w14:paraId="02E96498" w14:textId="6795E8D9" w:rsidR="20CCF9C6" w:rsidRDefault="20CCF9C6" w:rsidP="18A6E3A6">
            <w:pPr>
              <w:spacing w:line="240" w:lineRule="auto"/>
              <w:rPr>
                <w:rFonts w:ascii="Calibri" w:eastAsia="Times New Roman" w:hAnsi="Calibri" w:cs="Calibri"/>
                <w:color w:val="000000" w:themeColor="text1"/>
              </w:rPr>
            </w:pPr>
          </w:p>
        </w:tc>
        <w:tc>
          <w:tcPr>
            <w:tcW w:w="6947" w:type="dxa"/>
            <w:shd w:val="clear" w:color="auto" w:fill="auto"/>
            <w:hideMark/>
          </w:tcPr>
          <w:p w14:paraId="69D4A359" w14:textId="7FB45D32" w:rsidR="6012EA56" w:rsidRDefault="6012EA56" w:rsidP="20CCF9C6">
            <w:pPr>
              <w:tabs>
                <w:tab w:val="left" w:pos="2375"/>
              </w:tabs>
              <w:rPr>
                <w:rFonts w:ascii="Calibri" w:eastAsia="Calibri" w:hAnsi="Calibri" w:cs="Calibri"/>
                <w:color w:val="000000" w:themeColor="text1"/>
              </w:rPr>
            </w:pPr>
            <w:r w:rsidRPr="20CCF9C6">
              <w:rPr>
                <w:rFonts w:ascii="Calibri" w:eastAsia="Calibri" w:hAnsi="Calibri" w:cs="Calibri"/>
                <w:color w:val="000000" w:themeColor="text1"/>
                <w:lang w:val="en-GB"/>
              </w:rPr>
              <w:t>METADATA_DESCRIPTION</w:t>
            </w:r>
          </w:p>
          <w:p w14:paraId="5338B675" w14:textId="4F170100" w:rsidR="20CCF9C6" w:rsidRDefault="20CCF9C6" w:rsidP="20CCF9C6">
            <w:pPr>
              <w:spacing w:line="240" w:lineRule="auto"/>
              <w:rPr>
                <w:sz w:val="20"/>
                <w:szCs w:val="20"/>
              </w:rPr>
            </w:pPr>
          </w:p>
        </w:tc>
      </w:tr>
      <w:tr w:rsidR="008F2E40" w:rsidRPr="005F7DD4" w14:paraId="6542CC1A" w14:textId="77777777" w:rsidTr="18A6E3A6">
        <w:trPr>
          <w:trHeight w:val="606"/>
        </w:trPr>
        <w:tc>
          <w:tcPr>
            <w:tcW w:w="765" w:type="dxa"/>
            <w:shd w:val="clear" w:color="auto" w:fill="auto"/>
            <w:hideMark/>
          </w:tcPr>
          <w:p w14:paraId="1CA9491B" w14:textId="31AA9700" w:rsidR="008F2E40" w:rsidRPr="00D02A76" w:rsidRDefault="207B0A59" w:rsidP="008F2E40">
            <w:pPr>
              <w:spacing w:after="0" w:line="240" w:lineRule="auto"/>
              <w:jc w:val="right"/>
              <w:rPr>
                <w:rFonts w:ascii="Calibri" w:eastAsia="Times New Roman" w:hAnsi="Calibri" w:cs="Calibri"/>
                <w:color w:val="000000"/>
              </w:rPr>
            </w:pPr>
            <w:r w:rsidRPr="20CCF9C6">
              <w:rPr>
                <w:rFonts w:ascii="Calibri" w:eastAsia="Times New Roman" w:hAnsi="Calibri" w:cs="Calibri"/>
                <w:color w:val="000000" w:themeColor="text1"/>
              </w:rPr>
              <w:t>III.10</w:t>
            </w:r>
          </w:p>
        </w:tc>
        <w:tc>
          <w:tcPr>
            <w:tcW w:w="826" w:type="dxa"/>
            <w:shd w:val="clear" w:color="auto" w:fill="auto"/>
            <w:hideMark/>
          </w:tcPr>
          <w:p w14:paraId="25665140"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1638" w:type="dxa"/>
            <w:shd w:val="clear" w:color="auto" w:fill="auto"/>
            <w:hideMark/>
          </w:tcPr>
          <w:p w14:paraId="6147BFD1"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Contact point in international agency</w:t>
            </w:r>
          </w:p>
        </w:tc>
        <w:tc>
          <w:tcPr>
            <w:tcW w:w="6947" w:type="dxa"/>
            <w:shd w:val="clear" w:color="auto" w:fill="auto"/>
            <w:hideMark/>
          </w:tcPr>
          <w:p w14:paraId="4EE516E7" w14:textId="77777777" w:rsidR="00A7487F" w:rsidRDefault="008F2E40" w:rsidP="20CCF9C6">
            <w:pPr>
              <w:spacing w:after="0" w:line="240" w:lineRule="auto"/>
            </w:pPr>
            <w:r w:rsidRPr="20CCF9C6">
              <w:rPr>
                <w:sz w:val="20"/>
                <w:szCs w:val="20"/>
              </w:rPr>
              <w:t xml:space="preserve">Sara </w:t>
            </w:r>
            <w:proofErr w:type="spellStart"/>
            <w:r w:rsidRPr="20CCF9C6">
              <w:rPr>
                <w:sz w:val="20"/>
                <w:szCs w:val="20"/>
              </w:rPr>
              <w:t>Hertog</w:t>
            </w:r>
            <w:proofErr w:type="spellEnd"/>
          </w:p>
          <w:p w14:paraId="5407836D" w14:textId="065A3D0F" w:rsidR="008F2E40" w:rsidRPr="008F2E40" w:rsidRDefault="008F2E40" w:rsidP="20CCF9C6">
            <w:pPr>
              <w:spacing w:after="0" w:line="240" w:lineRule="auto"/>
              <w:rPr>
                <w:rFonts w:eastAsia="Times New Roman"/>
                <w:color w:val="000000" w:themeColor="text1"/>
              </w:rPr>
            </w:pPr>
            <w:r w:rsidRPr="20CCF9C6">
              <w:rPr>
                <w:sz w:val="20"/>
                <w:szCs w:val="20"/>
              </w:rPr>
              <w:t>Population Estimates and Projections Section</w:t>
            </w:r>
          </w:p>
          <w:p w14:paraId="6DB03D31" w14:textId="77777777" w:rsidR="00A7487F" w:rsidRDefault="185F723E" w:rsidP="1FF2714F">
            <w:pPr>
              <w:spacing w:after="0" w:line="240" w:lineRule="auto"/>
              <w:rPr>
                <w:lang w:val="es-419"/>
              </w:rPr>
            </w:pPr>
            <w:r w:rsidRPr="00B8237E">
              <w:rPr>
                <w:sz w:val="20"/>
                <w:szCs w:val="20"/>
                <w:lang w:val="es-419"/>
              </w:rPr>
              <w:t xml:space="preserve">DESA </w:t>
            </w:r>
            <w:proofErr w:type="spellStart"/>
            <w:r w:rsidR="008F2E40" w:rsidRPr="00B8237E">
              <w:rPr>
                <w:sz w:val="20"/>
                <w:szCs w:val="20"/>
                <w:lang w:val="es-419"/>
              </w:rPr>
              <w:t>Population</w:t>
            </w:r>
            <w:proofErr w:type="spellEnd"/>
            <w:r w:rsidR="008F2E40" w:rsidRPr="00B8237E">
              <w:rPr>
                <w:sz w:val="20"/>
                <w:szCs w:val="20"/>
                <w:lang w:val="es-419"/>
              </w:rPr>
              <w:t xml:space="preserve"> </w:t>
            </w:r>
            <w:proofErr w:type="spellStart"/>
            <w:r w:rsidR="008F2E40" w:rsidRPr="00B8237E">
              <w:rPr>
                <w:sz w:val="20"/>
                <w:szCs w:val="20"/>
                <w:lang w:val="es-419"/>
              </w:rPr>
              <w:t>Division</w:t>
            </w:r>
            <w:proofErr w:type="spellEnd"/>
          </w:p>
          <w:p w14:paraId="3A095A16" w14:textId="2FB282FB" w:rsidR="00A7487F" w:rsidRDefault="36496EAD" w:rsidP="1FF2714F">
            <w:pPr>
              <w:spacing w:after="0" w:line="240" w:lineRule="auto"/>
              <w:rPr>
                <w:lang w:val="es-419"/>
              </w:rPr>
            </w:pPr>
            <w:r w:rsidRPr="00B8237E">
              <w:rPr>
                <w:sz w:val="20"/>
                <w:szCs w:val="20"/>
                <w:lang w:val="es-419"/>
              </w:rPr>
              <w:t>[</w:t>
            </w:r>
            <w:r w:rsidR="008F2E40" w:rsidRPr="006B206A">
              <w:rPr>
                <w:sz w:val="20"/>
                <w:szCs w:val="20"/>
                <w:lang w:val="es-419"/>
              </w:rPr>
              <w:t>hertog@un.org</w:t>
            </w:r>
            <w:r w:rsidR="6FC65422" w:rsidRPr="006B206A">
              <w:rPr>
                <w:sz w:val="20"/>
                <w:szCs w:val="20"/>
                <w:lang w:val="es-419"/>
              </w:rPr>
              <w:t>](mailto:hertog@un.org)</w:t>
            </w:r>
          </w:p>
          <w:p w14:paraId="676CB68F" w14:textId="3326BC43" w:rsidR="008F2E40" w:rsidRPr="00B8237E" w:rsidRDefault="43B8EB60" w:rsidP="1FF2714F">
            <w:pPr>
              <w:spacing w:after="0" w:line="240" w:lineRule="auto"/>
              <w:rPr>
                <w:sz w:val="20"/>
                <w:szCs w:val="20"/>
                <w:lang w:val="es-419"/>
              </w:rPr>
            </w:pPr>
            <w:r w:rsidRPr="00B8237E">
              <w:rPr>
                <w:sz w:val="20"/>
                <w:szCs w:val="20"/>
                <w:lang w:val="es-419"/>
              </w:rPr>
              <w:t>[</w:t>
            </w:r>
            <w:r w:rsidR="008F2E40" w:rsidRPr="006B206A">
              <w:rPr>
                <w:sz w:val="20"/>
                <w:szCs w:val="20"/>
                <w:lang w:val="es-419"/>
              </w:rPr>
              <w:t>https://population.un.org/wpp/</w:t>
            </w:r>
            <w:r w:rsidR="61F4A37A" w:rsidRPr="006B206A">
              <w:rPr>
                <w:sz w:val="20"/>
                <w:szCs w:val="20"/>
                <w:lang w:val="es-419"/>
              </w:rPr>
              <w:t>](</w:t>
            </w:r>
            <w:r w:rsidR="61F4A37A" w:rsidRPr="00B8237E">
              <w:rPr>
                <w:sz w:val="20"/>
                <w:szCs w:val="20"/>
                <w:lang w:val="es-419"/>
              </w:rPr>
              <w:t>https://population.un.org/wpp/)</w:t>
            </w:r>
          </w:p>
          <w:p w14:paraId="18969E47" w14:textId="107C111A" w:rsidR="008F2E40" w:rsidRPr="00B8237E" w:rsidRDefault="008F2E40" w:rsidP="1FF2714F">
            <w:pPr>
              <w:spacing w:after="0" w:line="240" w:lineRule="auto"/>
              <w:rPr>
                <w:sz w:val="20"/>
                <w:szCs w:val="20"/>
                <w:lang w:val="es-419"/>
              </w:rPr>
            </w:pPr>
          </w:p>
        </w:tc>
      </w:tr>
      <w:tr w:rsidR="008F2E40" w:rsidRPr="00D02A76" w14:paraId="28920659" w14:textId="77777777" w:rsidTr="18A6E3A6">
        <w:trPr>
          <w:trHeight w:val="606"/>
        </w:trPr>
        <w:tc>
          <w:tcPr>
            <w:tcW w:w="765" w:type="dxa"/>
            <w:shd w:val="clear" w:color="auto" w:fill="auto"/>
            <w:hideMark/>
          </w:tcPr>
          <w:p w14:paraId="1DA18842" w14:textId="31AA9700" w:rsidR="008F2E40" w:rsidRPr="00D02A76" w:rsidRDefault="35D297E6"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76E7FF66" w14:textId="58D749DD"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3D3DDE19"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1638" w:type="dxa"/>
            <w:shd w:val="clear" w:color="auto" w:fill="auto"/>
            <w:hideMark/>
          </w:tcPr>
          <w:p w14:paraId="097E2A3F"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International agreed definition</w:t>
            </w:r>
          </w:p>
        </w:tc>
        <w:tc>
          <w:tcPr>
            <w:tcW w:w="6947" w:type="dxa"/>
            <w:shd w:val="clear" w:color="auto" w:fill="auto"/>
            <w:hideMark/>
          </w:tcPr>
          <w:p w14:paraId="3F1937E0" w14:textId="0072D9D8" w:rsidR="008F2E40" w:rsidRPr="008F2E40" w:rsidRDefault="008F2E40" w:rsidP="1FF2714F">
            <w:pPr>
              <w:spacing w:after="0" w:line="240" w:lineRule="auto"/>
              <w:rPr>
                <w:rFonts w:eastAsia="Times New Roman"/>
                <w:color w:val="000000" w:themeColor="text1"/>
              </w:rPr>
            </w:pPr>
            <w:r w:rsidRPr="1FF2714F">
              <w:rPr>
                <w:sz w:val="20"/>
                <w:szCs w:val="20"/>
              </w:rPr>
              <w:t>The average number of remaining years of life expected by a hypothetical cohort of males or females alive at age 60 who would be subject during the remainder of their lives to the age- and sex-specific mortality rates of a given period. It is expressed in years.</w:t>
            </w:r>
          </w:p>
          <w:p w14:paraId="4827591A" w14:textId="54841F4C" w:rsidR="008F2E40" w:rsidRPr="008F2E40" w:rsidRDefault="008F2E40" w:rsidP="1FF2714F">
            <w:pPr>
              <w:spacing w:after="0" w:line="240" w:lineRule="auto"/>
              <w:rPr>
                <w:sz w:val="20"/>
                <w:szCs w:val="20"/>
              </w:rPr>
            </w:pPr>
          </w:p>
        </w:tc>
      </w:tr>
      <w:tr w:rsidR="008F2E40" w:rsidRPr="00D02A76" w14:paraId="77FB6A4B" w14:textId="77777777" w:rsidTr="18A6E3A6">
        <w:trPr>
          <w:trHeight w:val="2123"/>
        </w:trPr>
        <w:tc>
          <w:tcPr>
            <w:tcW w:w="765" w:type="dxa"/>
            <w:shd w:val="clear" w:color="auto" w:fill="auto"/>
            <w:hideMark/>
          </w:tcPr>
          <w:p w14:paraId="331F4DF6" w14:textId="31AA9700" w:rsidR="008F2E40" w:rsidRPr="00D02A76" w:rsidRDefault="4209DF48"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79CE6F86" w14:textId="0CE7EC24"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7F99634F"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1638" w:type="dxa"/>
            <w:shd w:val="clear" w:color="auto" w:fill="auto"/>
            <w:hideMark/>
          </w:tcPr>
          <w:p w14:paraId="3A83C2D0"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Method of computation</w:t>
            </w:r>
          </w:p>
        </w:tc>
        <w:tc>
          <w:tcPr>
            <w:tcW w:w="6947" w:type="dxa"/>
            <w:shd w:val="clear" w:color="auto" w:fill="auto"/>
            <w:hideMark/>
          </w:tcPr>
          <w:p w14:paraId="171C8BFA" w14:textId="5457FC61" w:rsidR="008F2E40" w:rsidRPr="008F2E40" w:rsidRDefault="008F2E40" w:rsidP="1FF2714F">
            <w:pPr>
              <w:spacing w:after="0" w:line="240" w:lineRule="auto"/>
              <w:rPr>
                <w:rFonts w:eastAsia="Times New Roman"/>
                <w:color w:val="000000" w:themeColor="text1"/>
              </w:rPr>
            </w:pPr>
            <w:r w:rsidRPr="1FF2714F">
              <w:rPr>
                <w:sz w:val="20"/>
                <w:szCs w:val="20"/>
              </w:rPr>
              <w:t>Age- and sex-specific mortality rates are used to construct mortality life tables, from which life expectancies at specific ages are derived.</w:t>
            </w:r>
          </w:p>
          <w:p w14:paraId="5E2EDD00" w14:textId="77777777" w:rsidR="005F7DD4" w:rsidRDefault="008F2E40" w:rsidP="1FF2714F">
            <w:pPr>
              <w:spacing w:after="0" w:line="240" w:lineRule="auto"/>
              <w:rPr>
                <w:sz w:val="20"/>
                <w:szCs w:val="20"/>
              </w:rPr>
            </w:pPr>
            <w:r>
              <w:br/>
            </w:r>
            <w:r w:rsidRPr="1FF2714F">
              <w:rPr>
                <w:sz w:val="20"/>
                <w:szCs w:val="20"/>
              </w:rPr>
              <w:t xml:space="preserve">For further reference see: </w:t>
            </w:r>
            <w:r>
              <w:br/>
            </w:r>
          </w:p>
          <w:p w14:paraId="18963486" w14:textId="49667CB8" w:rsidR="008F2E40" w:rsidRPr="008F2E40" w:rsidRDefault="005F7DD4" w:rsidP="1FF2714F">
            <w:pPr>
              <w:spacing w:after="0" w:line="240" w:lineRule="auto"/>
              <w:rPr>
                <w:rFonts w:eastAsia="Times New Roman"/>
                <w:color w:val="000000" w:themeColor="text1"/>
              </w:rPr>
            </w:pPr>
            <w:r>
              <w:rPr>
                <w:sz w:val="20"/>
                <w:szCs w:val="20"/>
              </w:rPr>
              <w:t xml:space="preserve">- </w:t>
            </w:r>
            <w:r w:rsidR="008F2E40" w:rsidRPr="1FF2714F">
              <w:rPr>
                <w:sz w:val="20"/>
                <w:szCs w:val="20"/>
              </w:rPr>
              <w:t xml:space="preserve">United Nations </w:t>
            </w:r>
            <w:r w:rsidR="712DA84B" w:rsidRPr="1FF2714F">
              <w:rPr>
                <w:sz w:val="20"/>
                <w:szCs w:val="20"/>
              </w:rPr>
              <w:t>\</w:t>
            </w:r>
            <w:r w:rsidR="008F2E40" w:rsidRPr="1FF2714F">
              <w:rPr>
                <w:sz w:val="20"/>
                <w:szCs w:val="20"/>
              </w:rPr>
              <w:t>(2002</w:t>
            </w:r>
            <w:r w:rsidR="41448C86" w:rsidRPr="1FF2714F">
              <w:rPr>
                <w:sz w:val="20"/>
                <w:szCs w:val="20"/>
              </w:rPr>
              <w:t>\</w:t>
            </w:r>
            <w:r w:rsidR="008F2E40" w:rsidRPr="1FF2714F">
              <w:rPr>
                <w:sz w:val="20"/>
                <w:szCs w:val="20"/>
              </w:rPr>
              <w:t xml:space="preserve">): Methods for estimating adult mortality. Available at: </w:t>
            </w:r>
            <w:r w:rsidR="57E9F6E0" w:rsidRPr="1FF2714F">
              <w:rPr>
                <w:sz w:val="20"/>
                <w:szCs w:val="20"/>
              </w:rPr>
              <w:t>[</w:t>
            </w:r>
            <w:r w:rsidR="008F2E40" w:rsidRPr="0072159E">
              <w:rPr>
                <w:sz w:val="20"/>
                <w:szCs w:val="20"/>
              </w:rPr>
              <w:t>http://www.un.org/en/development/desa/population/publications/pdf/mortality/estimating-adult-mortality.pdf</w:t>
            </w:r>
            <w:r w:rsidR="7A307CE2" w:rsidRPr="0072159E">
              <w:rPr>
                <w:sz w:val="20"/>
                <w:szCs w:val="20"/>
              </w:rPr>
              <w:t>](</w:t>
            </w:r>
            <w:r w:rsidR="00B8237E" w:rsidRPr="0072159E">
              <w:rPr>
                <w:sz w:val="20"/>
                <w:szCs w:val="20"/>
              </w:rPr>
              <w:t>http://www.un.org/en/development/desa/population/publications/pdf/mortality/estimating-adult-mortality.pdf)</w:t>
            </w:r>
          </w:p>
          <w:p w14:paraId="560F962E" w14:textId="7D9F5507" w:rsidR="008F2E40" w:rsidRPr="008F2E40" w:rsidRDefault="008F2E40" w:rsidP="1FF2714F">
            <w:pPr>
              <w:spacing w:after="0" w:line="240" w:lineRule="auto"/>
              <w:rPr>
                <w:rFonts w:eastAsia="Times New Roman"/>
                <w:color w:val="000000" w:themeColor="text1"/>
              </w:rPr>
            </w:pPr>
            <w:r>
              <w:br/>
            </w:r>
            <w:r w:rsidR="005F7DD4">
              <w:rPr>
                <w:sz w:val="20"/>
                <w:szCs w:val="20"/>
              </w:rPr>
              <w:t xml:space="preserve">- </w:t>
            </w:r>
            <w:r w:rsidRPr="1FF2714F">
              <w:rPr>
                <w:sz w:val="20"/>
                <w:szCs w:val="20"/>
              </w:rPr>
              <w:t xml:space="preserve">United Nations </w:t>
            </w:r>
            <w:r w:rsidR="24F778DA" w:rsidRPr="1FF2714F">
              <w:rPr>
                <w:sz w:val="20"/>
                <w:szCs w:val="20"/>
              </w:rPr>
              <w:t>\</w:t>
            </w:r>
            <w:r w:rsidRPr="1FF2714F">
              <w:rPr>
                <w:sz w:val="20"/>
                <w:szCs w:val="20"/>
              </w:rPr>
              <w:t>(2011</w:t>
            </w:r>
            <w:r w:rsidR="296BF719" w:rsidRPr="1FF2714F">
              <w:rPr>
                <w:sz w:val="20"/>
                <w:szCs w:val="20"/>
              </w:rPr>
              <w:t>\</w:t>
            </w:r>
            <w:r w:rsidRPr="1FF2714F">
              <w:rPr>
                <w:sz w:val="20"/>
                <w:szCs w:val="20"/>
              </w:rPr>
              <w:t xml:space="preserve">): Mortality estimates from major sample surveys: towards the design of a database for the monitoring of mortality levels and trends. Available at: </w:t>
            </w:r>
            <w:r w:rsidR="215C2749" w:rsidRPr="1FF2714F">
              <w:rPr>
                <w:sz w:val="20"/>
                <w:szCs w:val="20"/>
              </w:rPr>
              <w:t>[</w:t>
            </w:r>
            <w:r w:rsidRPr="0072159E">
              <w:rPr>
                <w:sz w:val="20"/>
                <w:szCs w:val="20"/>
              </w:rPr>
              <w:t>http://www.un.org/en/development/desa/population/publications/pdf/technical/TP2011-2_MortEstMajorSampSurv.pdf</w:t>
            </w:r>
            <w:r w:rsidR="45BE97F8" w:rsidRPr="0072159E">
              <w:rPr>
                <w:sz w:val="20"/>
                <w:szCs w:val="20"/>
              </w:rPr>
              <w:t>](http://www.un.org/en/development/desa/population/publications/pdf/technical/TP2011-2_MortEstMajorSampSurv.pdf</w:t>
            </w:r>
            <w:r w:rsidR="45BE97F8" w:rsidRPr="1FF2714F">
              <w:rPr>
                <w:sz w:val="20"/>
                <w:szCs w:val="20"/>
              </w:rPr>
              <w:t>)</w:t>
            </w:r>
          </w:p>
          <w:p w14:paraId="47FE32D0" w14:textId="30A4EFA4" w:rsidR="008F2E40" w:rsidRPr="008F2E40" w:rsidRDefault="008F2E40" w:rsidP="1FF2714F">
            <w:pPr>
              <w:spacing w:after="0" w:line="240" w:lineRule="auto"/>
              <w:rPr>
                <w:rFonts w:eastAsia="Times New Roman"/>
                <w:color w:val="000000" w:themeColor="text1"/>
              </w:rPr>
            </w:pPr>
            <w:r>
              <w:br/>
            </w:r>
            <w:r w:rsidR="005F7DD4">
              <w:rPr>
                <w:sz w:val="20"/>
                <w:szCs w:val="20"/>
              </w:rPr>
              <w:t xml:space="preserve">- </w:t>
            </w:r>
            <w:r w:rsidRPr="1FF2714F">
              <w:rPr>
                <w:sz w:val="20"/>
                <w:szCs w:val="20"/>
              </w:rPr>
              <w:t xml:space="preserve">United Nations </w:t>
            </w:r>
            <w:r w:rsidR="1B4E7173" w:rsidRPr="1FF2714F">
              <w:rPr>
                <w:sz w:val="20"/>
                <w:szCs w:val="20"/>
              </w:rPr>
              <w:t>\</w:t>
            </w:r>
            <w:r w:rsidRPr="1FF2714F">
              <w:rPr>
                <w:sz w:val="20"/>
                <w:szCs w:val="20"/>
              </w:rPr>
              <w:t>(2019</w:t>
            </w:r>
            <w:r w:rsidR="35E70427" w:rsidRPr="1FF2714F">
              <w:rPr>
                <w:sz w:val="20"/>
                <w:szCs w:val="20"/>
              </w:rPr>
              <w:t>\</w:t>
            </w:r>
            <w:r w:rsidRPr="1FF2714F">
              <w:rPr>
                <w:sz w:val="20"/>
                <w:szCs w:val="20"/>
              </w:rPr>
              <w:t xml:space="preserve">). World Population Prospects: The 2019 Revision, Methodology of the United Nations Population Estimates and Projections, </w:t>
            </w:r>
            <w:r w:rsidR="7A012A71" w:rsidRPr="1FF2714F">
              <w:rPr>
                <w:sz w:val="20"/>
                <w:szCs w:val="20"/>
              </w:rPr>
              <w:t>\</w:t>
            </w:r>
            <w:r w:rsidRPr="1FF2714F">
              <w:rPr>
                <w:sz w:val="20"/>
                <w:szCs w:val="20"/>
              </w:rPr>
              <w:t>(ST/ESA/SER.A/425</w:t>
            </w:r>
            <w:r w:rsidR="2A267D88" w:rsidRPr="1FF2714F">
              <w:rPr>
                <w:sz w:val="20"/>
                <w:szCs w:val="20"/>
              </w:rPr>
              <w:t>\</w:t>
            </w:r>
            <w:r w:rsidRPr="1FF2714F">
              <w:rPr>
                <w:sz w:val="20"/>
                <w:szCs w:val="20"/>
              </w:rPr>
              <w:t>). New York: United Nations.</w:t>
            </w:r>
          </w:p>
          <w:p w14:paraId="6BD57BCD" w14:textId="4FA53BC9" w:rsidR="008F2E40" w:rsidRPr="008F2E40" w:rsidRDefault="008F2E40" w:rsidP="1FF2714F">
            <w:pPr>
              <w:spacing w:after="0" w:line="240" w:lineRule="auto"/>
              <w:rPr>
                <w:sz w:val="20"/>
                <w:szCs w:val="20"/>
              </w:rPr>
            </w:pPr>
          </w:p>
        </w:tc>
      </w:tr>
      <w:tr w:rsidR="008F2E40" w:rsidRPr="00D02A76" w14:paraId="787BA0EB" w14:textId="77777777" w:rsidTr="18A6E3A6">
        <w:trPr>
          <w:trHeight w:val="2123"/>
        </w:trPr>
        <w:tc>
          <w:tcPr>
            <w:tcW w:w="765" w:type="dxa"/>
            <w:shd w:val="clear" w:color="auto" w:fill="auto"/>
            <w:hideMark/>
          </w:tcPr>
          <w:p w14:paraId="627D06FD" w14:textId="31AA9700" w:rsidR="008F2E40" w:rsidRPr="00D02A76" w:rsidRDefault="4799D64D"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747CE6B1" w14:textId="1723AF99"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76AB14BA"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1638" w:type="dxa"/>
            <w:shd w:val="clear" w:color="auto" w:fill="auto"/>
            <w:hideMark/>
          </w:tcPr>
          <w:p w14:paraId="1C47213A"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Importance of the indicator in addressing gender issues and its limitation</w:t>
            </w:r>
          </w:p>
        </w:tc>
        <w:tc>
          <w:tcPr>
            <w:tcW w:w="6947" w:type="dxa"/>
            <w:shd w:val="clear" w:color="auto" w:fill="auto"/>
            <w:hideMark/>
          </w:tcPr>
          <w:p w14:paraId="320CA522" w14:textId="179AE88F" w:rsidR="008F2E40" w:rsidRPr="008F2E40" w:rsidRDefault="008F2E40" w:rsidP="1FF2714F">
            <w:pPr>
              <w:spacing w:after="0" w:line="240" w:lineRule="auto"/>
              <w:rPr>
                <w:rFonts w:eastAsia="Times New Roman"/>
                <w:color w:val="000000" w:themeColor="text1"/>
              </w:rPr>
            </w:pPr>
            <w:r w:rsidRPr="1FF2714F">
              <w:rPr>
                <w:sz w:val="20"/>
                <w:szCs w:val="20"/>
              </w:rPr>
              <w:t xml:space="preserve">Women tend to live longer than men in all regions of the world. In nearly all countries of the world, female life expectancy at age 60 is higher than that of males; however, there are differences in the gap between female and male life expectancy by development group or region. At the world level, 60-year-old women have a life expectancy of 22.3 years in 2015-2020, compared to 19.1 years for 60-year-old men. The female advantage is considerably larger in the more developed regions </w:t>
            </w:r>
            <w:r w:rsidR="04637D2A" w:rsidRPr="1FF2714F">
              <w:rPr>
                <w:sz w:val="20"/>
                <w:szCs w:val="20"/>
              </w:rPr>
              <w:t>\</w:t>
            </w:r>
            <w:r w:rsidRPr="1FF2714F">
              <w:rPr>
                <w:sz w:val="20"/>
                <w:szCs w:val="20"/>
              </w:rPr>
              <w:t>(3.9 years</w:t>
            </w:r>
            <w:r w:rsidR="7F06EC60" w:rsidRPr="1FF2714F">
              <w:rPr>
                <w:sz w:val="20"/>
                <w:szCs w:val="20"/>
              </w:rPr>
              <w:t>\</w:t>
            </w:r>
            <w:r w:rsidRPr="1FF2714F">
              <w:rPr>
                <w:sz w:val="20"/>
                <w:szCs w:val="20"/>
              </w:rPr>
              <w:t xml:space="preserve">) compared to the less developed regions </w:t>
            </w:r>
            <w:r w:rsidR="61C271BB" w:rsidRPr="1FF2714F">
              <w:rPr>
                <w:sz w:val="20"/>
                <w:szCs w:val="20"/>
              </w:rPr>
              <w:t>\</w:t>
            </w:r>
            <w:r w:rsidRPr="1FF2714F">
              <w:rPr>
                <w:sz w:val="20"/>
                <w:szCs w:val="20"/>
              </w:rPr>
              <w:t>(2.6 years</w:t>
            </w:r>
            <w:r w:rsidR="1086F941" w:rsidRPr="1FF2714F">
              <w:rPr>
                <w:sz w:val="20"/>
                <w:szCs w:val="20"/>
              </w:rPr>
              <w:t>\</w:t>
            </w:r>
            <w:r w:rsidRPr="1FF2714F">
              <w:rPr>
                <w:sz w:val="20"/>
                <w:szCs w:val="20"/>
              </w:rPr>
              <w:t xml:space="preserve">). The gap between male and female life expectancy at age 60 is particularly narrow in the least developed countries </w:t>
            </w:r>
            <w:r w:rsidR="56EF89FA" w:rsidRPr="1FF2714F">
              <w:rPr>
                <w:sz w:val="20"/>
                <w:szCs w:val="20"/>
              </w:rPr>
              <w:t>\</w:t>
            </w:r>
            <w:r w:rsidRPr="1FF2714F">
              <w:rPr>
                <w:sz w:val="20"/>
                <w:szCs w:val="20"/>
              </w:rPr>
              <w:t>(1.8 years</w:t>
            </w:r>
            <w:r w:rsidR="090965A2" w:rsidRPr="1FF2714F">
              <w:rPr>
                <w:sz w:val="20"/>
                <w:szCs w:val="20"/>
              </w:rPr>
              <w:t>\</w:t>
            </w:r>
            <w:r w:rsidRPr="1FF2714F">
              <w:rPr>
                <w:sz w:val="20"/>
                <w:szCs w:val="20"/>
              </w:rPr>
              <w:t xml:space="preserve">). The indicator reflects possible gender differences in determinants of health and mortality at ages above 60, including prevalence of smoking, obesity, limited physical activity or ability of older women and men to access health care, among others. </w:t>
            </w:r>
          </w:p>
          <w:p w14:paraId="6FD27912" w14:textId="56B4821D" w:rsidR="008F2E40" w:rsidRPr="008F2E40" w:rsidRDefault="008F2E40" w:rsidP="1FF2714F">
            <w:pPr>
              <w:spacing w:after="0" w:line="240" w:lineRule="auto"/>
              <w:rPr>
                <w:sz w:val="20"/>
                <w:szCs w:val="20"/>
              </w:rPr>
            </w:pPr>
          </w:p>
        </w:tc>
      </w:tr>
      <w:tr w:rsidR="008F2E40" w:rsidRPr="00D02A76" w14:paraId="3C27531D" w14:textId="77777777" w:rsidTr="18A6E3A6">
        <w:trPr>
          <w:trHeight w:val="1515"/>
        </w:trPr>
        <w:tc>
          <w:tcPr>
            <w:tcW w:w="765" w:type="dxa"/>
            <w:shd w:val="clear" w:color="auto" w:fill="auto"/>
            <w:hideMark/>
          </w:tcPr>
          <w:p w14:paraId="5CB207D2" w14:textId="31AA9700" w:rsidR="008F2E40" w:rsidRPr="00D02A76" w:rsidRDefault="3DD77E73"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lastRenderedPageBreak/>
              <w:t>III.10</w:t>
            </w:r>
          </w:p>
          <w:p w14:paraId="637CE314" w14:textId="7D560F23"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49204FBB"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1638" w:type="dxa"/>
            <w:shd w:val="clear" w:color="auto" w:fill="auto"/>
            <w:hideMark/>
          </w:tcPr>
          <w:p w14:paraId="779F8E20"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Sources of discrepancies between global and national figures</w:t>
            </w:r>
          </w:p>
        </w:tc>
        <w:tc>
          <w:tcPr>
            <w:tcW w:w="6947" w:type="dxa"/>
            <w:shd w:val="clear" w:color="auto" w:fill="auto"/>
            <w:hideMark/>
          </w:tcPr>
          <w:p w14:paraId="141CB7F0" w14:textId="3B1E82DD" w:rsidR="008F2E40" w:rsidRPr="008F2E40" w:rsidRDefault="008F2E40" w:rsidP="1FF2714F">
            <w:pPr>
              <w:spacing w:after="0" w:line="240" w:lineRule="auto"/>
              <w:rPr>
                <w:rFonts w:eastAsia="Times New Roman"/>
                <w:color w:val="000000" w:themeColor="text1"/>
              </w:rPr>
            </w:pPr>
            <w:r w:rsidRPr="1FF2714F">
              <w:rPr>
                <w:sz w:val="20"/>
                <w:szCs w:val="20"/>
              </w:rPr>
              <w:t xml:space="preserve">National demographic statistics can be affected by incompleteness of coverage, lack of timeliness and errors in the reporting or coding of the information. For the World Population Prospects, the analysis carried out by the Population Division uses the cohort-component method to reconstruct populations to ensure that the population trends and related estimates of fertility, mortality and migration are internally consistent. For many countries without complete and reliable death registration systems, national estimates of mortality above age 60 are not available. In these cases, a model life table age pattern of mortality is used to derive estimates of mortality rates above age 60. National estimates that use different methods to account for deficiencies of age-and sex-specific mortality data may be different from the life expectancy at age 60 published by the Population Division.  </w:t>
            </w:r>
          </w:p>
          <w:p w14:paraId="3F1C4F9F" w14:textId="41392474" w:rsidR="008F2E40" w:rsidRPr="008F2E40" w:rsidRDefault="008F2E40" w:rsidP="1FF2714F">
            <w:pPr>
              <w:spacing w:after="0" w:line="240" w:lineRule="auto"/>
              <w:rPr>
                <w:sz w:val="20"/>
                <w:szCs w:val="20"/>
              </w:rPr>
            </w:pPr>
          </w:p>
        </w:tc>
      </w:tr>
      <w:tr w:rsidR="008F2E40" w:rsidRPr="00D02A76" w14:paraId="67937B7B" w14:textId="77777777" w:rsidTr="18A6E3A6">
        <w:trPr>
          <w:trHeight w:val="4246"/>
        </w:trPr>
        <w:tc>
          <w:tcPr>
            <w:tcW w:w="765" w:type="dxa"/>
            <w:shd w:val="clear" w:color="auto" w:fill="auto"/>
            <w:hideMark/>
          </w:tcPr>
          <w:p w14:paraId="4691B612" w14:textId="31AA9700" w:rsidR="008F2E40" w:rsidRPr="00D02A76" w:rsidRDefault="1F888C54"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2E74A378" w14:textId="5B1906BE"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4BB00A1C"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1638" w:type="dxa"/>
            <w:shd w:val="clear" w:color="auto" w:fill="auto"/>
            <w:hideMark/>
          </w:tcPr>
          <w:p w14:paraId="3B80B401"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Process of obtaining data</w:t>
            </w:r>
          </w:p>
        </w:tc>
        <w:tc>
          <w:tcPr>
            <w:tcW w:w="6947" w:type="dxa"/>
            <w:shd w:val="clear" w:color="auto" w:fill="auto"/>
            <w:hideMark/>
          </w:tcPr>
          <w:p w14:paraId="1D2F82E8" w14:textId="1DA9C1F9" w:rsidR="008F2E40" w:rsidRPr="008F2E40" w:rsidRDefault="008F2E40" w:rsidP="1FF2714F">
            <w:pPr>
              <w:spacing w:after="0" w:line="240" w:lineRule="auto"/>
              <w:rPr>
                <w:rFonts w:eastAsia="Times New Roman"/>
                <w:color w:val="000000" w:themeColor="text1"/>
              </w:rPr>
            </w:pPr>
            <w:r w:rsidRPr="1FF2714F">
              <w:rPr>
                <w:sz w:val="20"/>
                <w:szCs w:val="20"/>
              </w:rPr>
              <w:t xml:space="preserve">In countries with well-developed data systems, mortality rates at ages above 60 can be measured using data from civil registration systems and population estimates derived from censuses or population registers. In many countries, however, the estimation of mortality rates above age 60 is seriously constrained by the absence of reliable, continuous, and complete data registration systems. Throughout many countries where such systems are not in place, valid measures of mortality above age 60 are not available. Other sources of information have to be incorporated, such as estimates of adult mortality below age 60 and/or child mortality estimates, which are then applied to a model life table age pattern of mortality to derive estimates of mortality rates above age 60. </w:t>
            </w:r>
          </w:p>
          <w:p w14:paraId="13DF338F" w14:textId="30F07010" w:rsidR="008F2E40" w:rsidRPr="008F2E40" w:rsidRDefault="008F2E40" w:rsidP="1FF2714F">
            <w:pPr>
              <w:spacing w:after="0" w:line="240" w:lineRule="auto"/>
              <w:rPr>
                <w:rFonts w:eastAsia="Times New Roman"/>
                <w:color w:val="000000" w:themeColor="text1"/>
              </w:rPr>
            </w:pPr>
            <w:r w:rsidRPr="1FF2714F">
              <w:rPr>
                <w:sz w:val="20"/>
                <w:szCs w:val="20"/>
              </w:rPr>
              <w:t xml:space="preserve"> </w:t>
            </w:r>
            <w:r>
              <w:br/>
            </w:r>
            <w:r w:rsidRPr="1FF2714F">
              <w:rPr>
                <w:sz w:val="20"/>
                <w:szCs w:val="20"/>
              </w:rPr>
              <w:t xml:space="preserve">Empirical observations on deaths by age and sex and age- and sex-specific mortality estimates are taken from various sources: </w:t>
            </w:r>
          </w:p>
          <w:p w14:paraId="5A499CD4" w14:textId="2D7095A7" w:rsidR="008F2E40" w:rsidRPr="008F2E40" w:rsidRDefault="0B749F4F" w:rsidP="1FF2714F">
            <w:pPr>
              <w:spacing w:after="0" w:line="240" w:lineRule="auto"/>
              <w:rPr>
                <w:rFonts w:eastAsia="Times New Roman"/>
                <w:color w:val="000000" w:themeColor="text1"/>
              </w:rPr>
            </w:pPr>
            <w:r w:rsidRPr="1FF2714F">
              <w:rPr>
                <w:sz w:val="20"/>
                <w:szCs w:val="20"/>
              </w:rPr>
              <w:t xml:space="preserve">\(a\) </w:t>
            </w:r>
            <w:r w:rsidR="008F2E40" w:rsidRPr="1FF2714F">
              <w:rPr>
                <w:sz w:val="20"/>
                <w:szCs w:val="20"/>
              </w:rPr>
              <w:t xml:space="preserve">For countries with death registration systems, data on deaths by age and sex are obtained from country-reported data from the United Nations Statistics Division or regional Statistics Divisions or statistical units </w:t>
            </w:r>
            <w:r w:rsidR="2FD28D7D" w:rsidRPr="1FF2714F">
              <w:rPr>
                <w:sz w:val="20"/>
                <w:szCs w:val="20"/>
              </w:rPr>
              <w:t>\</w:t>
            </w:r>
            <w:r w:rsidR="008F2E40" w:rsidRPr="1FF2714F">
              <w:rPr>
                <w:sz w:val="20"/>
                <w:szCs w:val="20"/>
              </w:rPr>
              <w:t>(ESCWA, ESCAP, CARICOM, SPC</w:t>
            </w:r>
            <w:r w:rsidR="464A4E75" w:rsidRPr="1FF2714F">
              <w:rPr>
                <w:sz w:val="20"/>
                <w:szCs w:val="20"/>
              </w:rPr>
              <w:t>\</w:t>
            </w:r>
            <w:r w:rsidR="008F2E40" w:rsidRPr="1FF2714F">
              <w:rPr>
                <w:sz w:val="20"/>
                <w:szCs w:val="20"/>
              </w:rPr>
              <w:t xml:space="preserve">). Other sources, such as data reported on the national statistics website and mortality estimates from the </w:t>
            </w:r>
            <w:r w:rsidR="1B6DFABC" w:rsidRPr="1FF2714F">
              <w:rPr>
                <w:sz w:val="20"/>
                <w:szCs w:val="20"/>
              </w:rPr>
              <w:t>[</w:t>
            </w:r>
            <w:r w:rsidR="008F2E40" w:rsidRPr="1FF2714F">
              <w:rPr>
                <w:sz w:val="20"/>
                <w:szCs w:val="20"/>
              </w:rPr>
              <w:t>Human Mortality Database</w:t>
            </w:r>
            <w:r w:rsidR="5E62C71D" w:rsidRPr="1FF2714F">
              <w:rPr>
                <w:sz w:val="20"/>
                <w:szCs w:val="20"/>
              </w:rPr>
              <w:t>]</w:t>
            </w:r>
            <w:r w:rsidR="008F2E40" w:rsidRPr="1FF2714F">
              <w:rPr>
                <w:sz w:val="20"/>
                <w:szCs w:val="20"/>
              </w:rPr>
              <w:t>(www.mortality.org) or research publications are also used.</w:t>
            </w:r>
            <w:r w:rsidR="008F2E40">
              <w:br/>
            </w:r>
            <w:r w:rsidR="53C5CE92" w:rsidRPr="1FF2714F">
              <w:rPr>
                <w:sz w:val="20"/>
                <w:szCs w:val="20"/>
              </w:rPr>
              <w:t>\</w:t>
            </w:r>
            <w:r w:rsidR="008F2E40" w:rsidRPr="1FF2714F">
              <w:rPr>
                <w:sz w:val="20"/>
                <w:szCs w:val="20"/>
              </w:rPr>
              <w:t>(b</w:t>
            </w:r>
            <w:r w:rsidR="227D15DA" w:rsidRPr="1FF2714F">
              <w:rPr>
                <w:sz w:val="20"/>
                <w:szCs w:val="20"/>
              </w:rPr>
              <w:t>\</w:t>
            </w:r>
            <w:r w:rsidR="008F2E40" w:rsidRPr="1FF2714F">
              <w:rPr>
                <w:sz w:val="20"/>
                <w:szCs w:val="20"/>
              </w:rPr>
              <w:t xml:space="preserve">) For survey data, the information for calculation of adult mortality estimates below age 60 or 50 can be obtained from surveys such as the Demographic and Health Surveys </w:t>
            </w:r>
            <w:r w:rsidR="0752707B" w:rsidRPr="1FF2714F">
              <w:rPr>
                <w:sz w:val="20"/>
                <w:szCs w:val="20"/>
              </w:rPr>
              <w:t>\</w:t>
            </w:r>
            <w:r w:rsidR="008F2E40" w:rsidRPr="1FF2714F">
              <w:rPr>
                <w:sz w:val="20"/>
                <w:szCs w:val="20"/>
              </w:rPr>
              <w:t>(DHS</w:t>
            </w:r>
            <w:r w:rsidR="7F26BB2D" w:rsidRPr="1FF2714F">
              <w:rPr>
                <w:sz w:val="20"/>
                <w:szCs w:val="20"/>
              </w:rPr>
              <w:t>\</w:t>
            </w:r>
            <w:r w:rsidR="008F2E40" w:rsidRPr="1FF2714F">
              <w:rPr>
                <w:sz w:val="20"/>
                <w:szCs w:val="20"/>
              </w:rPr>
              <w:t xml:space="preserve">), the Reproductive Health Surveys </w:t>
            </w:r>
            <w:r w:rsidR="525BA934" w:rsidRPr="1FF2714F">
              <w:rPr>
                <w:sz w:val="20"/>
                <w:szCs w:val="20"/>
              </w:rPr>
              <w:t>\</w:t>
            </w:r>
            <w:r w:rsidR="008F2E40" w:rsidRPr="1FF2714F">
              <w:rPr>
                <w:sz w:val="20"/>
                <w:szCs w:val="20"/>
              </w:rPr>
              <w:t>(RHS</w:t>
            </w:r>
            <w:r w:rsidR="69BA418D" w:rsidRPr="1FF2714F">
              <w:rPr>
                <w:sz w:val="20"/>
                <w:szCs w:val="20"/>
              </w:rPr>
              <w:t>\</w:t>
            </w:r>
            <w:r w:rsidR="008F2E40" w:rsidRPr="1FF2714F">
              <w:rPr>
                <w:sz w:val="20"/>
                <w:szCs w:val="20"/>
              </w:rPr>
              <w:t>), MICS and other nationally sponsored surveys. To derive estimates for adult mortality after age 60, model life table age pattern need to be employed.</w:t>
            </w:r>
            <w:r w:rsidR="008F2E40">
              <w:br/>
            </w:r>
            <w:r w:rsidR="095C5561" w:rsidRPr="1FF2714F">
              <w:rPr>
                <w:sz w:val="20"/>
                <w:szCs w:val="20"/>
              </w:rPr>
              <w:t>\</w:t>
            </w:r>
            <w:r w:rsidR="008F2E40" w:rsidRPr="1FF2714F">
              <w:rPr>
                <w:sz w:val="20"/>
                <w:szCs w:val="20"/>
              </w:rPr>
              <w:t>(c</w:t>
            </w:r>
            <w:r w:rsidR="5E7E1741" w:rsidRPr="1FF2714F">
              <w:rPr>
                <w:sz w:val="20"/>
                <w:szCs w:val="20"/>
              </w:rPr>
              <w:t>\</w:t>
            </w:r>
            <w:r w:rsidR="008F2E40" w:rsidRPr="1FF2714F">
              <w:rPr>
                <w:sz w:val="20"/>
                <w:szCs w:val="20"/>
              </w:rPr>
              <w:t xml:space="preserve">) For census data, the data on deaths by age and sex in the last 12 or 24 months are obtained from census reports. Estimates of age-specific mortality rates from the census data are calculated by the Population Division or are obtained from census reports and research publications. </w:t>
            </w:r>
            <w:r w:rsidR="008F2E40">
              <w:br/>
            </w:r>
            <w:r w:rsidR="008F2E40">
              <w:br/>
            </w:r>
            <w:r w:rsidR="008F2E40" w:rsidRPr="1FF2714F">
              <w:rPr>
                <w:sz w:val="20"/>
                <w:szCs w:val="20"/>
              </w:rPr>
              <w:t xml:space="preserve">For further reference see: </w:t>
            </w:r>
            <w:r w:rsidR="008F2E40">
              <w:br/>
            </w:r>
            <w:r w:rsidR="008F2E40" w:rsidRPr="1FF2714F">
              <w:rPr>
                <w:sz w:val="20"/>
                <w:szCs w:val="20"/>
              </w:rPr>
              <w:t xml:space="preserve">United Nations (2002): Methods for estimating adult mortality. Available at: </w:t>
            </w:r>
            <w:r w:rsidR="53528718" w:rsidRPr="1FF2714F">
              <w:rPr>
                <w:sz w:val="20"/>
                <w:szCs w:val="20"/>
              </w:rPr>
              <w:t>[</w:t>
            </w:r>
            <w:r w:rsidR="008F2E40" w:rsidRPr="0072159E">
              <w:rPr>
                <w:sz w:val="20"/>
                <w:szCs w:val="20"/>
              </w:rPr>
              <w:t>http://www.un.org/en/development/desa/population/publications/pdf/mortality/estimating-adult-mortality.pdf</w:t>
            </w:r>
            <w:r w:rsidR="5C1255B0" w:rsidRPr="0072159E">
              <w:rPr>
                <w:sz w:val="20"/>
                <w:szCs w:val="20"/>
              </w:rPr>
              <w:t>](http://www.un.org/en/development/desa/population/publications/pdf/mortality/estimating-adult-mortality.pdf</w:t>
            </w:r>
            <w:r w:rsidR="5C1255B0" w:rsidRPr="1FF2714F">
              <w:rPr>
                <w:sz w:val="20"/>
                <w:szCs w:val="20"/>
              </w:rPr>
              <w:t>)</w:t>
            </w:r>
          </w:p>
          <w:p w14:paraId="2DA2950D" w14:textId="4A69FED3" w:rsidR="008F2E40" w:rsidRPr="008F2E40" w:rsidRDefault="008F2E40" w:rsidP="1FF2714F">
            <w:pPr>
              <w:spacing w:after="0" w:line="240" w:lineRule="auto"/>
              <w:rPr>
                <w:sz w:val="20"/>
                <w:szCs w:val="20"/>
              </w:rPr>
            </w:pPr>
            <w:r>
              <w:br/>
            </w:r>
            <w:r w:rsidRPr="1FF2714F">
              <w:rPr>
                <w:sz w:val="20"/>
                <w:szCs w:val="20"/>
              </w:rPr>
              <w:t>United Nations (2011): Mortality estimates from major sample surveys: towards the design of a database for the monitoring of mortality levels and trends.</w:t>
            </w:r>
            <w:r w:rsidR="3EEDF457" w:rsidRPr="1FF2714F">
              <w:rPr>
                <w:sz w:val="20"/>
                <w:szCs w:val="20"/>
              </w:rPr>
              <w:t xml:space="preserve"> </w:t>
            </w:r>
            <w:r w:rsidRPr="1FF2714F">
              <w:rPr>
                <w:sz w:val="20"/>
                <w:szCs w:val="20"/>
              </w:rPr>
              <w:t xml:space="preserve">Available at: </w:t>
            </w:r>
            <w:r w:rsidR="742ACE64" w:rsidRPr="1FF2714F">
              <w:rPr>
                <w:sz w:val="20"/>
                <w:szCs w:val="20"/>
              </w:rPr>
              <w:t>[</w:t>
            </w:r>
            <w:r w:rsidRPr="0072159E">
              <w:rPr>
                <w:sz w:val="20"/>
                <w:szCs w:val="20"/>
              </w:rPr>
              <w:t>http://www.un.org/en/development/desa/population/publications/pdf/technical/TP2011-</w:t>
            </w:r>
            <w:r w:rsidRPr="0072159E">
              <w:rPr>
                <w:sz w:val="20"/>
                <w:szCs w:val="20"/>
              </w:rPr>
              <w:lastRenderedPageBreak/>
              <w:t>2_MortEstMajorSampSurv.pdf</w:t>
            </w:r>
            <w:r w:rsidR="3D4058E8" w:rsidRPr="0072159E">
              <w:rPr>
                <w:sz w:val="20"/>
                <w:szCs w:val="20"/>
              </w:rPr>
              <w:t>](http://www.un.org/en/development/desa/population/publications/pdf/technical/TP2011-2_MortEstMajorSampSurv.pdf)</w:t>
            </w:r>
          </w:p>
          <w:p w14:paraId="5386706A" w14:textId="012E0A2B" w:rsidR="008F2E40" w:rsidRPr="008F2E40" w:rsidRDefault="008F2E40" w:rsidP="1FF2714F">
            <w:pPr>
              <w:spacing w:after="0" w:line="240" w:lineRule="auto"/>
              <w:rPr>
                <w:sz w:val="20"/>
                <w:szCs w:val="20"/>
              </w:rPr>
            </w:pPr>
          </w:p>
        </w:tc>
      </w:tr>
      <w:tr w:rsidR="008F2E40" w:rsidRPr="00D02A76" w14:paraId="65DD8C23" w14:textId="77777777" w:rsidTr="18A6E3A6">
        <w:trPr>
          <w:trHeight w:val="909"/>
        </w:trPr>
        <w:tc>
          <w:tcPr>
            <w:tcW w:w="765" w:type="dxa"/>
            <w:shd w:val="clear" w:color="auto" w:fill="auto"/>
            <w:hideMark/>
          </w:tcPr>
          <w:p w14:paraId="0C15A95E" w14:textId="31AA9700" w:rsidR="008F2E40" w:rsidRPr="00D02A76" w:rsidRDefault="0E501DAA"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lastRenderedPageBreak/>
              <w:t>III.10</w:t>
            </w:r>
          </w:p>
          <w:p w14:paraId="1688E1AB" w14:textId="00C829DB"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1C462A4D"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1638" w:type="dxa"/>
            <w:shd w:val="clear" w:color="auto" w:fill="auto"/>
            <w:hideMark/>
          </w:tcPr>
          <w:p w14:paraId="4AD182E5"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Treatment of missing values</w:t>
            </w:r>
          </w:p>
        </w:tc>
        <w:tc>
          <w:tcPr>
            <w:tcW w:w="6947" w:type="dxa"/>
            <w:shd w:val="clear" w:color="auto" w:fill="auto"/>
            <w:hideMark/>
          </w:tcPr>
          <w:p w14:paraId="614375B4" w14:textId="2676DE19" w:rsidR="008F2E40" w:rsidRPr="008F2E40" w:rsidRDefault="008F2E40" w:rsidP="1FF2714F">
            <w:pPr>
              <w:spacing w:after="0" w:line="240" w:lineRule="auto"/>
              <w:rPr>
                <w:rFonts w:eastAsia="Times New Roman"/>
                <w:color w:val="000000" w:themeColor="text1"/>
              </w:rPr>
            </w:pPr>
            <w:r w:rsidRPr="1FF2714F">
              <w:rPr>
                <w:sz w:val="20"/>
                <w:szCs w:val="20"/>
              </w:rPr>
              <w:t>Due to the lack of valid measures of mortality above age 60 for many countries, the levels and trends in life expectancy above age 60 described in World Population Prospects, are in some cases derived from estimates of adult mortality below age 60 and/or child mortality applied to a model life table age pattern of mortality, rather than an empirical observation of deaths above age 60.</w:t>
            </w:r>
          </w:p>
          <w:p w14:paraId="62976A80" w14:textId="4B097C53" w:rsidR="008F2E40" w:rsidRPr="008F2E40" w:rsidRDefault="008F2E40" w:rsidP="1FF2714F">
            <w:pPr>
              <w:spacing w:after="0" w:line="240" w:lineRule="auto"/>
              <w:rPr>
                <w:sz w:val="20"/>
                <w:szCs w:val="20"/>
              </w:rPr>
            </w:pPr>
          </w:p>
        </w:tc>
      </w:tr>
      <w:tr w:rsidR="008F2E40" w:rsidRPr="00D02A76" w14:paraId="5F4D8EA6" w14:textId="77777777" w:rsidTr="18A6E3A6">
        <w:trPr>
          <w:trHeight w:val="909"/>
        </w:trPr>
        <w:tc>
          <w:tcPr>
            <w:tcW w:w="765" w:type="dxa"/>
            <w:shd w:val="clear" w:color="auto" w:fill="auto"/>
            <w:hideMark/>
          </w:tcPr>
          <w:p w14:paraId="6BC0E514" w14:textId="31AA9700" w:rsidR="008F2E40" w:rsidRPr="00D02A76" w:rsidRDefault="2A29AD92"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206B5390" w14:textId="52ED9E42"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50716C3D"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1638" w:type="dxa"/>
            <w:shd w:val="clear" w:color="auto" w:fill="auto"/>
            <w:hideMark/>
          </w:tcPr>
          <w:p w14:paraId="2A525174"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Data availability and assessment of countries’ capacity</w:t>
            </w:r>
          </w:p>
        </w:tc>
        <w:tc>
          <w:tcPr>
            <w:tcW w:w="6947" w:type="dxa"/>
            <w:shd w:val="clear" w:color="auto" w:fill="auto"/>
            <w:hideMark/>
          </w:tcPr>
          <w:p w14:paraId="330B9B32" w14:textId="4B53B648" w:rsidR="008F2E40" w:rsidRPr="008F2E40" w:rsidRDefault="008F2E40" w:rsidP="20CCF9C6">
            <w:pPr>
              <w:spacing w:after="0" w:line="240" w:lineRule="auto"/>
              <w:rPr>
                <w:sz w:val="20"/>
                <w:szCs w:val="20"/>
              </w:rPr>
            </w:pPr>
          </w:p>
        </w:tc>
      </w:tr>
      <w:tr w:rsidR="008F2E40" w:rsidRPr="00D02A76" w14:paraId="60463525" w14:textId="77777777" w:rsidTr="18A6E3A6">
        <w:trPr>
          <w:trHeight w:val="303"/>
        </w:trPr>
        <w:tc>
          <w:tcPr>
            <w:tcW w:w="765" w:type="dxa"/>
            <w:shd w:val="clear" w:color="auto" w:fill="auto"/>
            <w:hideMark/>
          </w:tcPr>
          <w:p w14:paraId="5BD5036E" w14:textId="31AA9700" w:rsidR="008F2E40" w:rsidRPr="00D02A76" w:rsidRDefault="62EA49DE"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1D72FB32" w14:textId="1A7AC8B5"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hideMark/>
          </w:tcPr>
          <w:p w14:paraId="5F1B74B8"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1638" w:type="dxa"/>
            <w:shd w:val="clear" w:color="auto" w:fill="auto"/>
            <w:hideMark/>
          </w:tcPr>
          <w:p w14:paraId="3B59A297" w14:textId="77777777"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Expected time of release</w:t>
            </w:r>
          </w:p>
        </w:tc>
        <w:tc>
          <w:tcPr>
            <w:tcW w:w="6947" w:type="dxa"/>
            <w:shd w:val="clear" w:color="auto" w:fill="auto"/>
            <w:hideMark/>
          </w:tcPr>
          <w:p w14:paraId="3F2098D7" w14:textId="763D54BC" w:rsidR="008F2E40" w:rsidRPr="008F2E40" w:rsidRDefault="008F2E40" w:rsidP="1FF2714F">
            <w:pPr>
              <w:spacing w:after="0" w:line="240" w:lineRule="auto"/>
              <w:rPr>
                <w:sz w:val="20"/>
                <w:szCs w:val="20"/>
              </w:rPr>
            </w:pPr>
            <w:r w:rsidRPr="1FF2714F">
              <w:rPr>
                <w:sz w:val="20"/>
                <w:szCs w:val="20"/>
              </w:rPr>
              <w:t xml:space="preserve">The 2019 revision of the World Population Prospects was published in June 2019.  The next revision of the World Population Prospects is expected in March 2022.  </w:t>
            </w:r>
          </w:p>
          <w:p w14:paraId="78BF5C56" w14:textId="7816C854" w:rsidR="008F2E40" w:rsidRPr="008F2E40" w:rsidRDefault="008F2E40" w:rsidP="1FF2714F">
            <w:pPr>
              <w:spacing w:after="0" w:line="240" w:lineRule="auto"/>
              <w:rPr>
                <w:sz w:val="20"/>
                <w:szCs w:val="20"/>
              </w:rPr>
            </w:pPr>
          </w:p>
        </w:tc>
      </w:tr>
      <w:tr w:rsidR="008F2E40" w:rsidRPr="00D02A76" w14:paraId="3141EA17" w14:textId="77777777" w:rsidTr="18A6E3A6">
        <w:trPr>
          <w:trHeight w:val="303"/>
        </w:trPr>
        <w:tc>
          <w:tcPr>
            <w:tcW w:w="765" w:type="dxa"/>
            <w:shd w:val="clear" w:color="auto" w:fill="auto"/>
          </w:tcPr>
          <w:p w14:paraId="4E9085AF" w14:textId="31AA9700" w:rsidR="008F2E40" w:rsidRPr="00D02A76" w:rsidRDefault="4E5EB99F" w:rsidP="20CCF9C6">
            <w:pPr>
              <w:spacing w:after="0" w:line="240" w:lineRule="auto"/>
              <w:jc w:val="right"/>
              <w:rPr>
                <w:rFonts w:ascii="Calibri" w:eastAsia="Times New Roman" w:hAnsi="Calibri" w:cs="Calibri"/>
                <w:color w:val="000000" w:themeColor="text1"/>
              </w:rPr>
            </w:pPr>
            <w:r w:rsidRPr="20CCF9C6">
              <w:rPr>
                <w:rFonts w:ascii="Calibri" w:eastAsia="Times New Roman" w:hAnsi="Calibri" w:cs="Calibri"/>
                <w:color w:val="000000" w:themeColor="text1"/>
              </w:rPr>
              <w:t>III.10</w:t>
            </w:r>
          </w:p>
          <w:p w14:paraId="5659FE56" w14:textId="0546079C" w:rsidR="008F2E40" w:rsidRPr="00D02A76" w:rsidRDefault="008F2E40" w:rsidP="20CCF9C6">
            <w:pPr>
              <w:spacing w:after="0" w:line="240" w:lineRule="auto"/>
              <w:jc w:val="right"/>
              <w:rPr>
                <w:rFonts w:ascii="Calibri" w:eastAsia="Times New Roman" w:hAnsi="Calibri" w:cs="Calibri"/>
                <w:color w:val="000000"/>
              </w:rPr>
            </w:pPr>
          </w:p>
        </w:tc>
        <w:tc>
          <w:tcPr>
            <w:tcW w:w="826" w:type="dxa"/>
            <w:shd w:val="clear" w:color="auto" w:fill="auto"/>
          </w:tcPr>
          <w:p w14:paraId="557EFFC9" w14:textId="0FECAE1E" w:rsidR="008F2E40" w:rsidRPr="00D02A76" w:rsidRDefault="008F2E40" w:rsidP="008F2E4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638" w:type="dxa"/>
            <w:shd w:val="clear" w:color="auto" w:fill="auto"/>
          </w:tcPr>
          <w:p w14:paraId="042793FF" w14:textId="7878C27B" w:rsidR="008F2E40" w:rsidRPr="00D02A76" w:rsidRDefault="008F2E40" w:rsidP="18A6E3A6">
            <w:pPr>
              <w:spacing w:after="0" w:line="240" w:lineRule="auto"/>
              <w:rPr>
                <w:rFonts w:ascii="Calibri" w:eastAsia="Times New Roman" w:hAnsi="Calibri" w:cs="Calibri"/>
                <w:color w:val="000000"/>
              </w:rPr>
            </w:pPr>
            <w:r w:rsidRPr="18A6E3A6">
              <w:rPr>
                <w:rFonts w:ascii="Calibri" w:eastAsia="Times New Roman" w:hAnsi="Calibri" w:cs="Calibri"/>
                <w:color w:val="000000" w:themeColor="text1"/>
              </w:rPr>
              <w:t>Data source</w:t>
            </w:r>
          </w:p>
        </w:tc>
        <w:tc>
          <w:tcPr>
            <w:tcW w:w="6947" w:type="dxa"/>
            <w:shd w:val="clear" w:color="auto" w:fill="auto"/>
          </w:tcPr>
          <w:p w14:paraId="2B98B602" w14:textId="2F60B191" w:rsidR="008F2E40" w:rsidRPr="008F2E40" w:rsidRDefault="40D1115F" w:rsidP="1FF2714F">
            <w:pPr>
              <w:spacing w:after="0" w:line="240" w:lineRule="auto"/>
              <w:rPr>
                <w:sz w:val="20"/>
                <w:szCs w:val="20"/>
              </w:rPr>
            </w:pPr>
            <w:r w:rsidRPr="4C82A433">
              <w:rPr>
                <w:sz w:val="20"/>
                <w:szCs w:val="20"/>
              </w:rPr>
              <w:t xml:space="preserve">Data and metadata were received from </w:t>
            </w:r>
            <w:r w:rsidR="2C6C7E9E" w:rsidRPr="4C82A433">
              <w:rPr>
                <w:sz w:val="20"/>
                <w:szCs w:val="20"/>
              </w:rPr>
              <w:t>United Nations Population Division</w:t>
            </w:r>
            <w:r w:rsidRPr="4C82A433">
              <w:rPr>
                <w:sz w:val="20"/>
                <w:szCs w:val="20"/>
              </w:rPr>
              <w:t xml:space="preserve"> on </w:t>
            </w:r>
            <w:r w:rsidR="437BF01C" w:rsidRPr="4C82A433">
              <w:rPr>
                <w:sz w:val="20"/>
                <w:szCs w:val="20"/>
              </w:rPr>
              <w:t>3</w:t>
            </w:r>
            <w:r w:rsidRPr="4C82A433">
              <w:rPr>
                <w:sz w:val="20"/>
                <w:szCs w:val="20"/>
              </w:rPr>
              <w:t xml:space="preserve"> June 2021. </w:t>
            </w:r>
          </w:p>
          <w:p w14:paraId="5BEBEDD7" w14:textId="7C457EBB" w:rsidR="008F2E40" w:rsidRPr="008F2E40" w:rsidRDefault="008F2E40" w:rsidP="1FF2714F">
            <w:pPr>
              <w:spacing w:after="0" w:line="240" w:lineRule="auto"/>
              <w:rPr>
                <w:sz w:val="20"/>
                <w:szCs w:val="20"/>
              </w:rPr>
            </w:pPr>
          </w:p>
          <w:p w14:paraId="688476BF" w14:textId="15635597" w:rsidR="008F2E40" w:rsidRPr="008F2E40" w:rsidRDefault="4F515D01" w:rsidP="1FF2714F">
            <w:pPr>
              <w:spacing w:after="0" w:line="240" w:lineRule="auto"/>
              <w:rPr>
                <w:sz w:val="20"/>
                <w:szCs w:val="20"/>
              </w:rPr>
            </w:pPr>
            <w:r w:rsidRPr="1FF2714F">
              <w:rPr>
                <w:sz w:val="20"/>
                <w:szCs w:val="20"/>
              </w:rPr>
              <w:t>For detailed information, please go to the following:</w:t>
            </w:r>
          </w:p>
          <w:p w14:paraId="12D41E34" w14:textId="100D24EA" w:rsidR="008F2E40" w:rsidRPr="008F2E40" w:rsidRDefault="4F515D01" w:rsidP="1FF2714F">
            <w:pPr>
              <w:pStyle w:val="ListParagraph"/>
              <w:numPr>
                <w:ilvl w:val="0"/>
                <w:numId w:val="1"/>
              </w:numPr>
              <w:spacing w:after="0" w:line="240" w:lineRule="auto"/>
              <w:rPr>
                <w:sz w:val="20"/>
                <w:szCs w:val="20"/>
              </w:rPr>
            </w:pPr>
            <w:r w:rsidRPr="1FF2714F">
              <w:rPr>
                <w:sz w:val="20"/>
                <w:szCs w:val="20"/>
              </w:rPr>
              <w:t>[</w:t>
            </w:r>
            <w:r w:rsidRPr="0072159E">
              <w:rPr>
                <w:sz w:val="20"/>
                <w:szCs w:val="20"/>
              </w:rPr>
              <w:t>https://population.un.org/wpp/](https://population.un.org/wpp/)</w:t>
            </w:r>
          </w:p>
          <w:p w14:paraId="7D65462B" w14:textId="502011BB" w:rsidR="008F2E40" w:rsidRPr="008F2E40" w:rsidRDefault="008F2E40" w:rsidP="1F12FA52">
            <w:pPr>
              <w:spacing w:after="0" w:line="240" w:lineRule="auto"/>
              <w:rPr>
                <w:sz w:val="20"/>
                <w:szCs w:val="20"/>
              </w:rPr>
            </w:pPr>
          </w:p>
        </w:tc>
      </w:tr>
    </w:tbl>
    <w:p w14:paraId="52AE94AF" w14:textId="77777777" w:rsidR="004E3C3F" w:rsidRDefault="004E3C3F"/>
    <w:sectPr w:rsidR="004E3C3F"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D61B9"/>
    <w:multiLevelType w:val="hybridMultilevel"/>
    <w:tmpl w:val="6BF28426"/>
    <w:lvl w:ilvl="0" w:tplc="1FFECB6C">
      <w:start w:val="1"/>
      <w:numFmt w:val="bullet"/>
      <w:lvlText w:val="-"/>
      <w:lvlJc w:val="left"/>
      <w:pPr>
        <w:ind w:left="720" w:hanging="360"/>
      </w:pPr>
      <w:rPr>
        <w:rFonts w:ascii="Calibri" w:hAnsi="Calibri" w:hint="default"/>
      </w:rPr>
    </w:lvl>
    <w:lvl w:ilvl="1" w:tplc="A6F8F026">
      <w:start w:val="1"/>
      <w:numFmt w:val="bullet"/>
      <w:lvlText w:val="o"/>
      <w:lvlJc w:val="left"/>
      <w:pPr>
        <w:ind w:left="1440" w:hanging="360"/>
      </w:pPr>
      <w:rPr>
        <w:rFonts w:ascii="Courier New" w:hAnsi="Courier New" w:hint="default"/>
      </w:rPr>
    </w:lvl>
    <w:lvl w:ilvl="2" w:tplc="6F1638C2">
      <w:start w:val="1"/>
      <w:numFmt w:val="bullet"/>
      <w:lvlText w:val=""/>
      <w:lvlJc w:val="left"/>
      <w:pPr>
        <w:ind w:left="2160" w:hanging="360"/>
      </w:pPr>
      <w:rPr>
        <w:rFonts w:ascii="Wingdings" w:hAnsi="Wingdings" w:hint="default"/>
      </w:rPr>
    </w:lvl>
    <w:lvl w:ilvl="3" w:tplc="F616399E">
      <w:start w:val="1"/>
      <w:numFmt w:val="bullet"/>
      <w:lvlText w:val=""/>
      <w:lvlJc w:val="left"/>
      <w:pPr>
        <w:ind w:left="2880" w:hanging="360"/>
      </w:pPr>
      <w:rPr>
        <w:rFonts w:ascii="Symbol" w:hAnsi="Symbol" w:hint="default"/>
      </w:rPr>
    </w:lvl>
    <w:lvl w:ilvl="4" w:tplc="F4F4BF5A">
      <w:start w:val="1"/>
      <w:numFmt w:val="bullet"/>
      <w:lvlText w:val="o"/>
      <w:lvlJc w:val="left"/>
      <w:pPr>
        <w:ind w:left="3600" w:hanging="360"/>
      </w:pPr>
      <w:rPr>
        <w:rFonts w:ascii="Courier New" w:hAnsi="Courier New" w:hint="default"/>
      </w:rPr>
    </w:lvl>
    <w:lvl w:ilvl="5" w:tplc="8B3C17EA">
      <w:start w:val="1"/>
      <w:numFmt w:val="bullet"/>
      <w:lvlText w:val=""/>
      <w:lvlJc w:val="left"/>
      <w:pPr>
        <w:ind w:left="4320" w:hanging="360"/>
      </w:pPr>
      <w:rPr>
        <w:rFonts w:ascii="Wingdings" w:hAnsi="Wingdings" w:hint="default"/>
      </w:rPr>
    </w:lvl>
    <w:lvl w:ilvl="6" w:tplc="AFD4CC3C">
      <w:start w:val="1"/>
      <w:numFmt w:val="bullet"/>
      <w:lvlText w:val=""/>
      <w:lvlJc w:val="left"/>
      <w:pPr>
        <w:ind w:left="5040" w:hanging="360"/>
      </w:pPr>
      <w:rPr>
        <w:rFonts w:ascii="Symbol" w:hAnsi="Symbol" w:hint="default"/>
      </w:rPr>
    </w:lvl>
    <w:lvl w:ilvl="7" w:tplc="A5A4EE18">
      <w:start w:val="1"/>
      <w:numFmt w:val="bullet"/>
      <w:lvlText w:val="o"/>
      <w:lvlJc w:val="left"/>
      <w:pPr>
        <w:ind w:left="5760" w:hanging="360"/>
      </w:pPr>
      <w:rPr>
        <w:rFonts w:ascii="Courier New" w:hAnsi="Courier New" w:hint="default"/>
      </w:rPr>
    </w:lvl>
    <w:lvl w:ilvl="8" w:tplc="9DA0834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40"/>
    <w:rsid w:val="0036680E"/>
    <w:rsid w:val="004E3C3F"/>
    <w:rsid w:val="005F7DD4"/>
    <w:rsid w:val="006B206A"/>
    <w:rsid w:val="0072159E"/>
    <w:rsid w:val="008F2E40"/>
    <w:rsid w:val="00A7487F"/>
    <w:rsid w:val="00B8237E"/>
    <w:rsid w:val="00EF09E8"/>
    <w:rsid w:val="00FD0BD4"/>
    <w:rsid w:val="02232FE7"/>
    <w:rsid w:val="02FDB85E"/>
    <w:rsid w:val="04637D2A"/>
    <w:rsid w:val="047B59AC"/>
    <w:rsid w:val="055AD0A9"/>
    <w:rsid w:val="06213173"/>
    <w:rsid w:val="0752707B"/>
    <w:rsid w:val="090965A2"/>
    <w:rsid w:val="095C5561"/>
    <w:rsid w:val="0A167B30"/>
    <w:rsid w:val="0B1CED4D"/>
    <w:rsid w:val="0B749F4F"/>
    <w:rsid w:val="0C774A9A"/>
    <w:rsid w:val="0C8B7247"/>
    <w:rsid w:val="0DF93A7F"/>
    <w:rsid w:val="0E501DAA"/>
    <w:rsid w:val="0FAEEB5C"/>
    <w:rsid w:val="0FC31309"/>
    <w:rsid w:val="1086F941"/>
    <w:rsid w:val="115EE36A"/>
    <w:rsid w:val="1578E1F9"/>
    <w:rsid w:val="1711EFD3"/>
    <w:rsid w:val="185F723E"/>
    <w:rsid w:val="18A6E3A6"/>
    <w:rsid w:val="1B4E7173"/>
    <w:rsid w:val="1B6DFABC"/>
    <w:rsid w:val="1F12FA52"/>
    <w:rsid w:val="1F888C54"/>
    <w:rsid w:val="1FF2714F"/>
    <w:rsid w:val="207B0A59"/>
    <w:rsid w:val="20CCF9C6"/>
    <w:rsid w:val="215C2749"/>
    <w:rsid w:val="21D6A2D2"/>
    <w:rsid w:val="227D15DA"/>
    <w:rsid w:val="24F778DA"/>
    <w:rsid w:val="270EEB40"/>
    <w:rsid w:val="27BEE634"/>
    <w:rsid w:val="296BF719"/>
    <w:rsid w:val="2A267D88"/>
    <w:rsid w:val="2A29AD92"/>
    <w:rsid w:val="2BE25C63"/>
    <w:rsid w:val="2C6C7E9E"/>
    <w:rsid w:val="2CD8E1DD"/>
    <w:rsid w:val="2E9C5AEC"/>
    <w:rsid w:val="2FD28D7D"/>
    <w:rsid w:val="31AC5300"/>
    <w:rsid w:val="35D297E6"/>
    <w:rsid w:val="35E70427"/>
    <w:rsid w:val="36496EAD"/>
    <w:rsid w:val="3C0C61C5"/>
    <w:rsid w:val="3D4058E8"/>
    <w:rsid w:val="3DD77E73"/>
    <w:rsid w:val="3EEDF457"/>
    <w:rsid w:val="40D1115F"/>
    <w:rsid w:val="41448C86"/>
    <w:rsid w:val="4209DF48"/>
    <w:rsid w:val="437BF01C"/>
    <w:rsid w:val="43B8EB60"/>
    <w:rsid w:val="45BE97F8"/>
    <w:rsid w:val="462D6CFF"/>
    <w:rsid w:val="464A4E75"/>
    <w:rsid w:val="4799D64D"/>
    <w:rsid w:val="4989EAFF"/>
    <w:rsid w:val="4C82A433"/>
    <w:rsid w:val="4DC7FD6B"/>
    <w:rsid w:val="4E5EB99F"/>
    <w:rsid w:val="4F515D01"/>
    <w:rsid w:val="525BA934"/>
    <w:rsid w:val="53528718"/>
    <w:rsid w:val="53C5CE92"/>
    <w:rsid w:val="56EF89FA"/>
    <w:rsid w:val="5704576F"/>
    <w:rsid w:val="57E9F6E0"/>
    <w:rsid w:val="58F8015B"/>
    <w:rsid w:val="5B6B7F7C"/>
    <w:rsid w:val="5C1255B0"/>
    <w:rsid w:val="5E62C71D"/>
    <w:rsid w:val="5E7E1741"/>
    <w:rsid w:val="6012EA56"/>
    <w:rsid w:val="61C271BB"/>
    <w:rsid w:val="61F4A37A"/>
    <w:rsid w:val="62EA49DE"/>
    <w:rsid w:val="69BA418D"/>
    <w:rsid w:val="6A33A4AC"/>
    <w:rsid w:val="6AC06D7B"/>
    <w:rsid w:val="6F7EDA89"/>
    <w:rsid w:val="6FC65422"/>
    <w:rsid w:val="712DA84B"/>
    <w:rsid w:val="742ACE64"/>
    <w:rsid w:val="7A012A71"/>
    <w:rsid w:val="7A307CE2"/>
    <w:rsid w:val="7F06EC60"/>
    <w:rsid w:val="7F26BB2D"/>
    <w:rsid w:val="7FE92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31B3"/>
  <w15:chartTrackingRefBased/>
  <w15:docId w15:val="{68BCFAD7-6542-4FC9-AE0B-67BDEB0F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E40"/>
    <w:rPr>
      <w:color w:val="0563C1" w:themeColor="hyperlink"/>
      <w:u w:val="single"/>
    </w:rPr>
  </w:style>
  <w:style w:type="character" w:styleId="UnresolvedMention">
    <w:name w:val="Unresolved Mention"/>
    <w:basedOn w:val="DefaultParagraphFont"/>
    <w:uiPriority w:val="99"/>
    <w:semiHidden/>
    <w:unhideWhenUsed/>
    <w:rsid w:val="008F2E40"/>
    <w:rPr>
      <w:color w:val="605E5C"/>
      <w:shd w:val="clear" w:color="auto" w:fill="E1DFDD"/>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82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7DECDA-1FBA-4238-9231-238586B612B0}">
  <ds:schemaRefs>
    <ds:schemaRef ds:uri="http://schemas.microsoft.com/sharepoint/v3/contenttype/forms"/>
  </ds:schemaRefs>
</ds:datastoreItem>
</file>

<file path=customXml/itemProps2.xml><?xml version="1.0" encoding="utf-8"?>
<ds:datastoreItem xmlns:ds="http://schemas.openxmlformats.org/officeDocument/2006/customXml" ds:itemID="{ED0407B5-8E04-417C-8943-086301F84DE4}">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7A1504BC-827C-46C2-B6D1-0528EC459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11</cp:revision>
  <dcterms:created xsi:type="dcterms:W3CDTF">2021-08-12T17:47:00Z</dcterms:created>
  <dcterms:modified xsi:type="dcterms:W3CDTF">2021-09-12T08:22:00Z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