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15"/>
        <w:gridCol w:w="945"/>
        <w:gridCol w:w="1260"/>
        <w:gridCol w:w="6368"/>
      </w:tblGrid>
      <w:tr w:rsidR="42ABA9AD" w:rsidTr="4A67E97C" w14:paraId="039EB1AB">
        <w:trPr>
          <w:trHeight w:val="708"/>
        </w:trPr>
        <w:tc>
          <w:tcPr>
            <w:tcW w:w="915" w:type="dxa"/>
            <w:shd w:val="clear" w:color="auto" w:fill="auto"/>
            <w:tcMar/>
          </w:tcPr>
          <w:p w:rsidR="4BAE3EA1" w:rsidP="42ABA9AD" w:rsidRDefault="4BAE3EA1" w14:paraId="55CAAE20" w14:textId="544F6579">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2ABA9AD" w:rsidR="4BAE3EA1">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p w:rsidR="42ABA9AD" w:rsidP="42ABA9AD" w:rsidRDefault="42ABA9AD" w14:paraId="67074C15" w14:textId="2E811EBD">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4BAE3EA1" w:rsidP="42ABA9AD" w:rsidRDefault="4BAE3EA1" w14:paraId="768F7A7F" w14:textId="216A5BDC">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2ABA9AD" w:rsidR="4BAE3EA1">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tc>
        <w:tc>
          <w:tcPr>
            <w:tcW w:w="1260" w:type="dxa"/>
            <w:shd w:val="clear" w:color="auto" w:fill="auto"/>
            <w:tcMar/>
            <w:hideMark/>
          </w:tcPr>
          <w:p w:rsidR="4BAE3EA1" w:rsidP="4A67E97C" w:rsidRDefault="4BAE3EA1" w14:paraId="031A9ED5" w14:textId="20FEA271">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67E97C" w:rsidR="4BAE3EA1">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p w:rsidR="42ABA9AD" w:rsidP="4A67E97C" w:rsidRDefault="42ABA9AD" w14:paraId="72AE9A77" w14:textId="1B16B902">
            <w:pPr>
              <w:pStyle w:val="Standard"/>
              <w:spacing w:line="240" w:lineRule="auto"/>
              <w:rPr>
                <w:rFonts w:ascii="Calibri" w:hAnsi="Calibri" w:eastAsia="Times New Roman" w:cs="Calibri"/>
                <w:b w:val="0"/>
                <w:bCs w:val="0"/>
                <w:color w:val="000000" w:themeColor="text1" w:themeTint="FF" w:themeShade="FF"/>
                <w:sz w:val="20"/>
                <w:szCs w:val="20"/>
              </w:rPr>
            </w:pPr>
          </w:p>
        </w:tc>
        <w:tc>
          <w:tcPr>
            <w:tcW w:w="6368" w:type="dxa"/>
            <w:shd w:val="clear" w:color="auto" w:fill="auto"/>
            <w:tcMar/>
            <w:hideMark/>
          </w:tcPr>
          <w:p w:rsidR="4BAE3EA1" w:rsidP="42ABA9AD" w:rsidRDefault="4BAE3EA1" w14:paraId="18532A25" w14:textId="4F49080B">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2ABA9AD" w:rsidR="4BAE3EA1">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42ABA9AD" w:rsidP="42ABA9AD" w:rsidRDefault="42ABA9AD" w14:paraId="0F3DB925" w14:textId="7FC37BC1">
            <w:pPr>
              <w:pStyle w:val="Standard"/>
              <w:spacing w:line="240" w:lineRule="auto"/>
              <w:rPr>
                <w:rFonts w:ascii="Calibri" w:hAnsi="Calibri" w:eastAsia="Times New Roman" w:cs="Calibri"/>
                <w:color w:val="000000" w:themeColor="text1" w:themeTint="FF" w:themeShade="FF"/>
                <w:sz w:val="20"/>
                <w:szCs w:val="20"/>
              </w:rPr>
            </w:pPr>
          </w:p>
        </w:tc>
      </w:tr>
      <w:tr w:rsidRPr="00083210" w:rsidR="00083210" w:rsidTr="4A67E97C" w14:paraId="313D0029" w14:textId="77777777">
        <w:trPr>
          <w:trHeight w:val="708"/>
        </w:trPr>
        <w:tc>
          <w:tcPr>
            <w:tcW w:w="915" w:type="dxa"/>
            <w:shd w:val="clear" w:color="auto" w:fill="auto"/>
            <w:tcMar/>
          </w:tcPr>
          <w:p w:rsidR="51E2EF94" w:rsidP="7E180CBE" w:rsidRDefault="51E2EF94" w14:paraId="2225BCDF" w14:textId="25F22FB6">
            <w:pPr>
              <w:pStyle w:val="Standard"/>
              <w:spacing w:line="240" w:lineRule="auto"/>
              <w:rPr>
                <w:rFonts w:ascii="Calibri" w:hAnsi="Calibri" w:eastAsia="Times New Roman" w:cs="Calibri"/>
                <w:color w:val="000000" w:themeColor="text1" w:themeTint="FF" w:themeShade="FF"/>
                <w:sz w:val="20"/>
                <w:szCs w:val="20"/>
              </w:rPr>
            </w:pPr>
            <w:r w:rsidRPr="42ABA9AD" w:rsidR="382E6D92">
              <w:rPr>
                <w:rFonts w:ascii="Calibri" w:hAnsi="Calibri" w:eastAsia="Times New Roman" w:cs="Calibri"/>
                <w:color w:val="000000" w:themeColor="text1" w:themeTint="FF" w:themeShade="FF"/>
                <w:sz w:val="20"/>
                <w:szCs w:val="20"/>
              </w:rPr>
              <w:t>III.5</w:t>
            </w:r>
          </w:p>
        </w:tc>
        <w:tc>
          <w:tcPr>
            <w:tcW w:w="945" w:type="dxa"/>
            <w:shd w:val="clear" w:color="auto" w:fill="auto"/>
            <w:tcMar/>
          </w:tcPr>
          <w:p w:rsidR="51E2EF94" w:rsidP="7E180CBE" w:rsidRDefault="51E2EF94" w14:paraId="24F7F507" w14:textId="437B766D">
            <w:pPr>
              <w:pStyle w:val="Standard"/>
              <w:spacing w:line="240" w:lineRule="auto"/>
              <w:rPr>
                <w:rFonts w:ascii="Calibri" w:hAnsi="Calibri" w:eastAsia="Times New Roman" w:cs="Calibri"/>
                <w:color w:val="000000" w:themeColor="text1" w:themeTint="FF" w:themeShade="FF"/>
                <w:sz w:val="20"/>
                <w:szCs w:val="20"/>
              </w:rPr>
            </w:pPr>
            <w:r w:rsidRPr="7E180CBE" w:rsidR="51E2EF94">
              <w:rPr>
                <w:rFonts w:ascii="Calibri" w:hAnsi="Calibri" w:eastAsia="Times New Roman" w:cs="Calibri"/>
                <w:color w:val="000000" w:themeColor="text1" w:themeTint="FF" w:themeShade="FF"/>
                <w:sz w:val="20"/>
                <w:szCs w:val="20"/>
              </w:rPr>
              <w:t>1</w:t>
            </w:r>
          </w:p>
        </w:tc>
        <w:tc>
          <w:tcPr>
            <w:tcW w:w="1260" w:type="dxa"/>
            <w:shd w:val="clear" w:color="auto" w:fill="auto"/>
            <w:tcMar/>
            <w:hideMark/>
            <w:tcPrChange w:author="Madita S." w:date="2021-08-02T16:04:00Z" w:id="3">
              <w:tcPr>
                <w:tcW w:w="1555" w:type="dxa"/>
                <w:shd w:val="clear" w:color="auto" w:fill="auto"/>
                <w:hideMark/>
              </w:tcPr>
            </w:tcPrChange>
          </w:tcPr>
          <w:p w:rsidRPr="00083210" w:rsidR="00083210" w:rsidP="4A67E97C" w:rsidRDefault="00083210" w14:paraId="1E4D82BF"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Contact point in international agency</w:t>
            </w:r>
          </w:p>
        </w:tc>
        <w:tc>
          <w:tcPr>
            <w:tcW w:w="6368" w:type="dxa"/>
            <w:shd w:val="clear" w:color="auto" w:fill="auto"/>
            <w:tcMar/>
            <w:hideMark/>
            <w:tcPrChange w:author="Madita S." w:date="2021-08-02T16:04:00Z" w:id="6">
              <w:tcPr>
                <w:tcW w:w="7229" w:type="dxa"/>
                <w:shd w:val="clear" w:color="auto" w:fill="auto"/>
                <w:tcMar/>
                <w:hideMark/>
              </w:tcPr>
            </w:tcPrChange>
          </w:tcPr>
          <w:p w:rsidRPr="00083210" w:rsidR="00083210" w:rsidP="42ABA9AD" w:rsidRDefault="00083210" w14:paraId="394D9065" w14:textId="28580B74">
            <w:pPr>
              <w:pStyle w:val="Heading5"/>
              <w:spacing w:before="0" w:beforeAutospacing="off"/>
              <w:rPr>
                <w:rFonts w:ascii="Calibri" w:hAnsi="Calibri" w:eastAsia="Times New Roman" w:cs="Calibri"/>
                <w:noProof w:val="0"/>
                <w:color w:val="000000" w:themeColor="text1" w:themeTint="FF" w:themeShade="FF"/>
                <w:sz w:val="20"/>
                <w:szCs w:val="20"/>
                <w:lang w:val="en-US"/>
              </w:rPr>
            </w:pPr>
            <w:r w:rsidRPr="42ABA9AD" w:rsidR="340F4421">
              <w:rPr>
                <w:rFonts w:ascii="Calibri" w:hAnsi="Calibri" w:eastAsia="Times New Roman" w:cs="Calibri"/>
                <w:noProof w:val="0"/>
                <w:color w:val="000000" w:themeColor="text1" w:themeTint="FF" w:themeShade="FF"/>
                <w:sz w:val="20"/>
                <w:szCs w:val="20"/>
                <w:lang w:val="en-US"/>
              </w:rPr>
              <w:t>Liliana Carvajal</w:t>
            </w:r>
          </w:p>
          <w:p w:rsidRPr="00083210" w:rsidR="00083210" w:rsidP="42ABA9AD" w:rsidRDefault="00083210" w14:paraId="1E012928" w14:textId="18CD816D">
            <w:pPr>
              <w:pStyle w:val="Heading5"/>
              <w:spacing w:before="0" w:beforeAutospacing="off"/>
              <w:rPr>
                <w:rFonts w:ascii="Calibri" w:hAnsi="Calibri" w:eastAsia="Times New Roman" w:cs="Calibri"/>
                <w:noProof w:val="0"/>
                <w:color w:val="000000" w:themeColor="text1" w:themeTint="FF" w:themeShade="FF"/>
                <w:sz w:val="20"/>
                <w:szCs w:val="20"/>
                <w:lang w:val="en-US"/>
              </w:rPr>
            </w:pPr>
            <w:r w:rsidRPr="42ABA9AD" w:rsidR="340F4421">
              <w:rPr>
                <w:rFonts w:ascii="Calibri" w:hAnsi="Calibri" w:eastAsia="Times New Roman" w:cs="Calibri"/>
                <w:noProof w:val="0"/>
                <w:color w:val="000000" w:themeColor="text1" w:themeTint="FF" w:themeShade="FF"/>
                <w:sz w:val="20"/>
                <w:szCs w:val="20"/>
                <w:lang w:val="en-US"/>
              </w:rPr>
              <w:t>Statistics Specialist</w:t>
            </w:r>
          </w:p>
          <w:p w:rsidRPr="00083210" w:rsidR="00083210" w:rsidP="42ABA9AD" w:rsidRDefault="00083210" w14:paraId="0125BBA1" w14:textId="2527BB00">
            <w:pPr>
              <w:pStyle w:val="Standard"/>
              <w:spacing w:before="0" w:beforeAutospacing="off"/>
              <w:rPr>
                <w:rFonts w:ascii="Calibri" w:hAnsi="Calibri" w:eastAsia="Times New Roman" w:cs="Calibri"/>
                <w:noProof w:val="0"/>
                <w:color w:val="000000" w:themeColor="text1" w:themeTint="FF" w:themeShade="FF"/>
                <w:sz w:val="20"/>
                <w:szCs w:val="20"/>
                <w:lang w:val="en-US"/>
              </w:rPr>
            </w:pPr>
            <w:r w:rsidRPr="42ABA9AD" w:rsidR="340F4421">
              <w:rPr>
                <w:rFonts w:ascii="Calibri" w:hAnsi="Calibri" w:eastAsia="Times New Roman" w:cs="Calibri"/>
                <w:noProof w:val="0"/>
                <w:color w:val="000000" w:themeColor="text1" w:themeTint="FF" w:themeShade="FF"/>
                <w:sz w:val="20"/>
                <w:szCs w:val="20"/>
                <w:lang w:val="en-US"/>
              </w:rPr>
              <w:t>UNICEF</w:t>
            </w:r>
          </w:p>
          <w:p w:rsidRPr="00083210" w:rsidR="00083210" w:rsidP="0BD90799" w:rsidRDefault="00083210" w14:paraId="21463FEA" w14:textId="3055B822">
            <w:pPr>
              <w:pStyle w:val="Standard"/>
              <w:spacing w:before="0" w:beforeAutospacing="off"/>
              <w:rPr>
                <w:rFonts w:ascii="Calibri" w:hAnsi="Calibri" w:eastAsia="Times New Roman" w:cs="Calibri"/>
                <w:noProof w:val="0"/>
                <w:color w:val="000000" w:themeColor="text1" w:themeTint="FF" w:themeShade="FF"/>
                <w:sz w:val="20"/>
                <w:szCs w:val="20"/>
                <w:lang w:val="en-US"/>
              </w:rPr>
            </w:pPr>
            <w:r w:rsidRPr="0BD90799" w:rsidR="128EAB0E">
              <w:rPr>
                <w:rFonts w:ascii="Calibri" w:hAnsi="Calibri" w:eastAsia="Times New Roman" w:cs="Calibri"/>
                <w:noProof w:val="0"/>
                <w:color w:val="000000" w:themeColor="text1" w:themeTint="FF" w:themeShade="FF"/>
                <w:sz w:val="20"/>
                <w:szCs w:val="20"/>
                <w:lang w:val="en-US"/>
              </w:rPr>
              <w:t>[</w:t>
            </w:r>
            <w:hyperlink r:id="R71609d4f4e63400b">
              <w:r w:rsidRPr="0BD90799" w:rsidR="340F4421">
                <w:rPr>
                  <w:rFonts w:ascii="Calibri" w:hAnsi="Calibri" w:eastAsia="Times New Roman" w:cs="Calibri"/>
                  <w:noProof w:val="0"/>
                  <w:color w:val="000000" w:themeColor="text1" w:themeTint="FF" w:themeShade="FF"/>
                  <w:sz w:val="20"/>
                  <w:szCs w:val="20"/>
                  <w:lang w:val="en-US"/>
                </w:rPr>
                <w:t>lcarvajal@unicef.org</w:t>
              </w:r>
              <w:r w:rsidRPr="0BD90799" w:rsidR="14A2A3FC">
                <w:rPr>
                  <w:rFonts w:ascii="Calibri" w:hAnsi="Calibri" w:eastAsia="Times New Roman" w:cs="Calibri"/>
                  <w:noProof w:val="0"/>
                  <w:color w:val="000000" w:themeColor="text1" w:themeTint="FF" w:themeShade="FF"/>
                  <w:sz w:val="20"/>
                  <w:szCs w:val="20"/>
                  <w:lang w:val="en-US"/>
                </w:rPr>
                <w:t>](mailto:</w:t>
              </w:r>
            </w:hyperlink>
            <w:hyperlink r:id="Rb9ee751b2c574b00">
              <w:r w:rsidRPr="0BD90799" w:rsidR="14A2A3FC">
                <w:rPr>
                  <w:rFonts w:ascii="Calibri" w:hAnsi="Calibri" w:eastAsia="Times New Roman" w:cs="Calibri"/>
                  <w:noProof w:val="0"/>
                  <w:color w:val="000000" w:themeColor="text1" w:themeTint="FF" w:themeShade="FF"/>
                  <w:sz w:val="20"/>
                  <w:szCs w:val="20"/>
                  <w:lang w:val="en-US"/>
                </w:rPr>
                <w:t>lcarvajal@unicef.org)</w:t>
              </w:r>
            </w:hyperlink>
          </w:p>
          <w:p w:rsidRPr="00083210" w:rsidR="00083210" w:rsidP="0BD90799" w:rsidRDefault="00083210" w14:paraId="1C605033" w14:textId="24087659">
            <w:pPr>
              <w:pStyle w:val="Standard"/>
              <w:spacing w:before="0" w:beforeAutospacing="off"/>
              <w:rPr>
                <w:rFonts w:ascii="Calibri" w:hAnsi="Calibri" w:eastAsia="Times New Roman" w:cs="Calibri"/>
                <w:noProof w:val="0"/>
                <w:color w:val="000000" w:themeColor="text1" w:themeTint="FF" w:themeShade="FF"/>
                <w:sz w:val="20"/>
                <w:szCs w:val="20"/>
                <w:lang w:val="en-US"/>
              </w:rPr>
            </w:pPr>
            <w:r w:rsidRPr="0BD90799" w:rsidR="14A2A3FC">
              <w:rPr>
                <w:rFonts w:ascii="Calibri" w:hAnsi="Calibri" w:eastAsia="Times New Roman" w:cs="Calibri"/>
                <w:noProof w:val="0"/>
                <w:color w:val="000000" w:themeColor="text1" w:themeTint="FF" w:themeShade="FF"/>
                <w:sz w:val="20"/>
                <w:szCs w:val="20"/>
                <w:lang w:val="en-US"/>
              </w:rPr>
              <w:t>[</w:t>
            </w:r>
            <w:hyperlink r:id="Rf8a415ddb17c4978">
              <w:r w:rsidRPr="0BD90799" w:rsidR="340F4421">
                <w:rPr>
                  <w:rFonts w:ascii="Calibri" w:hAnsi="Calibri" w:eastAsia="Times New Roman" w:cs="Calibri"/>
                  <w:noProof w:val="0"/>
                  <w:color w:val="000000" w:themeColor="text1" w:themeTint="FF" w:themeShade="FF"/>
                  <w:sz w:val="20"/>
                  <w:szCs w:val="20"/>
                  <w:lang w:val="en-US"/>
                </w:rPr>
                <w:t>data.unicef.org</w:t>
              </w:r>
              <w:r w:rsidRPr="0BD90799" w:rsidR="0F294710">
                <w:rPr>
                  <w:rFonts w:ascii="Calibri" w:hAnsi="Calibri" w:eastAsia="Times New Roman" w:cs="Calibri"/>
                  <w:noProof w:val="0"/>
                  <w:color w:val="000000" w:themeColor="text1" w:themeTint="FF" w:themeShade="FF"/>
                  <w:sz w:val="20"/>
                  <w:szCs w:val="20"/>
                  <w:lang w:val="en-US"/>
                </w:rPr>
                <w:t>](</w:t>
              </w:r>
            </w:hyperlink>
            <w:hyperlink r:id="Rfdc816fdc4424496">
              <w:r w:rsidRPr="0BD90799" w:rsidR="0F294710">
                <w:rPr>
                  <w:rFonts w:ascii="Calibri" w:hAnsi="Calibri" w:eastAsia="Times New Roman" w:cs="Calibri"/>
                  <w:noProof w:val="0"/>
                  <w:color w:val="000000" w:themeColor="text1" w:themeTint="FF" w:themeShade="FF"/>
                  <w:sz w:val="20"/>
                  <w:szCs w:val="20"/>
                  <w:lang w:val="en-US"/>
                </w:rPr>
                <w:t>data.unicef.org)</w:t>
              </w:r>
            </w:hyperlink>
          </w:p>
          <w:p w:rsidRPr="00083210" w:rsidR="00083210" w:rsidP="42ABA9AD" w:rsidRDefault="00083210" w14:paraId="6511F123" w14:textId="01319072">
            <w:pPr>
              <w:pStyle w:val="Heading5"/>
              <w:spacing w:before="0" w:beforeAutospacing="off" w:after="0" w:line="240" w:lineRule="auto"/>
              <w:rPr>
                <w:rFonts w:ascii="Calibri" w:hAnsi="Calibri" w:eastAsia="Times New Roman" w:cs="Calibri"/>
                <w:noProof w:val="0"/>
                <w:color w:val="000000" w:themeColor="text1" w:themeTint="FF" w:themeShade="FF"/>
                <w:sz w:val="20"/>
                <w:szCs w:val="20"/>
                <w:lang w:val="en-US"/>
              </w:rPr>
            </w:pPr>
            <w:r>
              <w:br/>
            </w:r>
            <w:r w:rsidRPr="42ABA9AD" w:rsidR="340F4421">
              <w:rPr>
                <w:rFonts w:ascii="Calibri" w:hAnsi="Calibri" w:eastAsia="Times New Roman" w:cs="Calibri"/>
                <w:noProof w:val="0"/>
                <w:color w:val="000000" w:themeColor="text1" w:themeTint="FF" w:themeShade="FF"/>
                <w:sz w:val="20"/>
                <w:szCs w:val="20"/>
                <w:lang w:val="en-US"/>
              </w:rPr>
              <w:t>Lale Say</w:t>
            </w:r>
          </w:p>
          <w:p w:rsidRPr="00083210" w:rsidR="00083210" w:rsidP="42ABA9AD" w:rsidRDefault="00083210" w14:paraId="2E71697D" w14:textId="635228AF">
            <w:pPr>
              <w:pStyle w:val="Heading5"/>
              <w:spacing w:before="0" w:beforeAutospacing="off"/>
              <w:rPr>
                <w:rFonts w:ascii="Calibri" w:hAnsi="Calibri" w:eastAsia="Times New Roman" w:cs="Calibri"/>
                <w:noProof w:val="0"/>
                <w:color w:val="000000" w:themeColor="text1" w:themeTint="FF" w:themeShade="FF"/>
                <w:sz w:val="20"/>
                <w:szCs w:val="20"/>
                <w:lang w:val="en-US"/>
              </w:rPr>
            </w:pPr>
            <w:r w:rsidRPr="42ABA9AD" w:rsidR="340F4421">
              <w:rPr>
                <w:rFonts w:ascii="Calibri" w:hAnsi="Calibri" w:eastAsia="Times New Roman" w:cs="Calibri"/>
                <w:noProof w:val="0"/>
                <w:color w:val="000000" w:themeColor="text1" w:themeTint="FF" w:themeShade="FF"/>
                <w:sz w:val="20"/>
                <w:szCs w:val="20"/>
                <w:lang w:val="en-US"/>
              </w:rPr>
              <w:t>Head, SRH Integration in Health Systems (SHS)</w:t>
            </w:r>
          </w:p>
          <w:p w:rsidRPr="00083210" w:rsidR="00083210" w:rsidP="42ABA9AD" w:rsidRDefault="00083210" w14:paraId="55AB53F5" w14:textId="139987BE">
            <w:pPr>
              <w:pStyle w:val="Heading5"/>
              <w:spacing w:before="0" w:beforeAutospacing="off"/>
              <w:rPr>
                <w:rFonts w:ascii="Calibri" w:hAnsi="Calibri" w:eastAsia="Times New Roman" w:cs="Calibri"/>
                <w:noProof w:val="0"/>
                <w:color w:val="000000" w:themeColor="text1" w:themeTint="FF" w:themeShade="FF"/>
                <w:sz w:val="20"/>
                <w:szCs w:val="20"/>
                <w:lang w:val="en-US"/>
              </w:rPr>
            </w:pPr>
            <w:r w:rsidRPr="42ABA9AD" w:rsidR="340F4421">
              <w:rPr>
                <w:rFonts w:ascii="Calibri" w:hAnsi="Calibri" w:eastAsia="Times New Roman" w:cs="Calibri"/>
                <w:noProof w:val="0"/>
                <w:color w:val="000000" w:themeColor="text1" w:themeTint="FF" w:themeShade="FF"/>
                <w:sz w:val="20"/>
                <w:szCs w:val="20"/>
                <w:lang w:val="en-US"/>
              </w:rPr>
              <w:t>WHO</w:t>
            </w:r>
          </w:p>
          <w:p w:rsidRPr="00083210" w:rsidR="00083210" w:rsidP="0BD90799" w:rsidRDefault="00083210" w14:paraId="62B5640D" w14:textId="42F66310">
            <w:pPr>
              <w:pStyle w:val="Standard"/>
              <w:spacing w:before="0" w:beforeAutospacing="off"/>
              <w:rPr>
                <w:rFonts w:ascii="Calibri" w:hAnsi="Calibri" w:eastAsia="Times New Roman" w:cs="Calibri"/>
                <w:noProof w:val="0"/>
                <w:color w:val="000000" w:themeColor="text1" w:themeTint="FF" w:themeShade="FF"/>
                <w:sz w:val="20"/>
                <w:szCs w:val="20"/>
                <w:lang w:val="en-US"/>
              </w:rPr>
            </w:pPr>
            <w:r w:rsidRPr="0BD90799" w:rsidR="741A517F">
              <w:rPr>
                <w:rFonts w:ascii="Calibri" w:hAnsi="Calibri" w:eastAsia="Times New Roman" w:cs="Calibri"/>
                <w:noProof w:val="0"/>
                <w:color w:val="000000" w:themeColor="text1" w:themeTint="FF" w:themeShade="FF"/>
                <w:sz w:val="20"/>
                <w:szCs w:val="20"/>
                <w:lang w:val="en-US"/>
              </w:rPr>
              <w:t>[</w:t>
            </w:r>
            <w:hyperlink r:id="R535b02d281e64f40">
              <w:r w:rsidRPr="0BD90799" w:rsidR="340F4421">
                <w:rPr>
                  <w:rFonts w:ascii="Calibri" w:hAnsi="Calibri" w:eastAsia="Times New Roman" w:cs="Calibri"/>
                  <w:noProof w:val="0"/>
                  <w:color w:val="000000" w:themeColor="text1" w:themeTint="FF" w:themeShade="FF"/>
                  <w:sz w:val="20"/>
                  <w:szCs w:val="20"/>
                  <w:lang w:val="en-US"/>
                </w:rPr>
                <w:t>sayl@who.int</w:t>
              </w:r>
              <w:r w:rsidRPr="0BD90799" w:rsidR="3EDDB9D4">
                <w:rPr>
                  <w:rFonts w:ascii="Calibri" w:hAnsi="Calibri" w:eastAsia="Times New Roman" w:cs="Calibri"/>
                  <w:noProof w:val="0"/>
                  <w:color w:val="000000" w:themeColor="text1" w:themeTint="FF" w:themeShade="FF"/>
                  <w:sz w:val="20"/>
                  <w:szCs w:val="20"/>
                  <w:lang w:val="en-US"/>
                </w:rPr>
                <w:t>](mailto:</w:t>
              </w:r>
            </w:hyperlink>
            <w:hyperlink r:id="Rd3ed9e8bbc704418">
              <w:r w:rsidRPr="0BD90799" w:rsidR="3EDDB9D4">
                <w:rPr>
                  <w:rFonts w:ascii="Calibri" w:hAnsi="Calibri" w:eastAsia="Times New Roman" w:cs="Calibri"/>
                  <w:noProof w:val="0"/>
                  <w:color w:val="000000" w:themeColor="text1" w:themeTint="FF" w:themeShade="FF"/>
                  <w:sz w:val="20"/>
                  <w:szCs w:val="20"/>
                  <w:lang w:val="en-US"/>
                </w:rPr>
                <w:t>sayl@who.int)</w:t>
              </w:r>
            </w:hyperlink>
          </w:p>
          <w:p w:rsidRPr="00083210" w:rsidR="00083210" w:rsidP="0BD90799" w:rsidRDefault="00083210" w14:paraId="57AACFEA" w14:textId="2864CE7C">
            <w:pPr>
              <w:pStyle w:val="Standard"/>
              <w:spacing w:before="0" w:beforeAutospacing="off" w:after="0" w:line="240" w:lineRule="auto"/>
              <w:rPr>
                <w:rFonts w:ascii="Calibri" w:hAnsi="Calibri" w:eastAsia="Times New Roman" w:cs="Calibri"/>
                <w:sz w:val="20"/>
                <w:szCs w:val="20"/>
              </w:rPr>
            </w:pPr>
            <w:r w:rsidRPr="0BD90799" w:rsidR="3EDDB9D4">
              <w:rPr>
                <w:rFonts w:ascii="Calibri" w:hAnsi="Calibri" w:eastAsia="Times New Roman" w:cs="Calibri"/>
                <w:sz w:val="20"/>
                <w:szCs w:val="20"/>
              </w:rPr>
              <w:t>[</w:t>
            </w:r>
            <w:hyperlink>
              <w:r w:rsidRPr="0BD90799" w:rsidR="6E01BF69">
                <w:rPr>
                  <w:rStyle w:val="Hyperlink"/>
                  <w:rFonts w:ascii="Calibri" w:hAnsi="Calibri" w:eastAsia="Times New Roman" w:cs="Calibri"/>
                  <w:sz w:val="20"/>
                  <w:szCs w:val="20"/>
                </w:rPr>
                <w:t>https://www.who.int</w:t>
              </w:r>
              <w:r w:rsidRPr="0BD90799" w:rsidR="490293FB">
                <w:rPr>
                  <w:rStyle w:val="Hyperlink"/>
                  <w:rFonts w:ascii="Calibri" w:hAnsi="Calibri" w:eastAsia="Times New Roman" w:cs="Calibri"/>
                  <w:sz w:val="20"/>
                  <w:szCs w:val="20"/>
                </w:rPr>
                <w:t>](</w:t>
              </w:r>
            </w:hyperlink>
            <w:hyperlink>
              <w:r w:rsidRPr="0BD90799" w:rsidR="490293FB">
                <w:rPr>
                  <w:rStyle w:val="Hyperlink"/>
                  <w:rFonts w:ascii="Calibri" w:hAnsi="Calibri" w:eastAsia="Times New Roman" w:cs="Calibri"/>
                  <w:sz w:val="20"/>
                  <w:szCs w:val="20"/>
                </w:rPr>
                <w:t>https://www.who.int)</w:t>
              </w:r>
            </w:hyperlink>
          </w:p>
          <w:p w:rsidRPr="00083210" w:rsidR="00083210" w:rsidP="0BD90799" w:rsidRDefault="00083210" w14:paraId="1E9DAD3C" w14:textId="60D39134">
            <w:pPr>
              <w:pStyle w:val="Standard"/>
              <w:spacing w:before="0" w:beforeAutospacing="off" w:after="0" w:line="240" w:lineRule="auto"/>
              <w:rPr>
                <w:rFonts w:ascii="Calibri" w:hAnsi="Calibri" w:eastAsia="Times New Roman" w:cs="Calibri"/>
                <w:sz w:val="20"/>
                <w:szCs w:val="20"/>
              </w:rPr>
            </w:pPr>
          </w:p>
        </w:tc>
      </w:tr>
      <w:tr w:rsidRPr="00083210" w:rsidR="00083210" w:rsidTr="4A67E97C" w14:paraId="0CB66C6A" w14:textId="77777777">
        <w:trPr>
          <w:trHeight w:val="70"/>
        </w:trPr>
        <w:tc>
          <w:tcPr>
            <w:tcW w:w="915" w:type="dxa"/>
            <w:shd w:val="clear" w:color="auto" w:fill="auto"/>
            <w:tcMar/>
          </w:tcPr>
          <w:p w:rsidR="7E180CBE" w:rsidP="42ABA9AD" w:rsidRDefault="7E180CBE" w14:paraId="21F1763F" w14:textId="25F22FB6">
            <w:pPr>
              <w:pStyle w:val="Standard"/>
              <w:spacing w:line="240" w:lineRule="auto"/>
              <w:rPr>
                <w:rFonts w:ascii="Calibri" w:hAnsi="Calibri" w:eastAsia="Times New Roman" w:cs="Calibri"/>
                <w:color w:val="000000" w:themeColor="text1" w:themeTint="FF" w:themeShade="FF"/>
                <w:sz w:val="20"/>
                <w:szCs w:val="20"/>
              </w:rPr>
            </w:pPr>
            <w:r w:rsidRPr="42ABA9AD" w:rsidR="118FD558">
              <w:rPr>
                <w:rFonts w:ascii="Calibri" w:hAnsi="Calibri" w:eastAsia="Times New Roman" w:cs="Calibri"/>
                <w:color w:val="000000" w:themeColor="text1" w:themeTint="FF" w:themeShade="FF"/>
                <w:sz w:val="20"/>
                <w:szCs w:val="20"/>
              </w:rPr>
              <w:t>III.5</w:t>
            </w:r>
          </w:p>
          <w:p w:rsidR="7E180CBE" w:rsidP="7E180CBE" w:rsidRDefault="7E180CBE" w14:paraId="74DE6B4C" w14:textId="7940D86E">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2DFAFA6E" w:rsidP="7E180CBE" w:rsidRDefault="2DFAFA6E" w14:paraId="3A89F62E" w14:textId="6A5D42AA">
            <w:pPr>
              <w:pStyle w:val="Standard"/>
              <w:spacing w:line="240" w:lineRule="auto"/>
              <w:rPr>
                <w:rFonts w:ascii="Calibri" w:hAnsi="Calibri" w:eastAsia="Times New Roman" w:cs="Calibri"/>
                <w:color w:val="000000" w:themeColor="text1" w:themeTint="FF" w:themeShade="FF"/>
                <w:sz w:val="20"/>
                <w:szCs w:val="20"/>
              </w:rPr>
            </w:pPr>
            <w:r w:rsidRPr="7E180CBE" w:rsidR="2DFAFA6E">
              <w:rPr>
                <w:rFonts w:ascii="Calibri" w:hAnsi="Calibri" w:eastAsia="Times New Roman" w:cs="Calibri"/>
                <w:color w:val="000000" w:themeColor="text1" w:themeTint="FF" w:themeShade="FF"/>
                <w:sz w:val="20"/>
                <w:szCs w:val="20"/>
              </w:rPr>
              <w:t>2</w:t>
            </w:r>
          </w:p>
        </w:tc>
        <w:tc>
          <w:tcPr>
            <w:tcW w:w="1260" w:type="dxa"/>
            <w:shd w:val="clear" w:color="auto" w:fill="auto"/>
            <w:tcMar/>
            <w:hideMark/>
            <w:tcPrChange w:author="Madita S." w:date="2021-08-02T16:04:00Z" w:id="45">
              <w:tcPr>
                <w:tcW w:w="1555" w:type="dxa"/>
                <w:shd w:val="clear" w:color="auto" w:fill="auto"/>
                <w:hideMark/>
              </w:tcPr>
            </w:tcPrChange>
          </w:tcPr>
          <w:p w:rsidRPr="00083210" w:rsidR="00083210" w:rsidP="4A67E97C" w:rsidRDefault="00083210" w14:paraId="297E9CB4"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International agreed definition</w:t>
            </w:r>
          </w:p>
        </w:tc>
        <w:tc>
          <w:tcPr>
            <w:tcW w:w="6368" w:type="dxa"/>
            <w:shd w:val="clear" w:color="auto" w:fill="auto"/>
            <w:tcMar/>
            <w:hideMark/>
            <w:tcPrChange w:author="Madita S." w:date="2021-08-02T16:04:00Z" w:id="48">
              <w:tcPr>
                <w:tcW w:w="7229" w:type="dxa"/>
                <w:shd w:val="clear" w:color="auto" w:fill="auto"/>
                <w:tcMar/>
                <w:hideMark/>
              </w:tcPr>
            </w:tcPrChange>
          </w:tcPr>
          <w:p w:rsidRPr="00083210" w:rsidR="00083210" w:rsidP="0BD90799" w:rsidRDefault="00083210" w14:paraId="68A7552E" w14:textId="075CA4D2">
            <w:pPr>
              <w:spacing w:after="0" w:line="240" w:lineRule="auto"/>
              <w:rPr>
                <w:rFonts w:ascii="Calibri" w:hAnsi="Calibri" w:eastAsia="Times New Roman" w:cs="Calibri"/>
                <w:color w:val="000000" w:themeColor="text1" w:themeTint="FF" w:themeShade="FF"/>
                <w:sz w:val="20"/>
                <w:szCs w:val="20"/>
              </w:rPr>
            </w:pPr>
            <w:r w:rsidRPr="0BD90799" w:rsidR="4723C972">
              <w:rPr>
                <w:rFonts w:ascii="Calibri" w:hAnsi="Calibri" w:eastAsia="Times New Roman" w:cs="Calibri"/>
                <w:b w:val="0"/>
                <w:bCs w:val="0"/>
                <w:color w:val="000000" w:themeColor="text1" w:themeTint="FF" w:themeShade="FF"/>
                <w:sz w:val="20"/>
                <w:szCs w:val="20"/>
              </w:rPr>
              <w:t>**</w:t>
            </w:r>
            <w:r w:rsidRPr="0BD90799" w:rsidR="00083210">
              <w:rPr>
                <w:rFonts w:ascii="Calibri" w:hAnsi="Calibri" w:eastAsia="Times New Roman" w:cs="Calibri"/>
                <w:b w:val="0"/>
                <w:bCs w:val="0"/>
                <w:color w:val="000000" w:themeColor="text1" w:themeTint="FF" w:themeShade="FF"/>
                <w:sz w:val="20"/>
                <w:szCs w:val="20"/>
              </w:rPr>
              <w:t>Definition</w:t>
            </w:r>
            <w:r w:rsidRPr="0BD90799" w:rsidR="2BCB0315">
              <w:rPr>
                <w:rFonts w:ascii="Calibri" w:hAnsi="Calibri" w:eastAsia="Times New Roman" w:cs="Calibri"/>
                <w:b w:val="0"/>
                <w:bCs w:val="0"/>
                <w:color w:val="000000" w:themeColor="text1" w:themeTint="FF" w:themeShade="FF"/>
                <w:sz w:val="20"/>
                <w:szCs w:val="20"/>
              </w:rPr>
              <w:t>**</w:t>
            </w:r>
            <w:r>
              <w:br/>
            </w:r>
            <w:r w:rsidRPr="0BD90799" w:rsidR="00083210">
              <w:rPr>
                <w:rFonts w:ascii="Calibri" w:hAnsi="Calibri" w:eastAsia="Times New Roman" w:cs="Calibri"/>
                <w:color w:val="000000" w:themeColor="text1" w:themeTint="FF" w:themeShade="FF"/>
                <w:sz w:val="20"/>
                <w:szCs w:val="20"/>
              </w:rPr>
              <w:t xml:space="preserve">Proportion of births attended by skilled health personnel </w:t>
            </w:r>
            <w:proofErr w:type="gramStart"/>
            <w:r w:rsidRPr="0BD90799" w:rsidR="55DF84C1">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proofErr w:type="gramEnd"/>
            <w:r w:rsidRPr="0BD90799" w:rsidR="00083210">
              <w:rPr>
                <w:rFonts w:ascii="Calibri" w:hAnsi="Calibri" w:eastAsia="Times New Roman" w:cs="Calibri"/>
                <w:color w:val="000000" w:themeColor="text1" w:themeTint="FF" w:themeShade="FF"/>
                <w:sz w:val="20"/>
                <w:szCs w:val="20"/>
              </w:rPr>
              <w:t>generally doctors, nurses or midwives but can refer to other health professionals providing childbirth care</w:t>
            </w:r>
            <w:r w:rsidRPr="0BD90799" w:rsidR="63B79F7C">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is the proportion of childbirths attended by professional health personnel. According to the current definition </w:t>
            </w:r>
            <w:proofErr w:type="gramStart"/>
            <w:r w:rsidRPr="0BD90799" w:rsidR="3251B54D">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proofErr w:type="gramEnd"/>
            <w:r w:rsidRPr="0BD90799" w:rsidR="00083210">
              <w:rPr>
                <w:rFonts w:ascii="Calibri" w:hAnsi="Calibri" w:eastAsia="Times New Roman" w:cs="Calibri"/>
                <w:color w:val="000000" w:themeColor="text1" w:themeTint="FF" w:themeShade="FF"/>
                <w:sz w:val="20"/>
                <w:szCs w:val="20"/>
              </w:rPr>
              <w:t>1</w:t>
            </w:r>
            <w:r w:rsidRPr="0BD90799" w:rsidR="7691FF56">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these are competent maternal and newborn health </w:t>
            </w:r>
            <w:r w:rsidRPr="0BD90799" w:rsidR="7693C606">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(MNH</w:t>
            </w:r>
            <w:r w:rsidRPr="0BD90799" w:rsidR="3BF81328">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professionals educated, </w:t>
            </w:r>
            <w:r w:rsidRPr="0BD90799" w:rsidR="00083210">
              <w:rPr>
                <w:rFonts w:ascii="Calibri" w:hAnsi="Calibri" w:eastAsia="Times New Roman" w:cs="Calibri"/>
                <w:color w:val="000000" w:themeColor="text1" w:themeTint="FF" w:themeShade="FF"/>
                <w:sz w:val="20"/>
                <w:szCs w:val="20"/>
              </w:rPr>
              <w:t>trained</w:t>
            </w:r>
            <w:r w:rsidRPr="0BD90799" w:rsidR="00083210">
              <w:rPr>
                <w:rFonts w:ascii="Calibri" w:hAnsi="Calibri" w:eastAsia="Times New Roman" w:cs="Calibri"/>
                <w:color w:val="000000" w:themeColor="text1" w:themeTint="FF" w:themeShade="FF"/>
                <w:sz w:val="20"/>
                <w:szCs w:val="20"/>
              </w:rPr>
              <w:t xml:space="preserve"> and regulated to national and international standards. They are competent to: </w:t>
            </w:r>
            <w:r w:rsidRPr="0BD90799" w:rsidR="35B79230">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r w:rsidRPr="0BD90799" w:rsidR="5D3F29EC">
              <w:rPr>
                <w:rFonts w:ascii="Calibri" w:hAnsi="Calibri" w:eastAsia="Times New Roman" w:cs="Calibri"/>
                <w:color w:val="000000" w:themeColor="text1" w:themeTint="FF" w:themeShade="FF"/>
                <w:sz w:val="20"/>
                <w:szCs w:val="20"/>
              </w:rPr>
              <w:t>I\</w:t>
            </w:r>
            <w:r w:rsidRPr="0BD90799" w:rsidR="00083210">
              <w:rPr>
                <w:rFonts w:ascii="Calibri" w:hAnsi="Calibri" w:eastAsia="Times New Roman" w:cs="Calibri"/>
                <w:color w:val="000000" w:themeColor="text1" w:themeTint="FF" w:themeShade="FF"/>
                <w:sz w:val="20"/>
                <w:szCs w:val="20"/>
              </w:rPr>
              <w:t xml:space="preserve">) provide and promote evidence-based, human-rights based, quality, socio-culturally sensitive and dignified care to women and newborns; </w:t>
            </w:r>
            <w:r w:rsidRPr="0BD90799" w:rsidR="5F239568">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(ii</w:t>
            </w:r>
            <w:r w:rsidRPr="0BD90799" w:rsidR="59D35A7C">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facilitate physiological processes during </w:t>
            </w:r>
            <w:proofErr w:type="spellStart"/>
            <w:r w:rsidRPr="0BD90799" w:rsidR="00083210">
              <w:rPr>
                <w:rFonts w:ascii="Calibri" w:hAnsi="Calibri" w:eastAsia="Times New Roman" w:cs="Calibri"/>
                <w:color w:val="000000" w:themeColor="text1" w:themeTint="FF" w:themeShade="FF"/>
                <w:sz w:val="20"/>
                <w:szCs w:val="20"/>
              </w:rPr>
              <w:t>labour</w:t>
            </w:r>
            <w:proofErr w:type="spellEnd"/>
            <w:r w:rsidRPr="0BD90799" w:rsidR="00083210">
              <w:rPr>
                <w:rFonts w:ascii="Calibri" w:hAnsi="Calibri" w:eastAsia="Times New Roman" w:cs="Calibri"/>
                <w:color w:val="000000" w:themeColor="text1" w:themeTint="FF" w:themeShade="FF"/>
                <w:sz w:val="20"/>
                <w:szCs w:val="20"/>
              </w:rPr>
              <w:t xml:space="preserve"> and delivery to ensure a clean and positive childbirth experience; and </w:t>
            </w:r>
            <w:r w:rsidRPr="0BD90799" w:rsidR="2C5C77C8">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(ii</w:t>
            </w:r>
            <w:r w:rsidRPr="0BD90799" w:rsidR="00083210">
              <w:rPr>
                <w:rFonts w:ascii="Calibri" w:hAnsi="Calibri" w:eastAsia="Times New Roman" w:cs="Calibri"/>
                <w:color w:val="000000" w:themeColor="text1" w:themeTint="FF" w:themeShade="FF"/>
                <w:sz w:val="20"/>
                <w:szCs w:val="20"/>
              </w:rPr>
              <w:t>i</w:t>
            </w:r>
            <w:r w:rsidRPr="0BD90799" w:rsidR="4B7CF6FB">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identify and manage or refer women and/or newborns with complications.</w:t>
            </w:r>
          </w:p>
          <w:p w:rsidRPr="00083210" w:rsidR="00083210" w:rsidP="0BD90799" w:rsidRDefault="00083210" w14:paraId="794E7D21" w14:textId="3BE74714">
            <w:pPr>
              <w:pStyle w:val="Standard"/>
              <w:spacing w:after="0" w:line="240" w:lineRule="auto"/>
              <w:rPr>
                <w:rFonts w:ascii="Calibri" w:hAnsi="Calibri" w:eastAsia="Times New Roman" w:cs="Calibri"/>
                <w:color w:val="000000" w:themeColor="text1" w:themeTint="FF" w:themeShade="FF"/>
                <w:sz w:val="20"/>
                <w:szCs w:val="20"/>
              </w:rPr>
            </w:pPr>
          </w:p>
        </w:tc>
      </w:tr>
      <w:tr w:rsidRPr="00083210" w:rsidR="00083210" w:rsidTr="4A67E97C" w14:paraId="35DB84A2" w14:textId="77777777">
        <w:trPr>
          <w:trHeight w:val="558"/>
        </w:trPr>
        <w:tc>
          <w:tcPr>
            <w:tcW w:w="915" w:type="dxa"/>
            <w:shd w:val="clear" w:color="auto" w:fill="auto"/>
            <w:tcMar/>
          </w:tcPr>
          <w:p w:rsidR="7E180CBE" w:rsidP="42ABA9AD" w:rsidRDefault="7E180CBE" w14:paraId="43E515F3" w14:textId="25F22FB6">
            <w:pPr>
              <w:pStyle w:val="Standard"/>
              <w:spacing w:line="240" w:lineRule="auto"/>
              <w:rPr>
                <w:rFonts w:ascii="Calibri" w:hAnsi="Calibri" w:eastAsia="Times New Roman" w:cs="Calibri"/>
                <w:color w:val="000000" w:themeColor="text1" w:themeTint="FF" w:themeShade="FF"/>
                <w:sz w:val="20"/>
                <w:szCs w:val="20"/>
              </w:rPr>
            </w:pPr>
            <w:r w:rsidRPr="42ABA9AD" w:rsidR="16EAC521">
              <w:rPr>
                <w:rFonts w:ascii="Calibri" w:hAnsi="Calibri" w:eastAsia="Times New Roman" w:cs="Calibri"/>
                <w:color w:val="000000" w:themeColor="text1" w:themeTint="FF" w:themeShade="FF"/>
                <w:sz w:val="20"/>
                <w:szCs w:val="20"/>
              </w:rPr>
              <w:t>III.5</w:t>
            </w:r>
          </w:p>
          <w:p w:rsidR="7E180CBE" w:rsidP="7E180CBE" w:rsidRDefault="7E180CBE" w14:paraId="5CDF0A1D" w14:textId="6978C47F">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3286F40A" w:rsidP="7E180CBE" w:rsidRDefault="3286F40A" w14:paraId="17796A4A" w14:textId="425A14E3">
            <w:pPr>
              <w:pStyle w:val="Standard"/>
              <w:spacing w:line="240" w:lineRule="auto"/>
              <w:rPr>
                <w:rFonts w:ascii="Calibri" w:hAnsi="Calibri" w:eastAsia="Times New Roman" w:cs="Calibri"/>
                <w:color w:val="000000" w:themeColor="text1" w:themeTint="FF" w:themeShade="FF"/>
                <w:sz w:val="20"/>
                <w:szCs w:val="20"/>
              </w:rPr>
            </w:pPr>
            <w:r w:rsidRPr="7E180CBE" w:rsidR="3286F40A">
              <w:rPr>
                <w:rFonts w:ascii="Calibri" w:hAnsi="Calibri" w:eastAsia="Times New Roman" w:cs="Calibri"/>
                <w:color w:val="000000" w:themeColor="text1" w:themeTint="FF" w:themeShade="FF"/>
                <w:sz w:val="20"/>
                <w:szCs w:val="20"/>
              </w:rPr>
              <w:t>3</w:t>
            </w:r>
          </w:p>
        </w:tc>
        <w:tc>
          <w:tcPr>
            <w:tcW w:w="1260" w:type="dxa"/>
            <w:shd w:val="clear" w:color="auto" w:fill="auto"/>
            <w:tcMar/>
            <w:hideMark/>
            <w:tcPrChange w:author="Madita S." w:date="2021-08-02T16:15:00Z" w:id="110">
              <w:tcPr>
                <w:tcW w:w="1555" w:type="dxa"/>
                <w:shd w:val="clear" w:color="auto" w:fill="auto"/>
                <w:hideMark/>
              </w:tcPr>
            </w:tcPrChange>
          </w:tcPr>
          <w:p w:rsidRPr="00083210" w:rsidR="00083210" w:rsidP="4A67E97C" w:rsidRDefault="00083210" w14:paraId="00810F6D"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Method of computation</w:t>
            </w:r>
          </w:p>
        </w:tc>
        <w:tc>
          <w:tcPr>
            <w:tcW w:w="6368" w:type="dxa"/>
            <w:shd w:val="clear" w:color="auto" w:fill="auto"/>
            <w:tcMar/>
            <w:hideMark/>
            <w:tcPrChange w:author="Madita S." w:date="2021-08-02T16:15:00Z" w:id="113">
              <w:tcPr>
                <w:tcW w:w="7229" w:type="dxa"/>
                <w:shd w:val="clear" w:color="auto" w:fill="auto"/>
                <w:tcMar/>
                <w:hideMark/>
              </w:tcPr>
            </w:tcPrChange>
          </w:tcPr>
          <w:p w:rsidRPr="00083210" w:rsidR="00083210" w:rsidP="00DF5776" w:rsidRDefault="00083210" w14:paraId="60419DE9" w14:textId="1C9BC377">
            <w:pPr>
              <w:spacing w:after="0" w:line="240" w:lineRule="auto"/>
              <w:rPr>
                <w:rFonts w:ascii="Calibri" w:hAnsi="Calibri" w:eastAsia="Times New Roman" w:cs="Calibri"/>
                <w:color w:val="000000"/>
                <w:sz w:val="20"/>
                <w:szCs w:val="20"/>
              </w:rPr>
            </w:pPr>
            <w:r w:rsidRPr="0BD90799" w:rsidR="00083210">
              <w:rPr>
                <w:rFonts w:ascii="Calibri" w:hAnsi="Calibri" w:eastAsia="Times New Roman" w:cs="Calibri"/>
                <w:color w:val="000000" w:themeColor="text1" w:themeTint="FF" w:themeShade="FF"/>
                <w:sz w:val="20"/>
                <w:szCs w:val="20"/>
              </w:rPr>
              <w:t xml:space="preserve">Numerator: </w:t>
            </w:r>
            <w:r>
              <w:br/>
            </w:r>
            <w:r w:rsidRPr="0BD90799" w:rsidR="00083210">
              <w:rPr>
                <w:rFonts w:ascii="Calibri" w:hAnsi="Calibri" w:eastAsia="Times New Roman" w:cs="Calibri"/>
                <w:color w:val="000000" w:themeColor="text1" w:themeTint="FF" w:themeShade="FF"/>
                <w:sz w:val="20"/>
                <w:szCs w:val="20"/>
              </w:rPr>
              <w:t xml:space="preserve">Number of births attended by skilled health personnel </w:t>
            </w:r>
            <w:r w:rsidRPr="0BD90799" w:rsidR="7D8EB81B">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(doctor, </w:t>
            </w:r>
            <w:r w:rsidRPr="0BD90799" w:rsidR="00083210">
              <w:rPr>
                <w:rFonts w:ascii="Calibri" w:hAnsi="Calibri" w:eastAsia="Times New Roman" w:cs="Calibri"/>
                <w:color w:val="000000" w:themeColor="text1" w:themeTint="FF" w:themeShade="FF"/>
                <w:sz w:val="20"/>
                <w:szCs w:val="20"/>
              </w:rPr>
              <w:t>nurse</w:t>
            </w:r>
            <w:r w:rsidRPr="0BD90799" w:rsidR="00083210">
              <w:rPr>
                <w:rFonts w:ascii="Calibri" w:hAnsi="Calibri" w:eastAsia="Times New Roman" w:cs="Calibri"/>
                <w:color w:val="000000" w:themeColor="text1" w:themeTint="FF" w:themeShade="FF"/>
                <w:sz w:val="20"/>
                <w:szCs w:val="20"/>
              </w:rPr>
              <w:t xml:space="preserve"> or midwife</w:t>
            </w:r>
            <w:r w:rsidRPr="0BD90799" w:rsidR="34F92215">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trained in providing quality obstetric care, including giving the necessary support and care to the mother and the newborn during childbirth and immediate postpartum period </w:t>
            </w:r>
          </w:p>
          <w:p w:rsidR="22C55E2F" w:rsidP="22C55E2F" w:rsidRDefault="22C55E2F" w14:paraId="54B43DAD" w14:textId="3EF94A18">
            <w:pPr>
              <w:spacing w:after="0" w:line="240" w:lineRule="auto"/>
              <w:rPr>
                <w:rFonts w:ascii="Calibri" w:hAnsi="Calibri" w:eastAsia="Times New Roman" w:cs="Calibri"/>
                <w:color w:val="000000" w:themeColor="text1" w:themeTint="FF" w:themeShade="FF"/>
                <w:sz w:val="20"/>
                <w:szCs w:val="20"/>
              </w:rPr>
            </w:pPr>
          </w:p>
          <w:p w:rsidRPr="00083210" w:rsidR="00083210" w:rsidP="00DF5776" w:rsidRDefault="00083210" w14:paraId="36ACF7DD" w14:textId="6F31871E">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Denominator: The total number of live births in the same period.</w:t>
            </w:r>
            <w:r>
              <w:br/>
            </w:r>
          </w:p>
          <w:p w:rsidRPr="00083210" w:rsidR="00083210" w:rsidP="0BD90799" w:rsidRDefault="00083210" w14:paraId="0CFA47C7" w14:textId="5F669F0E">
            <w:pPr>
              <w:spacing w:after="0" w:line="240" w:lineRule="auto"/>
              <w:rPr>
                <w:rFonts w:ascii="Calibri" w:hAnsi="Calibri" w:eastAsia="Times New Roman" w:cs="Calibri"/>
                <w:color w:val="000000" w:themeColor="text1" w:themeTint="FF" w:themeShade="FF"/>
                <w:sz w:val="20"/>
                <w:szCs w:val="20"/>
              </w:rPr>
            </w:pPr>
            <w:proofErr w:type="gramStart"/>
            <w:r w:rsidRPr="0BD90799" w:rsidR="00083210">
              <w:rPr>
                <w:rFonts w:ascii="Calibri" w:hAnsi="Calibri" w:eastAsia="Times New Roman" w:cs="Calibri"/>
                <w:color w:val="000000" w:themeColor="text1" w:themeTint="FF" w:themeShade="FF"/>
                <w:sz w:val="20"/>
                <w:szCs w:val="20"/>
              </w:rPr>
              <w:t>Definition</w:t>
            </w:r>
            <w:proofErr w:type="gramEnd"/>
            <w:r w:rsidRPr="0BD90799" w:rsidR="00083210">
              <w:rPr>
                <w:rFonts w:ascii="Calibri" w:hAnsi="Calibri" w:eastAsia="Times New Roman" w:cs="Calibri"/>
                <w:color w:val="000000" w:themeColor="text1" w:themeTint="FF" w:themeShade="FF"/>
                <w:sz w:val="20"/>
                <w:szCs w:val="20"/>
              </w:rPr>
              <w:t xml:space="preserve"> of skilled health personnel varies between countries. The proportion of births attended by skilled health personnel is calculated as the number of births attended by skilled health personnel </w:t>
            </w:r>
            <w:proofErr w:type="gramStart"/>
            <w:r w:rsidRPr="0BD90799" w:rsidR="2CDCD26F">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proofErr w:type="gramEnd"/>
            <w:r w:rsidRPr="0BD90799" w:rsidR="00083210">
              <w:rPr>
                <w:rFonts w:ascii="Calibri" w:hAnsi="Calibri" w:eastAsia="Times New Roman" w:cs="Calibri"/>
                <w:color w:val="000000" w:themeColor="text1" w:themeTint="FF" w:themeShade="FF"/>
                <w:sz w:val="20"/>
                <w:szCs w:val="20"/>
              </w:rPr>
              <w:t xml:space="preserve">doctors, </w:t>
            </w:r>
            <w:r w:rsidRPr="0BD90799" w:rsidR="00083210">
              <w:rPr>
                <w:rFonts w:ascii="Calibri" w:hAnsi="Calibri" w:eastAsia="Times New Roman" w:cs="Calibri"/>
                <w:color w:val="000000" w:themeColor="text1" w:themeTint="FF" w:themeShade="FF"/>
                <w:sz w:val="20"/>
                <w:szCs w:val="20"/>
              </w:rPr>
              <w:t>nurses</w:t>
            </w:r>
            <w:r w:rsidRPr="0BD90799" w:rsidR="00083210">
              <w:rPr>
                <w:rFonts w:ascii="Calibri" w:hAnsi="Calibri" w:eastAsia="Times New Roman" w:cs="Calibri"/>
                <w:color w:val="000000" w:themeColor="text1" w:themeTint="FF" w:themeShade="FF"/>
                <w:sz w:val="20"/>
                <w:szCs w:val="20"/>
              </w:rPr>
              <w:t xml:space="preserve"> or midwives</w:t>
            </w:r>
            <w:r w:rsidRPr="0BD90799" w:rsidR="1949C109">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expressed as a proportion of the </w:t>
            </w:r>
            <w:r w:rsidRPr="0BD90799" w:rsidR="71641BE2">
              <w:rPr>
                <w:rFonts w:ascii="Calibri" w:hAnsi="Calibri" w:eastAsia="Times New Roman" w:cs="Calibri"/>
                <w:color w:val="000000" w:themeColor="text1" w:themeTint="FF" w:themeShade="FF"/>
                <w:sz w:val="20"/>
                <w:szCs w:val="20"/>
              </w:rPr>
              <w:t xml:space="preserve">total </w:t>
            </w:r>
            <w:r w:rsidRPr="0BD90799" w:rsidR="00083210">
              <w:rPr>
                <w:rFonts w:ascii="Calibri" w:hAnsi="Calibri" w:eastAsia="Times New Roman" w:cs="Calibri"/>
                <w:color w:val="000000" w:themeColor="text1" w:themeTint="FF" w:themeShade="FF"/>
                <w:sz w:val="20"/>
                <w:szCs w:val="20"/>
              </w:rPr>
              <w:t>number of live births in the same period.</w:t>
            </w:r>
          </w:p>
          <w:p w:rsidRPr="00083210" w:rsidR="00083210" w:rsidP="7E180CBE" w:rsidRDefault="00083210" w14:paraId="70D10811" w14:textId="54CE667B">
            <w:pPr>
              <w:spacing w:after="0" w:line="240" w:lineRule="auto"/>
              <w:rPr>
                <w:rFonts w:ascii="Calibri" w:hAnsi="Calibri" w:eastAsia="Times New Roman" w:cs="Calibri"/>
                <w:color w:val="000000" w:themeColor="text1" w:themeTint="FF" w:themeShade="FF"/>
                <w:sz w:val="20"/>
                <w:szCs w:val="20"/>
              </w:rPr>
            </w:pPr>
            <w:r>
              <w:br/>
            </w:r>
            <w:r w:rsidRPr="0BD90799" w:rsidR="00083210">
              <w:rPr>
                <w:rFonts w:ascii="Calibri" w:hAnsi="Calibri" w:eastAsia="Times New Roman" w:cs="Calibri"/>
                <w:color w:val="000000" w:themeColor="text1" w:themeTint="FF" w:themeShade="FF"/>
                <w:sz w:val="20"/>
                <w:szCs w:val="20"/>
              </w:rPr>
              <w:t xml:space="preserve">In household surveys, such as DHS, MICS and RHS, the respondent is asked about the most recent birth and who helped during childbirth for a period up to five years before the interview. For consistency of reporting, survey customization teams in </w:t>
            </w:r>
            <w:proofErr w:type="gramStart"/>
            <w:r w:rsidRPr="0BD90799" w:rsidR="00083210">
              <w:rPr>
                <w:rFonts w:ascii="Calibri" w:hAnsi="Calibri" w:eastAsia="Times New Roman" w:cs="Calibri"/>
                <w:color w:val="000000" w:themeColor="text1" w:themeTint="FF" w:themeShade="FF"/>
                <w:sz w:val="20"/>
                <w:szCs w:val="20"/>
              </w:rPr>
              <w:t>country</w:t>
            </w:r>
            <w:proofErr w:type="gramEnd"/>
            <w:r w:rsidRPr="0BD90799" w:rsidR="00083210">
              <w:rPr>
                <w:rFonts w:ascii="Calibri" w:hAnsi="Calibri" w:eastAsia="Times New Roman" w:cs="Calibri"/>
                <w:color w:val="000000" w:themeColor="text1" w:themeTint="FF" w:themeShade="FF"/>
                <w:sz w:val="20"/>
                <w:szCs w:val="20"/>
              </w:rPr>
              <w:t xml:space="preserve"> are encouraged to review categories of health care providers reported on the previous surveys and ensure comparability.</w:t>
            </w:r>
            <w:r w:rsidRPr="0BD90799" w:rsidR="00083210">
              <w:rPr>
                <w:rFonts w:ascii="Calibri" w:hAnsi="Calibri" w:eastAsia="Times New Roman" w:cs="Calibri"/>
                <w:color w:val="000000" w:themeColor="text1" w:themeTint="FF" w:themeShade="FF"/>
                <w:sz w:val="20"/>
                <w:szCs w:val="20"/>
              </w:rPr>
              <w:t xml:space="preserve"> </w:t>
            </w:r>
            <w:r w:rsidRPr="0BD90799" w:rsidR="00083210">
              <w:rPr>
                <w:rFonts w:ascii="Calibri" w:hAnsi="Calibri" w:eastAsia="Times New Roman" w:cs="Calibri"/>
                <w:color w:val="000000" w:themeColor="text1" w:themeTint="FF" w:themeShade="FF"/>
                <w:sz w:val="20"/>
                <w:szCs w:val="20"/>
              </w:rPr>
              <w:t>Service/facility records could be used where a high proportion of births occur in health facilities and are</w:t>
            </w:r>
            <w:r w:rsidRPr="0BD90799" w:rsidR="00083210">
              <w:rPr>
                <w:rFonts w:ascii="Calibri" w:hAnsi="Calibri" w:eastAsia="Times New Roman" w:cs="Calibri"/>
                <w:color w:val="000000" w:themeColor="text1" w:themeTint="FF" w:themeShade="FF"/>
                <w:sz w:val="20"/>
                <w:szCs w:val="20"/>
              </w:rPr>
              <w:t xml:space="preserve"> therefore</w:t>
            </w:r>
            <w:r w:rsidRPr="0BD90799" w:rsidR="00083210">
              <w:rPr>
                <w:rFonts w:ascii="Calibri" w:hAnsi="Calibri" w:eastAsia="Times New Roman" w:cs="Calibri"/>
                <w:color w:val="000000" w:themeColor="text1" w:themeTint="FF" w:themeShade="FF"/>
                <w:sz w:val="20"/>
                <w:szCs w:val="20"/>
              </w:rPr>
              <w:t xml:space="preserve"> recorded</w:t>
            </w:r>
            <w:r w:rsidRPr="0BD90799" w:rsidR="00083210">
              <w:rPr>
                <w:rFonts w:ascii="Calibri" w:hAnsi="Calibri" w:eastAsia="Times New Roman" w:cs="Calibri"/>
                <w:color w:val="000000" w:themeColor="text1" w:themeTint="FF" w:themeShade="FF"/>
                <w:sz w:val="20"/>
                <w:szCs w:val="20"/>
              </w:rPr>
              <w:t>.</w:t>
            </w:r>
          </w:p>
          <w:p w:rsidRPr="00083210" w:rsidR="00083210" w:rsidP="0BD90799" w:rsidRDefault="00083210" w14:paraId="72396E35" w14:textId="6BD57603">
            <w:pPr>
              <w:pStyle w:val="Standard"/>
              <w:spacing w:after="0" w:line="240" w:lineRule="auto"/>
              <w:rPr>
                <w:rFonts w:ascii="Calibri" w:hAnsi="Calibri" w:eastAsia="Times New Roman" w:cs="Calibri"/>
                <w:color w:val="000000" w:themeColor="text1" w:themeTint="FF" w:themeShade="FF"/>
                <w:sz w:val="20"/>
                <w:szCs w:val="20"/>
              </w:rPr>
            </w:pPr>
          </w:p>
        </w:tc>
      </w:tr>
      <w:tr w:rsidRPr="00083210" w:rsidR="00083210" w:rsidTr="4A67E97C" w14:paraId="3C932115" w14:textId="77777777">
        <w:trPr>
          <w:trHeight w:val="1200"/>
        </w:trPr>
        <w:tc>
          <w:tcPr>
            <w:tcW w:w="915" w:type="dxa"/>
            <w:shd w:val="clear" w:color="auto" w:fill="auto"/>
            <w:tcMar/>
          </w:tcPr>
          <w:p w:rsidR="7E180CBE" w:rsidP="42ABA9AD" w:rsidRDefault="7E180CBE" w14:paraId="1F193225" w14:textId="25F22FB6">
            <w:pPr>
              <w:pStyle w:val="Standard"/>
              <w:spacing w:line="240" w:lineRule="auto"/>
              <w:rPr>
                <w:rFonts w:ascii="Calibri" w:hAnsi="Calibri" w:eastAsia="Times New Roman" w:cs="Calibri"/>
                <w:color w:val="000000" w:themeColor="text1" w:themeTint="FF" w:themeShade="FF"/>
                <w:sz w:val="20"/>
                <w:szCs w:val="20"/>
              </w:rPr>
            </w:pPr>
            <w:r w:rsidRPr="42ABA9AD" w:rsidR="6DDA25EB">
              <w:rPr>
                <w:rFonts w:ascii="Calibri" w:hAnsi="Calibri" w:eastAsia="Times New Roman" w:cs="Calibri"/>
                <w:color w:val="000000" w:themeColor="text1" w:themeTint="FF" w:themeShade="FF"/>
                <w:sz w:val="20"/>
                <w:szCs w:val="20"/>
              </w:rPr>
              <w:t>III.5</w:t>
            </w:r>
          </w:p>
          <w:p w:rsidR="7E180CBE" w:rsidP="7E180CBE" w:rsidRDefault="7E180CBE" w14:paraId="1A0586E7" w14:textId="09BC5922">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3286F40A" w:rsidP="7E180CBE" w:rsidRDefault="3286F40A" w14:paraId="591D5BE8" w14:textId="2859B7FE">
            <w:pPr>
              <w:pStyle w:val="Standard"/>
              <w:spacing w:line="240" w:lineRule="auto"/>
              <w:rPr>
                <w:rFonts w:ascii="Calibri" w:hAnsi="Calibri" w:eastAsia="Times New Roman" w:cs="Calibri"/>
                <w:color w:val="000000" w:themeColor="text1" w:themeTint="FF" w:themeShade="FF"/>
                <w:sz w:val="20"/>
                <w:szCs w:val="20"/>
              </w:rPr>
            </w:pPr>
            <w:r w:rsidRPr="7E180CBE" w:rsidR="3286F40A">
              <w:rPr>
                <w:rFonts w:ascii="Calibri" w:hAnsi="Calibri" w:eastAsia="Times New Roman" w:cs="Calibri"/>
                <w:color w:val="000000" w:themeColor="text1" w:themeTint="FF" w:themeShade="FF"/>
                <w:sz w:val="20"/>
                <w:szCs w:val="20"/>
              </w:rPr>
              <w:t>4</w:t>
            </w:r>
          </w:p>
        </w:tc>
        <w:tc>
          <w:tcPr>
            <w:tcW w:w="1260" w:type="dxa"/>
            <w:shd w:val="clear" w:color="auto" w:fill="auto"/>
            <w:tcMar/>
            <w:hideMark/>
            <w:tcPrChange w:author="Madita S." w:date="2021-08-02T16:04:00Z" w:id="165">
              <w:tcPr>
                <w:tcW w:w="1555" w:type="dxa"/>
                <w:shd w:val="clear" w:color="auto" w:fill="auto"/>
                <w:hideMark/>
              </w:tcPr>
            </w:tcPrChange>
          </w:tcPr>
          <w:p w:rsidRPr="00083210" w:rsidR="00083210" w:rsidP="4A67E97C" w:rsidRDefault="00083210" w14:paraId="33821FB9"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Importance of the indicator in addressing gender issues and its limitation</w:t>
            </w:r>
          </w:p>
        </w:tc>
        <w:tc>
          <w:tcPr>
            <w:tcW w:w="6368" w:type="dxa"/>
            <w:shd w:val="clear" w:color="auto" w:fill="auto"/>
            <w:tcMar/>
            <w:hideMark/>
            <w:tcPrChange w:author="Madita S." w:date="2021-08-02T16:04:00Z" w:id="168">
              <w:tcPr>
                <w:tcW w:w="7229" w:type="dxa"/>
                <w:shd w:val="clear" w:color="auto" w:fill="auto"/>
                <w:tcMar/>
                <w:hideMark/>
              </w:tcPr>
            </w:tcPrChange>
          </w:tcPr>
          <w:p w:rsidRPr="00083210" w:rsidR="00083210" w:rsidP="6A4D1372" w:rsidRDefault="00083210" w14:noSpellErr="1" w14:paraId="320B2CC1" w14:textId="5CA31C05">
            <w:pPr>
              <w:spacing w:after="0" w:line="240" w:lineRule="auto"/>
              <w:rPr>
                <w:rFonts w:ascii="Calibri" w:hAnsi="Calibri" w:eastAsia="Times New Roman" w:cs="Calibri"/>
                <w:color w:val="000000" w:themeColor="text1" w:themeTint="FF" w:themeShade="FF"/>
                <w:sz w:val="20"/>
                <w:szCs w:val="20"/>
              </w:rPr>
            </w:pPr>
            <w:r w:rsidRPr="6A4D1372" w:rsidR="00083210">
              <w:rPr>
                <w:rFonts w:ascii="Calibri" w:hAnsi="Calibri" w:eastAsia="Times New Roman" w:cs="Calibri"/>
                <w:color w:val="000000" w:themeColor="text1" w:themeTint="FF" w:themeShade="FF"/>
                <w:sz w:val="20"/>
                <w:szCs w:val="20"/>
              </w:rPr>
              <w:t>Having a skilled attendant at the time of delivery is an important lifesaving intervention for both mothers and babies. Not having access to this key assistance is detrimental to women’s health and gender empowerment because it could cause the death of the mother or long-lasting disability, especially in marginalized settings.</w:t>
            </w:r>
            <w:r w:rsidRPr="6A4D1372" w:rsidR="003D6492">
              <w:rPr>
                <w:rFonts w:ascii="Calibri" w:hAnsi="Calibri" w:eastAsia="Times New Roman" w:cs="Calibri"/>
                <w:color w:val="000000" w:themeColor="text1" w:themeTint="FF" w:themeShade="FF"/>
                <w:sz w:val="20"/>
                <w:szCs w:val="20"/>
              </w:rPr>
              <w:t xml:space="preserve"> Achieving universal coverage for this indicator is therefore essential for reducing maternal and newborn mortality.</w:t>
            </w:r>
          </w:p>
          <w:p w:rsidRPr="00083210" w:rsidR="00083210" w:rsidP="6A4D1372" w:rsidRDefault="00083210" w14:paraId="520453D4" w14:textId="4E7DB70F">
            <w:pPr>
              <w:pStyle w:val="Standard"/>
              <w:spacing w:after="0" w:line="240" w:lineRule="auto"/>
              <w:rPr>
                <w:rFonts w:ascii="Calibri" w:hAnsi="Calibri" w:eastAsia="Times New Roman" w:cs="Calibri"/>
                <w:color w:val="000000" w:themeColor="text1" w:themeTint="FF" w:themeShade="FF"/>
                <w:sz w:val="20"/>
                <w:szCs w:val="20"/>
              </w:rPr>
            </w:pPr>
          </w:p>
          <w:p w:rsidRPr="00083210" w:rsidR="00083210" w:rsidP="6A4D1372" w:rsidRDefault="00083210" w14:paraId="2343065B" w14:textId="72DA127B">
            <w:pPr>
              <w:spacing w:after="0" w:line="240" w:lineRule="auto"/>
              <w:rPr>
                <w:rFonts w:ascii="Calibri" w:hAnsi="Calibri" w:eastAsia="Times New Roman" w:cs="Calibri"/>
                <w:color w:val="000000" w:themeColor="text1" w:themeTint="FF" w:themeShade="FF"/>
                <w:sz w:val="20"/>
                <w:szCs w:val="20"/>
              </w:rPr>
            </w:pPr>
            <w:r w:rsidRPr="0BD90799" w:rsidR="68474FE1">
              <w:rPr>
                <w:rFonts w:ascii="Calibri" w:hAnsi="Calibri" w:eastAsia="Times New Roman" w:cs="Calibri"/>
                <w:b w:val="0"/>
                <w:bCs w:val="0"/>
                <w:color w:val="000000" w:themeColor="text1" w:themeTint="FF" w:themeShade="FF"/>
                <w:sz w:val="20"/>
                <w:szCs w:val="20"/>
              </w:rPr>
              <w:t>**</w:t>
            </w:r>
            <w:r w:rsidRPr="0BD90799" w:rsidR="79EDAB42">
              <w:rPr>
                <w:rFonts w:ascii="Calibri" w:hAnsi="Calibri" w:eastAsia="Times New Roman" w:cs="Calibri"/>
                <w:b w:val="0"/>
                <w:bCs w:val="0"/>
                <w:color w:val="000000" w:themeColor="text1" w:themeTint="FF" w:themeShade="FF"/>
                <w:sz w:val="20"/>
                <w:szCs w:val="20"/>
              </w:rPr>
              <w:t>Comments and limitati</w:t>
            </w:r>
            <w:r w:rsidRPr="0BD90799" w:rsidR="79EDAB42">
              <w:rPr>
                <w:rFonts w:ascii="Calibri" w:hAnsi="Calibri" w:eastAsia="Times New Roman" w:cs="Calibri"/>
                <w:b w:val="0"/>
                <w:bCs w:val="0"/>
                <w:color w:val="000000" w:themeColor="text1" w:themeTint="FF" w:themeShade="FF"/>
                <w:sz w:val="20"/>
                <w:szCs w:val="20"/>
              </w:rPr>
              <w:t>on</w:t>
            </w:r>
            <w:r w:rsidRPr="0BD90799" w:rsidR="79EDAB42">
              <w:rPr>
                <w:rFonts w:ascii="Calibri" w:hAnsi="Calibri" w:eastAsia="Times New Roman" w:cs="Calibri"/>
                <w:b w:val="0"/>
                <w:bCs w:val="0"/>
                <w:color w:val="000000" w:themeColor="text1" w:themeTint="FF" w:themeShade="FF"/>
                <w:sz w:val="20"/>
                <w:szCs w:val="20"/>
              </w:rPr>
              <w:t>s</w:t>
            </w:r>
            <w:r w:rsidRPr="0BD90799" w:rsidR="27F8E494">
              <w:rPr>
                <w:rFonts w:ascii="Calibri" w:hAnsi="Calibri" w:eastAsia="Times New Roman" w:cs="Calibri"/>
                <w:b w:val="0"/>
                <w:bCs w:val="0"/>
                <w:color w:val="000000" w:themeColor="text1" w:themeTint="FF" w:themeShade="FF"/>
                <w:sz w:val="20"/>
                <w:szCs w:val="20"/>
              </w:rPr>
              <w:t>**</w:t>
            </w:r>
            <w:r>
              <w:br/>
            </w:r>
            <w:r w:rsidRPr="0BD90799" w:rsidR="79EDAB42">
              <w:rPr>
                <w:rFonts w:ascii="Calibri" w:hAnsi="Calibri" w:eastAsia="Times New Roman" w:cs="Calibri"/>
                <w:color w:val="000000" w:themeColor="text1" w:themeTint="FF" w:themeShade="FF"/>
                <w:sz w:val="20"/>
                <w:szCs w:val="20"/>
              </w:rPr>
              <w:t xml:space="preserve">Births attended by skilled health personnel </w:t>
            </w:r>
            <w:proofErr w:type="gramStart"/>
            <w:r w:rsidRPr="0BD90799" w:rsidR="79EDAB42">
              <w:rPr>
                <w:rFonts w:ascii="Calibri" w:hAnsi="Calibri" w:eastAsia="Times New Roman" w:cs="Calibri"/>
                <w:color w:val="000000" w:themeColor="text1" w:themeTint="FF" w:themeShade="FF"/>
                <w:sz w:val="20"/>
                <w:szCs w:val="20"/>
              </w:rPr>
              <w:t>is</w:t>
            </w:r>
            <w:proofErr w:type="gramEnd"/>
            <w:r w:rsidRPr="0BD90799" w:rsidR="79EDAB42">
              <w:rPr>
                <w:rFonts w:ascii="Calibri" w:hAnsi="Calibri" w:eastAsia="Times New Roman" w:cs="Calibri"/>
                <w:color w:val="000000" w:themeColor="text1" w:themeTint="FF" w:themeShade="FF"/>
                <w:sz w:val="20"/>
                <w:szCs w:val="20"/>
              </w:rPr>
              <w:t xml:space="preserve"> an indicator of health care utilization. It is a measure of the health system’s functioning and potential to provide adequate coverage for childbirth. On its own, however, this indicator does not provide insight into the availability or accessibility of services, for example in cases where emergency care </w:t>
            </w:r>
            <w:proofErr w:type="gramStart"/>
            <w:r w:rsidRPr="0BD90799" w:rsidR="79EDAB42">
              <w:rPr>
                <w:rFonts w:ascii="Calibri" w:hAnsi="Calibri" w:eastAsia="Times New Roman" w:cs="Calibri"/>
                <w:color w:val="000000" w:themeColor="text1" w:themeTint="FF" w:themeShade="FF"/>
                <w:sz w:val="20"/>
                <w:szCs w:val="20"/>
              </w:rPr>
              <w:t>if</w:t>
            </w:r>
            <w:proofErr w:type="gramEnd"/>
            <w:r w:rsidRPr="0BD90799" w:rsidR="79EDAB42">
              <w:rPr>
                <w:rFonts w:ascii="Calibri" w:hAnsi="Calibri" w:eastAsia="Times New Roman" w:cs="Calibri"/>
                <w:color w:val="000000" w:themeColor="text1" w:themeTint="FF" w:themeShade="FF"/>
                <w:sz w:val="20"/>
                <w:szCs w:val="20"/>
              </w:rPr>
              <w:t xml:space="preserve"> needed. Neither does this indicator capture the quality of care received. </w:t>
            </w:r>
          </w:p>
          <w:p w:rsidRPr="00083210" w:rsidR="00083210" w:rsidP="6A4D1372" w:rsidRDefault="00083210" w14:noSpellErr="1" w14:paraId="502D2056" w14:textId="77777777">
            <w:pPr>
              <w:spacing w:after="0" w:line="240" w:lineRule="auto"/>
              <w:rPr>
                <w:rFonts w:ascii="Calibri" w:hAnsi="Calibri" w:eastAsia="Times New Roman" w:cs="Calibri"/>
                <w:color w:val="000000" w:themeColor="text1" w:themeTint="FF" w:themeShade="FF"/>
                <w:sz w:val="20"/>
                <w:szCs w:val="20"/>
              </w:rPr>
            </w:pPr>
          </w:p>
          <w:p w:rsidRPr="00083210" w:rsidR="00083210" w:rsidP="0BD90799" w:rsidRDefault="00083210" w14:paraId="2C85D5AF" w14:textId="19979C70">
            <w:pPr>
              <w:spacing w:after="0" w:line="240" w:lineRule="auto"/>
              <w:rPr>
                <w:rFonts w:ascii="Calibri" w:hAnsi="Calibri" w:eastAsia="Times New Roman" w:cs="Calibri"/>
                <w:color w:val="000000" w:themeColor="text1" w:themeTint="FF" w:themeShade="FF"/>
                <w:sz w:val="20"/>
                <w:szCs w:val="20"/>
              </w:rPr>
            </w:pPr>
            <w:r w:rsidRPr="0BD90799" w:rsidR="79EDAB42">
              <w:rPr>
                <w:rFonts w:ascii="Calibri" w:hAnsi="Calibri" w:eastAsia="Times New Roman" w:cs="Calibri"/>
                <w:color w:val="000000" w:themeColor="text1" w:themeTint="FF" w:themeShade="FF"/>
                <w:sz w:val="20"/>
                <w:szCs w:val="20"/>
              </w:rPr>
              <w:t xml:space="preserve">Data collection and data interpretation in many countries is challenged by lack of guidelines, standardization of professional titles and functions of the health care provider, and in some countries by task-shifting. In addition, many countries have found that there are large gaps between international standards and the competencies of </w:t>
            </w:r>
            <w:proofErr w:type="gramStart"/>
            <w:r w:rsidRPr="0BD90799" w:rsidR="79EDAB42">
              <w:rPr>
                <w:rFonts w:ascii="Calibri" w:hAnsi="Calibri" w:eastAsia="Times New Roman" w:cs="Calibri"/>
                <w:color w:val="000000" w:themeColor="text1" w:themeTint="FF" w:themeShade="FF"/>
                <w:sz w:val="20"/>
                <w:szCs w:val="20"/>
              </w:rPr>
              <w:t>existing of</w:t>
            </w:r>
            <w:proofErr w:type="gramEnd"/>
            <w:r w:rsidRPr="0BD90799" w:rsidR="79EDAB42">
              <w:rPr>
                <w:rFonts w:ascii="Calibri" w:hAnsi="Calibri" w:eastAsia="Times New Roman" w:cs="Calibri"/>
                <w:color w:val="000000" w:themeColor="text1" w:themeTint="FF" w:themeShade="FF"/>
                <w:sz w:val="20"/>
                <w:szCs w:val="20"/>
              </w:rPr>
              <w:t xml:space="preserve"> health care professionals providing childbirth care. Lack of training and an enabling environment often hinder </w:t>
            </w:r>
            <w:proofErr w:type="gramStart"/>
            <w:r w:rsidRPr="0BD90799" w:rsidR="79EDAB42">
              <w:rPr>
                <w:rFonts w:ascii="Calibri" w:hAnsi="Calibri" w:eastAsia="Times New Roman" w:cs="Calibri"/>
                <w:color w:val="000000" w:themeColor="text1" w:themeTint="FF" w:themeShade="FF"/>
                <w:sz w:val="20"/>
                <w:szCs w:val="20"/>
              </w:rPr>
              <w:t>evidence based</w:t>
            </w:r>
            <w:proofErr w:type="gramEnd"/>
            <w:r w:rsidRPr="0BD90799" w:rsidR="79EDAB42">
              <w:rPr>
                <w:rFonts w:ascii="Calibri" w:hAnsi="Calibri" w:eastAsia="Times New Roman" w:cs="Calibri"/>
                <w:color w:val="000000" w:themeColor="text1" w:themeTint="FF" w:themeShade="FF"/>
                <w:sz w:val="20"/>
                <w:szCs w:val="20"/>
              </w:rPr>
              <w:t xml:space="preserve"> management of common obstetric and neonatal complications. </w:t>
            </w:r>
            <w:proofErr w:type="gramStart"/>
            <w:proofErr w:type="gramEnd"/>
          </w:p>
          <w:p w:rsidRPr="00083210" w:rsidR="00083210" w:rsidP="0BD90799" w:rsidRDefault="00083210" w14:paraId="2207C3B1" w14:textId="02ECF306">
            <w:pPr>
              <w:pStyle w:val="Standard"/>
              <w:spacing w:after="0" w:line="240" w:lineRule="auto"/>
              <w:rPr>
                <w:rFonts w:ascii="Calibri" w:hAnsi="Calibri" w:eastAsia="Times New Roman" w:cs="Calibri"/>
                <w:color w:val="000000"/>
                <w:sz w:val="20"/>
                <w:szCs w:val="20"/>
              </w:rPr>
            </w:pPr>
          </w:p>
        </w:tc>
      </w:tr>
      <w:tr w:rsidRPr="00083210" w:rsidR="00083210" w:rsidTr="4A67E97C" w14:paraId="1673F6CD" w14:textId="77777777">
        <w:trPr>
          <w:trHeight w:val="900"/>
        </w:trPr>
        <w:tc>
          <w:tcPr>
            <w:tcW w:w="915" w:type="dxa"/>
            <w:shd w:val="clear" w:color="auto" w:fill="auto"/>
            <w:tcMar/>
          </w:tcPr>
          <w:p w:rsidR="7E180CBE" w:rsidP="42ABA9AD" w:rsidRDefault="7E180CBE" w14:paraId="6B9D4EF5" w14:textId="25F22FB6">
            <w:pPr>
              <w:pStyle w:val="Standard"/>
              <w:spacing w:line="240" w:lineRule="auto"/>
              <w:rPr>
                <w:rFonts w:ascii="Calibri" w:hAnsi="Calibri" w:eastAsia="Times New Roman" w:cs="Calibri"/>
                <w:color w:val="000000" w:themeColor="text1" w:themeTint="FF" w:themeShade="FF"/>
                <w:sz w:val="20"/>
                <w:szCs w:val="20"/>
              </w:rPr>
            </w:pPr>
            <w:r w:rsidRPr="42ABA9AD" w:rsidR="4E252738">
              <w:rPr>
                <w:rFonts w:ascii="Calibri" w:hAnsi="Calibri" w:eastAsia="Times New Roman" w:cs="Calibri"/>
                <w:color w:val="000000" w:themeColor="text1" w:themeTint="FF" w:themeShade="FF"/>
                <w:sz w:val="20"/>
                <w:szCs w:val="20"/>
              </w:rPr>
              <w:t>III.5</w:t>
            </w:r>
          </w:p>
          <w:p w:rsidR="7E180CBE" w:rsidP="7E180CBE" w:rsidRDefault="7E180CBE" w14:paraId="14180EF4" w14:textId="0FFBD622">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453D8846" w:rsidP="7E180CBE" w:rsidRDefault="453D8846" w14:paraId="2D7620D0" w14:textId="7EE7C0E5">
            <w:pPr>
              <w:pStyle w:val="Standard"/>
              <w:spacing w:line="240" w:lineRule="auto"/>
              <w:rPr>
                <w:rFonts w:ascii="Calibri" w:hAnsi="Calibri" w:eastAsia="Times New Roman" w:cs="Calibri"/>
                <w:color w:val="000000" w:themeColor="text1" w:themeTint="FF" w:themeShade="FF"/>
                <w:sz w:val="20"/>
                <w:szCs w:val="20"/>
              </w:rPr>
            </w:pPr>
            <w:r w:rsidRPr="7E180CBE" w:rsidR="453D8846">
              <w:rPr>
                <w:rFonts w:ascii="Calibri" w:hAnsi="Calibri" w:eastAsia="Times New Roman" w:cs="Calibri"/>
                <w:color w:val="000000" w:themeColor="text1" w:themeTint="FF" w:themeShade="FF"/>
                <w:sz w:val="20"/>
                <w:szCs w:val="20"/>
              </w:rPr>
              <w:t>5</w:t>
            </w:r>
          </w:p>
        </w:tc>
        <w:tc>
          <w:tcPr>
            <w:tcW w:w="1260" w:type="dxa"/>
            <w:shd w:val="clear" w:color="auto" w:fill="auto"/>
            <w:tcMar/>
            <w:hideMark/>
            <w:tcPrChange w:author="Madita S." w:date="2021-08-02T16:04:00Z" w:id="173">
              <w:tcPr>
                <w:tcW w:w="1555" w:type="dxa"/>
                <w:shd w:val="clear" w:color="auto" w:fill="auto"/>
                <w:hideMark/>
              </w:tcPr>
            </w:tcPrChange>
          </w:tcPr>
          <w:p w:rsidRPr="00083210" w:rsidR="00083210" w:rsidP="4A67E97C" w:rsidRDefault="00083210" w14:paraId="55E68951"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Sources of discrepancies between global and national figures</w:t>
            </w:r>
          </w:p>
        </w:tc>
        <w:tc>
          <w:tcPr>
            <w:tcW w:w="6368" w:type="dxa"/>
            <w:shd w:val="clear" w:color="auto" w:fill="auto"/>
            <w:tcMar/>
            <w:hideMark/>
            <w:tcPrChange w:author="Madita S." w:date="2021-08-02T16:04:00Z" w:id="176">
              <w:tcPr>
                <w:tcW w:w="7229" w:type="dxa"/>
                <w:shd w:val="clear" w:color="auto" w:fill="auto"/>
                <w:tcMar/>
                <w:hideMark/>
              </w:tcPr>
            </w:tcPrChange>
          </w:tcPr>
          <w:p w:rsidRPr="00083210" w:rsidR="00083210" w:rsidP="00DF5776" w:rsidRDefault="00083210" w14:paraId="170365D8" w14:textId="40F03F3C">
            <w:pPr>
              <w:spacing w:after="0" w:line="240" w:lineRule="auto"/>
              <w:rPr>
                <w:rFonts w:ascii="Calibri" w:hAnsi="Calibri" w:eastAsia="Times New Roman" w:cs="Calibri"/>
                <w:color w:val="000000"/>
                <w:sz w:val="20"/>
                <w:szCs w:val="20"/>
              </w:rPr>
            </w:pPr>
            <w:r w:rsidRPr="0BD90799" w:rsidR="00083210">
              <w:rPr>
                <w:rFonts w:ascii="Calibri" w:hAnsi="Calibri" w:eastAsia="Times New Roman" w:cs="Calibri"/>
                <w:color w:val="000000" w:themeColor="text1" w:themeTint="FF" w:themeShade="FF"/>
                <w:sz w:val="20"/>
                <w:szCs w:val="20"/>
              </w:rPr>
              <w:t xml:space="preserve">Discrepancies are possible if there are national figures compiled at the health facility level. These would differ from the global figures, which are typically based on survey data collected at the household level. In terms of survey data, some survey reports may present a total percentage of births attended by a skilled health professional that does not conform to the SDG definition </w:t>
            </w:r>
            <w:proofErr w:type="gramStart"/>
            <w:r w:rsidRPr="0BD90799" w:rsidR="01897427">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proofErr w:type="gramEnd"/>
            <w:r w:rsidRPr="0BD90799" w:rsidR="00083210">
              <w:rPr>
                <w:rFonts w:ascii="Calibri" w:hAnsi="Calibri" w:eastAsia="Times New Roman" w:cs="Calibri"/>
                <w:color w:val="000000" w:themeColor="text1" w:themeTint="FF" w:themeShade="FF"/>
                <w:sz w:val="20"/>
                <w:szCs w:val="20"/>
              </w:rPr>
              <w:t>e.g., total includes provider that is not considered skilled, such as a community health worker</w:t>
            </w:r>
            <w:r w:rsidRPr="0BD90799" w:rsidR="734D7B28">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In that case, the proportion of childbirths by a physician, nurse, or a midwife are </w:t>
            </w:r>
            <w:r w:rsidRPr="0BD90799" w:rsidR="00083210">
              <w:rPr>
                <w:rFonts w:ascii="Calibri" w:hAnsi="Calibri" w:eastAsia="Times New Roman" w:cs="Calibri"/>
                <w:color w:val="000000" w:themeColor="text1" w:themeTint="FF" w:themeShade="FF"/>
                <w:sz w:val="20"/>
                <w:szCs w:val="20"/>
              </w:rPr>
              <w:t>totaled</w:t>
            </w:r>
            <w:r w:rsidRPr="0BD90799" w:rsidR="00083210">
              <w:rPr>
                <w:rFonts w:ascii="Calibri" w:hAnsi="Calibri" w:eastAsia="Times New Roman" w:cs="Calibri"/>
                <w:color w:val="000000" w:themeColor="text1" w:themeTint="FF" w:themeShade="FF"/>
                <w:sz w:val="20"/>
                <w:szCs w:val="20"/>
              </w:rPr>
              <w:t xml:space="preserve">, consulted with the </w:t>
            </w:r>
            <w:r w:rsidRPr="0BD90799" w:rsidR="00083210">
              <w:rPr>
                <w:rFonts w:ascii="Calibri" w:hAnsi="Calibri" w:eastAsia="Times New Roman" w:cs="Calibri"/>
                <w:color w:val="000000" w:themeColor="text1" w:themeTint="FF" w:themeShade="FF"/>
                <w:sz w:val="20"/>
                <w:szCs w:val="20"/>
              </w:rPr>
              <w:t>country</w:t>
            </w:r>
            <w:r w:rsidRPr="0BD90799" w:rsidR="00083210">
              <w:rPr>
                <w:rFonts w:ascii="Calibri" w:hAnsi="Calibri" w:eastAsia="Times New Roman" w:cs="Calibri"/>
                <w:color w:val="000000" w:themeColor="text1" w:themeTint="FF" w:themeShade="FF"/>
                <w:sz w:val="20"/>
                <w:szCs w:val="20"/>
              </w:rPr>
              <w:t xml:space="preserve"> and included in the global database as the SDG estimate. </w:t>
            </w:r>
          </w:p>
          <w:p w:rsidRPr="00083210" w:rsidR="00083210" w:rsidP="00DF5776" w:rsidRDefault="00083210" w14:paraId="19F28859" w14:textId="77777777" w14:noSpellErr="1">
            <w:pPr>
              <w:spacing w:after="0" w:line="240" w:lineRule="auto"/>
              <w:rPr>
                <w:rFonts w:ascii="Calibri" w:hAnsi="Calibri" w:eastAsia="Times New Roman" w:cs="Calibri"/>
                <w:color w:val="000000"/>
                <w:sz w:val="20"/>
                <w:szCs w:val="20"/>
              </w:rPr>
            </w:pPr>
          </w:p>
          <w:p w:rsidRPr="00083210" w:rsidR="00083210" w:rsidP="0BD90799" w:rsidRDefault="00083210" w14:paraId="2D9464F7" w14:textId="28341695">
            <w:pPr>
              <w:spacing w:after="0" w:line="240" w:lineRule="auto"/>
              <w:rPr>
                <w:rFonts w:ascii="Calibri" w:hAnsi="Calibri" w:eastAsia="Times New Roman" w:cs="Calibri"/>
                <w:color w:val="000000" w:themeColor="text1" w:themeTint="FF" w:themeShade="FF"/>
                <w:sz w:val="20"/>
                <w:szCs w:val="20"/>
              </w:rPr>
            </w:pPr>
            <w:r w:rsidRPr="0BD90799" w:rsidR="00083210">
              <w:rPr>
                <w:rFonts w:ascii="Calibri" w:hAnsi="Calibri" w:eastAsia="Times New Roman" w:cs="Calibri"/>
                <w:color w:val="000000" w:themeColor="text1" w:themeTint="FF" w:themeShade="FF"/>
                <w:sz w:val="20"/>
                <w:szCs w:val="20"/>
              </w:rPr>
              <w:t xml:space="preserve">In some countries where the indicator on skilled health personnel is not actively reported, birth in a health facility </w:t>
            </w:r>
            <w:proofErr w:type="gramStart"/>
            <w:r w:rsidRPr="0BD90799" w:rsidR="4D0C2351">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proofErr w:type="gramEnd"/>
            <w:r w:rsidRPr="0BD90799" w:rsidR="00083210">
              <w:rPr>
                <w:rFonts w:ascii="Calibri" w:hAnsi="Calibri" w:eastAsia="Times New Roman" w:cs="Calibri"/>
                <w:color w:val="000000" w:themeColor="text1" w:themeTint="FF" w:themeShade="FF"/>
                <w:sz w:val="20"/>
                <w:szCs w:val="20"/>
              </w:rPr>
              <w:t>institutional births</w:t>
            </w:r>
            <w:r w:rsidRPr="0BD90799" w:rsidR="4B6C0491">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is used as a proxy indicator. This is frequent in countries in the Latin America region, in European and Central Asian regions, where the proportion of births attended by health professionals is very high. Nonetheless, it should be noted that institutional births may underestimate the percentage of births assisted by skilled health professionals, particularly in cases </w:t>
            </w:r>
            <w:proofErr w:type="gramStart"/>
            <w:r w:rsidRPr="0BD90799" w:rsidR="00083210">
              <w:rPr>
                <w:rFonts w:ascii="Calibri" w:hAnsi="Calibri" w:eastAsia="Times New Roman" w:cs="Calibri"/>
                <w:color w:val="000000" w:themeColor="text1" w:themeTint="FF" w:themeShade="FF"/>
                <w:sz w:val="20"/>
                <w:szCs w:val="20"/>
              </w:rPr>
              <w:t>were</w:t>
            </w:r>
            <w:proofErr w:type="gramEnd"/>
            <w:r w:rsidRPr="0BD90799" w:rsidR="00083210">
              <w:rPr>
                <w:rFonts w:ascii="Calibri" w:hAnsi="Calibri" w:eastAsia="Times New Roman" w:cs="Calibri"/>
                <w:color w:val="000000" w:themeColor="text1" w:themeTint="FF" w:themeShade="FF"/>
                <w:sz w:val="20"/>
                <w:szCs w:val="20"/>
              </w:rPr>
              <w:t xml:space="preserve"> home births -assisted by skilled health professionals -are prevalent.</w:t>
            </w:r>
          </w:p>
          <w:p w:rsidRPr="00083210" w:rsidR="00083210" w:rsidP="0BD90799" w:rsidRDefault="00083210" w14:paraId="082EC604" w14:textId="07883C2E">
            <w:pPr>
              <w:pStyle w:val="Standard"/>
              <w:spacing w:after="0" w:line="240" w:lineRule="auto"/>
              <w:rPr>
                <w:rFonts w:ascii="Calibri" w:hAnsi="Calibri" w:eastAsia="Times New Roman" w:cs="Calibri"/>
                <w:color w:val="000000"/>
                <w:sz w:val="20"/>
                <w:szCs w:val="20"/>
              </w:rPr>
            </w:pPr>
          </w:p>
        </w:tc>
      </w:tr>
      <w:tr w:rsidRPr="00083210" w:rsidR="00083210" w:rsidTr="4A67E97C" w14:paraId="27C65705" w14:textId="77777777">
        <w:trPr>
          <w:trHeight w:val="557"/>
        </w:trPr>
        <w:tc>
          <w:tcPr>
            <w:tcW w:w="915" w:type="dxa"/>
            <w:shd w:val="clear" w:color="auto" w:fill="auto"/>
            <w:tcMar/>
          </w:tcPr>
          <w:p w:rsidR="7E180CBE" w:rsidP="42ABA9AD" w:rsidRDefault="7E180CBE" w14:paraId="3DCEDC76" w14:textId="25F22FB6">
            <w:pPr>
              <w:pStyle w:val="Standard"/>
              <w:spacing w:line="240" w:lineRule="auto"/>
              <w:rPr>
                <w:rFonts w:ascii="Calibri" w:hAnsi="Calibri" w:eastAsia="Times New Roman" w:cs="Calibri"/>
                <w:color w:val="000000" w:themeColor="text1" w:themeTint="FF" w:themeShade="FF"/>
                <w:sz w:val="20"/>
                <w:szCs w:val="20"/>
              </w:rPr>
            </w:pPr>
            <w:r w:rsidRPr="42ABA9AD" w:rsidR="163033AE">
              <w:rPr>
                <w:rFonts w:ascii="Calibri" w:hAnsi="Calibri" w:eastAsia="Times New Roman" w:cs="Calibri"/>
                <w:color w:val="000000" w:themeColor="text1" w:themeTint="FF" w:themeShade="FF"/>
                <w:sz w:val="20"/>
                <w:szCs w:val="20"/>
              </w:rPr>
              <w:t>III.5</w:t>
            </w:r>
          </w:p>
          <w:p w:rsidR="7E180CBE" w:rsidP="7E180CBE" w:rsidRDefault="7E180CBE" w14:paraId="50CFD4F0" w14:textId="72803766">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31949EA2" w:rsidP="7E180CBE" w:rsidRDefault="31949EA2" w14:paraId="70A861E7" w14:textId="5B53AC7B">
            <w:pPr>
              <w:pStyle w:val="Standard"/>
              <w:spacing w:line="240" w:lineRule="auto"/>
              <w:rPr>
                <w:rFonts w:ascii="Calibri" w:hAnsi="Calibri" w:eastAsia="Times New Roman" w:cs="Calibri"/>
                <w:color w:val="000000" w:themeColor="text1" w:themeTint="FF" w:themeShade="FF"/>
                <w:sz w:val="20"/>
                <w:szCs w:val="20"/>
              </w:rPr>
            </w:pPr>
            <w:r w:rsidRPr="7E180CBE" w:rsidR="31949EA2">
              <w:rPr>
                <w:rFonts w:ascii="Calibri" w:hAnsi="Calibri" w:eastAsia="Times New Roman" w:cs="Calibri"/>
                <w:color w:val="000000" w:themeColor="text1" w:themeTint="FF" w:themeShade="FF"/>
                <w:sz w:val="20"/>
                <w:szCs w:val="20"/>
              </w:rPr>
              <w:t>6</w:t>
            </w:r>
          </w:p>
        </w:tc>
        <w:tc>
          <w:tcPr>
            <w:tcW w:w="1260" w:type="dxa"/>
            <w:shd w:val="clear" w:color="auto" w:fill="auto"/>
            <w:tcMar/>
            <w:hideMark/>
            <w:tcPrChange w:author="Madita S." w:date="2021-08-02T16:12:00Z" w:id="200">
              <w:tcPr>
                <w:tcW w:w="1555" w:type="dxa"/>
                <w:shd w:val="clear" w:color="auto" w:fill="auto"/>
                <w:hideMark/>
              </w:tcPr>
            </w:tcPrChange>
          </w:tcPr>
          <w:p w:rsidRPr="00083210" w:rsidR="00083210" w:rsidP="4A67E97C" w:rsidRDefault="00083210" w14:paraId="1D9FA87B"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Process of obtaining data</w:t>
            </w:r>
          </w:p>
        </w:tc>
        <w:tc>
          <w:tcPr>
            <w:tcW w:w="6368" w:type="dxa"/>
            <w:shd w:val="clear" w:color="auto" w:fill="auto"/>
            <w:tcMar/>
            <w:hideMark/>
            <w:tcPrChange w:author="Madita S." w:date="2021-08-02T16:12:00Z" w:id="203">
              <w:tcPr>
                <w:tcW w:w="7229" w:type="dxa"/>
                <w:shd w:val="clear" w:color="auto" w:fill="auto"/>
                <w:tcMar/>
                <w:hideMark/>
              </w:tcPr>
            </w:tcPrChange>
          </w:tcPr>
          <w:p w:rsidRPr="00083210" w:rsidR="00083210" w:rsidP="00DF5776" w:rsidRDefault="00083210" w14:paraId="2DB7F6E7" w14:textId="3163C74D">
            <w:pPr>
              <w:spacing w:after="0" w:line="240" w:lineRule="auto"/>
              <w:rPr>
                <w:rFonts w:ascii="Calibri" w:hAnsi="Calibri" w:eastAsia="Times New Roman" w:cs="Calibri"/>
                <w:color w:val="000000"/>
                <w:sz w:val="20"/>
                <w:szCs w:val="20"/>
              </w:rPr>
            </w:pPr>
            <w:r w:rsidRPr="0BD90799" w:rsidR="00083210">
              <w:rPr>
                <w:rFonts w:ascii="Calibri" w:hAnsi="Calibri" w:eastAsia="Times New Roman" w:cs="Calibri"/>
                <w:color w:val="000000" w:themeColor="text1" w:themeTint="FF" w:themeShade="FF"/>
                <w:sz w:val="20"/>
                <w:szCs w:val="20"/>
              </w:rPr>
              <w:t xml:space="preserve">National-level household surveys are the main data sources used to collect data for skilled health personnel. These surveys include Demographic and Health Surveys </w:t>
            </w:r>
            <w:r w:rsidRPr="0BD90799" w:rsidR="7C4C3149">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(DHS</w:t>
            </w:r>
            <w:r w:rsidRPr="0BD90799" w:rsidR="04A22600">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Multiple Indicator Cluster Surveys </w:t>
            </w:r>
            <w:r w:rsidRPr="0BD90799" w:rsidR="2CD28DFC">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(MICS</w:t>
            </w:r>
            <w:r w:rsidRPr="0BD90799" w:rsidR="08B482C7">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Reproductive Health Surveys </w:t>
            </w:r>
            <w:r w:rsidRPr="0BD90799" w:rsidR="4C6AC5A1">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(RHS</w:t>
            </w:r>
            <w:r w:rsidRPr="0BD90799" w:rsidR="7261045A">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and other national surveys based on similar methodologies. Surveys are undertaken every 3 to 5 years. Data sources also include routine service statistics</w:t>
            </w:r>
            <w:r w:rsidRPr="0BD90799" w:rsidR="4E029F5A">
              <w:rPr>
                <w:rFonts w:ascii="Calibri" w:hAnsi="Calibri" w:eastAsia="Times New Roman" w:cs="Calibri"/>
                <w:color w:val="000000" w:themeColor="text1" w:themeTint="FF" w:themeShade="FF"/>
                <w:sz w:val="20"/>
                <w:szCs w:val="20"/>
              </w:rPr>
              <w:t>.</w:t>
            </w:r>
          </w:p>
          <w:p w:rsidRPr="00083210" w:rsidR="00083210" w:rsidP="00DF5776" w:rsidRDefault="00083210" w14:paraId="45D893E4" w14:textId="77777777" w14:noSpellErr="1">
            <w:pPr>
              <w:spacing w:after="0" w:line="240" w:lineRule="auto"/>
              <w:rPr>
                <w:rFonts w:ascii="Calibri" w:hAnsi="Calibri" w:eastAsia="Times New Roman" w:cs="Calibri"/>
                <w:color w:val="000000"/>
                <w:sz w:val="20"/>
                <w:szCs w:val="20"/>
              </w:rPr>
            </w:pPr>
          </w:p>
          <w:p w:rsidRPr="00083210" w:rsidR="00083210" w:rsidP="00DF5776" w:rsidRDefault="00083210" w14:paraId="5FBE4146" w14:textId="7B6E0D4D">
            <w:pPr>
              <w:spacing w:after="0" w:line="240" w:lineRule="auto"/>
              <w:rPr>
                <w:rFonts w:ascii="Calibri" w:hAnsi="Calibri" w:eastAsia="Times New Roman" w:cs="Calibri"/>
                <w:color w:val="000000"/>
                <w:sz w:val="20"/>
                <w:szCs w:val="20"/>
              </w:rPr>
            </w:pPr>
            <w:r w:rsidRPr="0BD90799" w:rsidR="00083210">
              <w:rPr>
                <w:rFonts w:ascii="Calibri" w:hAnsi="Calibri" w:eastAsia="Times New Roman" w:cs="Calibri"/>
                <w:color w:val="000000" w:themeColor="text1" w:themeTint="FF" w:themeShade="FF"/>
                <w:sz w:val="20"/>
                <w:szCs w:val="20"/>
              </w:rPr>
              <w:t xml:space="preserve">Population-based surveys </w:t>
            </w:r>
            <w:proofErr w:type="gramStart"/>
            <w:r w:rsidRPr="0BD90799" w:rsidR="00083210">
              <w:rPr>
                <w:rFonts w:ascii="Calibri" w:hAnsi="Calibri" w:eastAsia="Times New Roman" w:cs="Calibri"/>
                <w:color w:val="000000" w:themeColor="text1" w:themeTint="FF" w:themeShade="FF"/>
                <w:sz w:val="20"/>
                <w:szCs w:val="20"/>
              </w:rPr>
              <w:t>is</w:t>
            </w:r>
            <w:proofErr w:type="gramEnd"/>
            <w:r w:rsidRPr="0BD90799" w:rsidR="00083210">
              <w:rPr>
                <w:rFonts w:ascii="Calibri" w:hAnsi="Calibri" w:eastAsia="Times New Roman" w:cs="Calibri"/>
                <w:color w:val="000000" w:themeColor="text1" w:themeTint="FF" w:themeShade="FF"/>
                <w:sz w:val="20"/>
                <w:szCs w:val="20"/>
              </w:rPr>
              <w:t xml:space="preserve"> the preferred data source in countries with a low utilization of childbirth services, where private sector data are excluded from routine data collection, and/or with weak health information systems. These surveys include Demographic and Health Surveys </w:t>
            </w:r>
            <w:r w:rsidRPr="0BD90799" w:rsidR="1DEF0499">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(DHS</w:t>
            </w:r>
            <w:r w:rsidRPr="0BD90799" w:rsidR="6C25CAAC">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Multiple Indicator Cluster Surveys </w:t>
            </w:r>
            <w:r w:rsidRPr="0BD90799" w:rsidR="3557BA9E">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(MICS</w:t>
            </w:r>
            <w:r w:rsidRPr="0BD90799" w:rsidR="75805304">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Reproductive Health Surveys </w:t>
            </w:r>
            <w:r w:rsidRPr="0BD90799" w:rsidR="696D77E2">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(RHS</w:t>
            </w:r>
            <w:r w:rsidRPr="0BD90799" w:rsidR="06D30E38">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 and other national surveys based on similar methodologies. In MICS, DHS and similar surveys, the respondent is asked about the last live birth and who helped during delivery for a period up to five years before the interview. The surveys are generally undertaken every 3 to 5 years. </w:t>
            </w:r>
          </w:p>
          <w:p w:rsidRPr="00083210" w:rsidR="00083210" w:rsidP="00DF5776" w:rsidRDefault="00083210" w14:paraId="0B698647" w14:textId="77777777" w14:noSpellErr="1">
            <w:pPr>
              <w:spacing w:after="0" w:line="240" w:lineRule="auto"/>
              <w:rPr>
                <w:rFonts w:ascii="Calibri" w:hAnsi="Calibri" w:eastAsia="Times New Roman" w:cs="Calibri"/>
                <w:color w:val="000000"/>
                <w:sz w:val="20"/>
                <w:szCs w:val="20"/>
              </w:rPr>
            </w:pPr>
          </w:p>
          <w:p w:rsidRPr="00083210" w:rsidR="00083210" w:rsidP="0BD90799" w:rsidRDefault="00083210" w14:paraId="7149FA7A" w14:textId="5BFFF594">
            <w:pPr>
              <w:spacing w:after="0" w:line="240" w:lineRule="auto"/>
              <w:rPr>
                <w:rFonts w:ascii="Calibri" w:hAnsi="Calibri" w:eastAsia="Times New Roman" w:cs="Calibri"/>
                <w:color w:val="000000" w:themeColor="text1" w:themeTint="FF" w:themeShade="FF"/>
                <w:sz w:val="20"/>
                <w:szCs w:val="20"/>
              </w:rPr>
            </w:pPr>
            <w:r w:rsidRPr="0BD90799" w:rsidR="00083210">
              <w:rPr>
                <w:rFonts w:ascii="Calibri" w:hAnsi="Calibri" w:eastAsia="Times New Roman" w:cs="Calibri"/>
                <w:color w:val="000000" w:themeColor="text1" w:themeTint="FF" w:themeShade="FF"/>
                <w:sz w:val="20"/>
                <w:szCs w:val="20"/>
              </w:rPr>
              <w:t xml:space="preserve">Routine service/facility records </w:t>
            </w:r>
            <w:proofErr w:type="gramStart"/>
            <w:r w:rsidRPr="0BD90799" w:rsidR="00083210">
              <w:rPr>
                <w:rFonts w:ascii="Calibri" w:hAnsi="Calibri" w:eastAsia="Times New Roman" w:cs="Calibri"/>
                <w:color w:val="000000" w:themeColor="text1" w:themeTint="FF" w:themeShade="FF"/>
                <w:sz w:val="20"/>
                <w:szCs w:val="20"/>
              </w:rPr>
              <w:t>is</w:t>
            </w:r>
            <w:proofErr w:type="gramEnd"/>
            <w:r w:rsidRPr="0BD90799" w:rsidR="00083210">
              <w:rPr>
                <w:rFonts w:ascii="Calibri" w:hAnsi="Calibri" w:eastAsia="Times New Roman" w:cs="Calibri"/>
                <w:color w:val="000000" w:themeColor="text1" w:themeTint="FF" w:themeShade="FF"/>
                <w:sz w:val="20"/>
                <w:szCs w:val="20"/>
              </w:rPr>
              <w:t xml:space="preserve"> a more </w:t>
            </w:r>
            <w:proofErr w:type="gramStart"/>
            <w:r w:rsidRPr="0BD90799" w:rsidR="00083210">
              <w:rPr>
                <w:rFonts w:ascii="Calibri" w:hAnsi="Calibri" w:eastAsia="Times New Roman" w:cs="Calibri"/>
                <w:color w:val="000000" w:themeColor="text1" w:themeTint="FF" w:themeShade="FF"/>
                <w:sz w:val="20"/>
                <w:szCs w:val="20"/>
              </w:rPr>
              <w:t>commons</w:t>
            </w:r>
            <w:proofErr w:type="gramEnd"/>
            <w:r w:rsidRPr="0BD90799" w:rsidR="00083210">
              <w:rPr>
                <w:rFonts w:ascii="Calibri" w:hAnsi="Calibri" w:eastAsia="Times New Roman" w:cs="Calibri"/>
                <w:color w:val="000000" w:themeColor="text1" w:themeTint="FF" w:themeShade="FF"/>
                <w:sz w:val="20"/>
                <w:szCs w:val="20"/>
              </w:rPr>
              <w:t xml:space="preserve"> data source in countries where a high proportion of births occur in health facilities and are therefore recorded. These data can be used to track the indicator on an annual basis.</w:t>
            </w:r>
            <w:r>
              <w:br/>
            </w:r>
            <w:r>
              <w:br/>
            </w:r>
            <w:r w:rsidRPr="0BD90799" w:rsidR="60DBE6BF">
              <w:rPr>
                <w:rFonts w:ascii="Calibri" w:hAnsi="Calibri" w:eastAsia="Times New Roman" w:cs="Calibri"/>
                <w:b w:val="0"/>
                <w:bCs w:val="0"/>
                <w:color w:val="000000" w:themeColor="text1" w:themeTint="FF" w:themeShade="FF"/>
                <w:sz w:val="20"/>
                <w:szCs w:val="20"/>
              </w:rPr>
              <w:t>**</w:t>
            </w:r>
            <w:r w:rsidRPr="0BD90799" w:rsidR="00083210">
              <w:rPr>
                <w:rFonts w:ascii="Calibri" w:hAnsi="Calibri" w:eastAsia="Times New Roman" w:cs="Calibri"/>
                <w:b w:val="0"/>
                <w:bCs w:val="0"/>
                <w:color w:val="000000" w:themeColor="text1" w:themeTint="FF" w:themeShade="FF"/>
                <w:sz w:val="20"/>
                <w:szCs w:val="20"/>
              </w:rPr>
              <w:t>Collection proc</w:t>
            </w:r>
            <w:r w:rsidRPr="0BD90799" w:rsidR="00083210">
              <w:rPr>
                <w:rFonts w:ascii="Calibri" w:hAnsi="Calibri" w:eastAsia="Times New Roman" w:cs="Calibri"/>
                <w:b w:val="0"/>
                <w:bCs w:val="0"/>
                <w:color w:val="000000" w:themeColor="text1" w:themeTint="FF" w:themeShade="FF"/>
                <w:sz w:val="20"/>
                <w:szCs w:val="20"/>
              </w:rPr>
              <w:t>es</w:t>
            </w:r>
            <w:r w:rsidRPr="0BD90799" w:rsidR="00083210">
              <w:rPr>
                <w:rFonts w:ascii="Calibri" w:hAnsi="Calibri" w:eastAsia="Times New Roman" w:cs="Calibri"/>
                <w:b w:val="0"/>
                <w:bCs w:val="0"/>
                <w:color w:val="000000" w:themeColor="text1" w:themeTint="FF" w:themeShade="FF"/>
                <w:sz w:val="20"/>
                <w:szCs w:val="20"/>
              </w:rPr>
              <w:t>s</w:t>
            </w:r>
            <w:r w:rsidRPr="0BD90799" w:rsidR="35D05C26">
              <w:rPr>
                <w:rFonts w:ascii="Calibri" w:hAnsi="Calibri" w:eastAsia="Times New Roman" w:cs="Calibri"/>
                <w:b w:val="0"/>
                <w:bCs w:val="0"/>
                <w:color w:val="000000" w:themeColor="text1" w:themeTint="FF" w:themeShade="FF"/>
                <w:sz w:val="20"/>
                <w:szCs w:val="20"/>
              </w:rPr>
              <w:t>**</w:t>
            </w:r>
            <w:r>
              <w:br/>
            </w:r>
            <w:r w:rsidRPr="0BD90799" w:rsidR="00083210">
              <w:rPr>
                <w:rFonts w:ascii="Calibri" w:hAnsi="Calibri" w:eastAsia="Times New Roman" w:cs="Calibri"/>
                <w:color w:val="000000" w:themeColor="text1" w:themeTint="FF" w:themeShade="FF"/>
                <w:sz w:val="20"/>
                <w:szCs w:val="20"/>
              </w:rPr>
              <w:t xml:space="preserve">UNICEF and WHO maintain a joint database on Proportion of births attended by skilled health personnel and collaborate to ensure quality and consistency of data sources </w:t>
            </w:r>
            <w:proofErr w:type="gramStart"/>
            <w:r w:rsidRPr="0BD90799" w:rsidR="28DA1D6B">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proofErr w:type="gramEnd"/>
            <w:r w:rsidRPr="0BD90799" w:rsidR="00083210">
              <w:rPr>
                <w:rFonts w:ascii="Calibri" w:hAnsi="Calibri" w:eastAsia="Times New Roman" w:cs="Calibri"/>
                <w:color w:val="000000" w:themeColor="text1" w:themeTint="FF" w:themeShade="FF"/>
                <w:sz w:val="20"/>
                <w:szCs w:val="20"/>
              </w:rPr>
              <w:t>mentioned</w:t>
            </w:r>
            <w:r w:rsidRPr="0BD90799" w:rsidR="00083210">
              <w:rPr>
                <w:rFonts w:ascii="Calibri" w:hAnsi="Calibri" w:eastAsia="Times New Roman" w:cs="Calibri"/>
                <w:color w:val="000000" w:themeColor="text1" w:themeTint="FF" w:themeShade="FF"/>
                <w:sz w:val="20"/>
                <w:szCs w:val="20"/>
              </w:rPr>
              <w:t xml:space="preserve"> above</w:t>
            </w:r>
            <w:r w:rsidRPr="0BD90799" w:rsidR="0268D7DD">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As part of the data harmonization process and interaction with countries an annual country consultation is conducted by UNICEF. During the country consultation SDG country focal points are contacted for updating and verifying values included in the database and for obtaining new data sources. New data sources are reviewed and assessed jointly with WHO. As part of the process, the national categories of skilled health personnel are verified. The reported data for some countries may include additional categories of trained personnel beyond doctor, nurse and midwife.</w:t>
            </w:r>
            <w:proofErr w:type="gramStart"/>
            <w:proofErr w:type="gramEnd"/>
          </w:p>
          <w:p w:rsidRPr="00083210" w:rsidR="00083210" w:rsidP="0BD90799" w:rsidRDefault="00083210" w14:paraId="49883FF9" w14:textId="3919A02D">
            <w:pPr>
              <w:pStyle w:val="Standard"/>
              <w:spacing w:after="0" w:line="240" w:lineRule="auto"/>
              <w:rPr>
                <w:rFonts w:ascii="Calibri" w:hAnsi="Calibri" w:eastAsia="Times New Roman" w:cs="Calibri"/>
                <w:color w:val="000000" w:themeColor="text1" w:themeTint="FF" w:themeShade="FF"/>
                <w:sz w:val="20"/>
                <w:szCs w:val="20"/>
              </w:rPr>
            </w:pPr>
          </w:p>
          <w:p w:rsidRPr="00083210" w:rsidR="00083210" w:rsidP="0BD90799" w:rsidRDefault="00083210" w14:paraId="75FAA2A8" w14:textId="637E2834">
            <w:pPr>
              <w:pStyle w:val="Standard"/>
              <w:spacing w:after="0" w:line="240" w:lineRule="auto"/>
              <w:rPr>
                <w:rFonts w:ascii="Calibri" w:hAnsi="Calibri" w:eastAsia="Times New Roman" w:cs="Calibri"/>
                <w:color w:val="000000" w:themeColor="text1" w:themeTint="FF" w:themeShade="FF"/>
                <w:sz w:val="20"/>
                <w:szCs w:val="20"/>
              </w:rPr>
            </w:pPr>
            <w:r w:rsidRPr="0BD90799" w:rsidR="6C23AD7F">
              <w:rPr>
                <w:rFonts w:ascii="Calibri" w:hAnsi="Calibri" w:eastAsia="Times New Roman" w:cs="Calibri"/>
                <w:color w:val="000000" w:themeColor="text1" w:themeTint="FF" w:themeShade="FF"/>
                <w:sz w:val="20"/>
                <w:szCs w:val="20"/>
              </w:rPr>
              <w:t>UNICEF/WHO database is updated on an annual basis. However, not all countries report new data on annual basis. Countries reporting data from household surveys, may report a new value every 3-5 years, according to their data collection schedule. Data reported from routine administrative source are regularly available on an annual basis.</w:t>
            </w:r>
          </w:p>
          <w:p w:rsidRPr="00083210" w:rsidR="00083210" w:rsidP="0BD90799" w:rsidRDefault="00083210" w14:paraId="110F4908" w14:textId="485DAD35">
            <w:pPr>
              <w:pStyle w:val="Standard"/>
              <w:spacing w:after="0" w:line="240" w:lineRule="auto"/>
              <w:rPr>
                <w:rFonts w:ascii="Calibri" w:hAnsi="Calibri" w:eastAsia="Times New Roman" w:cs="Calibri"/>
                <w:color w:val="000000"/>
                <w:sz w:val="20"/>
                <w:szCs w:val="20"/>
              </w:rPr>
            </w:pPr>
          </w:p>
        </w:tc>
      </w:tr>
      <w:tr w:rsidRPr="00083210" w:rsidR="00083210" w:rsidTr="4A67E97C" w14:paraId="4F6F2DEF" w14:textId="77777777">
        <w:trPr>
          <w:trHeight w:val="900"/>
        </w:trPr>
        <w:tc>
          <w:tcPr>
            <w:tcW w:w="915" w:type="dxa"/>
            <w:shd w:val="clear" w:color="auto" w:fill="auto"/>
            <w:tcMar/>
          </w:tcPr>
          <w:p w:rsidR="7E180CBE" w:rsidP="42ABA9AD" w:rsidRDefault="7E180CBE" w14:paraId="37579343" w14:textId="25F22FB6">
            <w:pPr>
              <w:pStyle w:val="Standard"/>
              <w:spacing w:line="240" w:lineRule="auto"/>
              <w:rPr>
                <w:rFonts w:ascii="Calibri" w:hAnsi="Calibri" w:eastAsia="Times New Roman" w:cs="Calibri"/>
                <w:color w:val="000000" w:themeColor="text1" w:themeTint="FF" w:themeShade="FF"/>
                <w:sz w:val="20"/>
                <w:szCs w:val="20"/>
              </w:rPr>
            </w:pPr>
            <w:r w:rsidRPr="42ABA9AD" w:rsidR="3CAFC7B4">
              <w:rPr>
                <w:rFonts w:ascii="Calibri" w:hAnsi="Calibri" w:eastAsia="Times New Roman" w:cs="Calibri"/>
                <w:color w:val="000000" w:themeColor="text1" w:themeTint="FF" w:themeShade="FF"/>
                <w:sz w:val="20"/>
                <w:szCs w:val="20"/>
              </w:rPr>
              <w:t>III.5</w:t>
            </w:r>
          </w:p>
          <w:p w:rsidR="7E180CBE" w:rsidP="7E180CBE" w:rsidRDefault="7E180CBE" w14:paraId="043E9367" w14:textId="020D985C">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31949EA2" w:rsidP="7E180CBE" w:rsidRDefault="31949EA2" w14:paraId="4155A36E" w14:textId="6048CEC3">
            <w:pPr>
              <w:pStyle w:val="Standard"/>
              <w:spacing w:line="240" w:lineRule="auto"/>
              <w:rPr>
                <w:rFonts w:ascii="Calibri" w:hAnsi="Calibri" w:eastAsia="Times New Roman" w:cs="Calibri"/>
                <w:color w:val="000000" w:themeColor="text1" w:themeTint="FF" w:themeShade="FF"/>
                <w:sz w:val="20"/>
                <w:szCs w:val="20"/>
              </w:rPr>
            </w:pPr>
            <w:r w:rsidRPr="7E180CBE" w:rsidR="31949EA2">
              <w:rPr>
                <w:rFonts w:ascii="Calibri" w:hAnsi="Calibri" w:eastAsia="Times New Roman" w:cs="Calibri"/>
                <w:color w:val="000000" w:themeColor="text1" w:themeTint="FF" w:themeShade="FF"/>
                <w:sz w:val="20"/>
                <w:szCs w:val="20"/>
              </w:rPr>
              <w:t>7</w:t>
            </w:r>
          </w:p>
        </w:tc>
        <w:tc>
          <w:tcPr>
            <w:tcW w:w="1260" w:type="dxa"/>
            <w:shd w:val="clear" w:color="auto" w:fill="auto"/>
            <w:tcMar/>
            <w:hideMark/>
            <w:tcPrChange w:author="Madita S." w:date="2021-08-02T16:04:00Z" w:id="249">
              <w:tcPr>
                <w:tcW w:w="1555" w:type="dxa"/>
                <w:shd w:val="clear" w:color="auto" w:fill="auto"/>
                <w:hideMark/>
              </w:tcPr>
            </w:tcPrChange>
          </w:tcPr>
          <w:p w:rsidRPr="00083210" w:rsidR="00083210" w:rsidP="4A67E97C" w:rsidRDefault="00083210" w14:paraId="514495C1"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Treatment of missing values</w:t>
            </w:r>
          </w:p>
        </w:tc>
        <w:tc>
          <w:tcPr>
            <w:tcW w:w="6368" w:type="dxa"/>
            <w:shd w:val="clear" w:color="auto" w:fill="auto"/>
            <w:tcMar/>
            <w:hideMark/>
            <w:tcPrChange w:author="Madita S." w:date="2021-08-02T16:04:00Z" w:id="252">
              <w:tcPr>
                <w:tcW w:w="7229" w:type="dxa"/>
                <w:shd w:val="clear" w:color="auto" w:fill="auto"/>
                <w:tcMar/>
                <w:hideMark/>
              </w:tcPr>
            </w:tcPrChange>
          </w:tcPr>
          <w:p w:rsidRPr="00083210" w:rsidR="00083210" w:rsidP="42ABA9AD" w:rsidRDefault="00083210" w14:paraId="22A78B94" w14:textId="6431C7FC">
            <w:pPr>
              <w:pStyle w:val="Standard"/>
              <w:spacing w:after="0" w:line="240" w:lineRule="auto"/>
              <w:ind w:left="0"/>
              <w:rPr>
                <w:rFonts w:ascii="Calibri" w:hAnsi="Calibri" w:eastAsia="Times New Roman" w:cs="Calibri"/>
                <w:b w:val="0"/>
                <w:bCs w:val="0"/>
                <w:color w:val="000000" w:themeColor="text1" w:themeTint="FF" w:themeShade="FF"/>
                <w:sz w:val="20"/>
                <w:szCs w:val="20"/>
              </w:rPr>
            </w:pPr>
            <w:r w:rsidRPr="0BD90799" w:rsidR="71115E15">
              <w:rPr>
                <w:rFonts w:ascii="Calibri" w:hAnsi="Calibri" w:eastAsia="Times New Roman" w:cs="Calibri"/>
                <w:b w:val="0"/>
                <w:bCs w:val="0"/>
                <w:color w:val="000000" w:themeColor="text1" w:themeTint="FF" w:themeShade="FF"/>
                <w:sz w:val="20"/>
                <w:szCs w:val="20"/>
              </w:rPr>
              <w:t>**</w:t>
            </w:r>
            <w:r w:rsidRPr="0BD90799" w:rsidR="00083210">
              <w:rPr>
                <w:rFonts w:ascii="Calibri" w:hAnsi="Calibri" w:eastAsia="Times New Roman" w:cs="Calibri"/>
                <w:b w:val="0"/>
                <w:bCs w:val="0"/>
                <w:color w:val="000000" w:themeColor="text1" w:themeTint="FF" w:themeShade="FF"/>
                <w:sz w:val="20"/>
                <w:szCs w:val="20"/>
              </w:rPr>
              <w:t>At</w:t>
            </w:r>
            <w:r w:rsidRPr="0BD90799" w:rsidR="00083210">
              <w:rPr>
                <w:rFonts w:ascii="Calibri" w:hAnsi="Calibri" w:eastAsia="Times New Roman" w:cs="Calibri"/>
                <w:b w:val="0"/>
                <w:bCs w:val="0"/>
                <w:color w:val="000000" w:themeColor="text1" w:themeTint="FF" w:themeShade="FF"/>
                <w:sz w:val="20"/>
                <w:szCs w:val="20"/>
              </w:rPr>
              <w:t xml:space="preserve"> country level</w:t>
            </w:r>
            <w:r w:rsidRPr="0BD90799" w:rsidR="26ECCFC2">
              <w:rPr>
                <w:rFonts w:ascii="Calibri" w:hAnsi="Calibri" w:eastAsia="Times New Roman" w:cs="Calibri"/>
                <w:b w:val="0"/>
                <w:bCs w:val="0"/>
                <w:color w:val="000000" w:themeColor="text1" w:themeTint="FF" w:themeShade="FF"/>
                <w:sz w:val="20"/>
                <w:szCs w:val="20"/>
              </w:rPr>
              <w:t>**</w:t>
            </w:r>
          </w:p>
          <w:p w:rsidRPr="00083210" w:rsidR="00083210" w:rsidP="22C55E2F" w:rsidRDefault="00083210" w14:paraId="2F92263E" w14:textId="33F24F28">
            <w:pPr>
              <w:pStyle w:val="Standard"/>
              <w:spacing w:after="0" w:line="240" w:lineRule="auto"/>
              <w:ind w:left="0"/>
              <w:rPr>
                <w:rFonts w:ascii="Calibri" w:hAnsi="Calibri" w:eastAsia="Times New Roman" w:cs="Calibri"/>
                <w:b w:val="0"/>
                <w:bCs w:val="0"/>
                <w:color w:val="000000"/>
                <w:sz w:val="20"/>
                <w:szCs w:val="20"/>
              </w:rPr>
            </w:pPr>
            <w:r w:rsidRPr="0BD90799" w:rsidR="00083210">
              <w:rPr>
                <w:rFonts w:ascii="Calibri" w:hAnsi="Calibri" w:eastAsia="Times New Roman" w:cs="Calibri"/>
                <w:color w:val="000000" w:themeColor="text1" w:themeTint="FF" w:themeShade="FF"/>
                <w:sz w:val="20"/>
                <w:szCs w:val="20"/>
              </w:rPr>
              <w:t>There is no treatment of missing values at country level. If value is missing for a given year, then there is no reporting of that value.</w:t>
            </w:r>
            <w:r>
              <w:br/>
            </w:r>
          </w:p>
          <w:p w:rsidRPr="00083210" w:rsidR="00083210" w:rsidP="0BD90799" w:rsidRDefault="00083210" w14:paraId="28023917" w14:textId="3ABFC927">
            <w:pPr>
              <w:pStyle w:val="Standard"/>
              <w:spacing w:after="0" w:line="240" w:lineRule="auto"/>
              <w:ind w:left="0"/>
              <w:rPr>
                <w:rFonts w:ascii="Calibri" w:hAnsi="Calibri" w:eastAsia="Times New Roman" w:cs="Calibri"/>
                <w:b w:val="0"/>
                <w:bCs w:val="0"/>
                <w:color w:val="000000"/>
                <w:sz w:val="20"/>
                <w:szCs w:val="20"/>
              </w:rPr>
            </w:pPr>
            <w:bookmarkStart w:name="_Hlk78351684" w:id="276"/>
            <w:r w:rsidRPr="0BD90799" w:rsidR="25633033">
              <w:rPr>
                <w:rFonts w:ascii="Calibri" w:hAnsi="Calibri" w:eastAsia="Times New Roman" w:cs="Calibri"/>
                <w:b w:val="0"/>
                <w:bCs w:val="0"/>
                <w:color w:val="000000" w:themeColor="text1" w:themeTint="FF" w:themeShade="FF"/>
                <w:sz w:val="20"/>
                <w:szCs w:val="20"/>
              </w:rPr>
              <w:t>**</w:t>
            </w:r>
            <w:r w:rsidRPr="0BD90799" w:rsidR="00083210">
              <w:rPr>
                <w:rFonts w:ascii="Calibri" w:hAnsi="Calibri" w:eastAsia="Times New Roman" w:cs="Calibri"/>
                <w:b w:val="0"/>
                <w:bCs w:val="0"/>
                <w:color w:val="000000" w:themeColor="text1" w:themeTint="FF" w:themeShade="FF"/>
                <w:sz w:val="20"/>
                <w:szCs w:val="20"/>
              </w:rPr>
              <w:t>At regional and global levels</w:t>
            </w:r>
            <w:r w:rsidRPr="0BD90799" w:rsidR="656FD8CF">
              <w:rPr>
                <w:rFonts w:ascii="Calibri" w:hAnsi="Calibri" w:eastAsia="Times New Roman" w:cs="Calibri"/>
                <w:b w:val="0"/>
                <w:bCs w:val="0"/>
                <w:color w:val="000000" w:themeColor="text1" w:themeTint="FF" w:themeShade="FF"/>
                <w:sz w:val="20"/>
                <w:szCs w:val="20"/>
              </w:rPr>
              <w:t>**</w:t>
            </w:r>
          </w:p>
          <w:bookmarkEnd w:id="276"/>
          <w:p w:rsidRPr="00083210" w:rsidR="00083210" w:rsidP="0BD90799" w:rsidRDefault="00083210" w14:paraId="47B04B4E" w14:textId="3A0B94CE">
            <w:pPr>
              <w:spacing w:after="0" w:line="240" w:lineRule="auto"/>
              <w:rPr>
                <w:rFonts w:ascii="Calibri" w:hAnsi="Calibri" w:eastAsia="Times New Roman" w:cs="Calibri"/>
                <w:color w:val="000000" w:themeColor="text1" w:themeTint="FF" w:themeShade="FF"/>
                <w:sz w:val="20"/>
                <w:szCs w:val="20"/>
              </w:rPr>
            </w:pPr>
            <w:r w:rsidRPr="0BD90799" w:rsidR="00083210">
              <w:rPr>
                <w:rFonts w:ascii="Calibri" w:hAnsi="Calibri" w:eastAsia="Times New Roman" w:cs="Calibri"/>
                <w:color w:val="000000" w:themeColor="text1" w:themeTint="FF" w:themeShade="FF"/>
                <w:sz w:val="20"/>
                <w:szCs w:val="20"/>
              </w:rPr>
              <w:t xml:space="preserve">Missing values are not imputed for regional and global levels. For the latest reported </w:t>
            </w:r>
            <w:r w:rsidRPr="0BD90799" w:rsidR="00083210">
              <w:rPr>
                <w:rFonts w:ascii="Calibri" w:hAnsi="Calibri" w:eastAsia="Times New Roman" w:cs="Calibri"/>
                <w:color w:val="000000" w:themeColor="text1" w:themeTint="FF" w:themeShade="FF"/>
                <w:sz w:val="20"/>
                <w:szCs w:val="20"/>
              </w:rPr>
              <w:t>time period</w:t>
            </w:r>
            <w:r w:rsidRPr="0BD90799" w:rsidR="00083210">
              <w:rPr>
                <w:rFonts w:ascii="Calibri" w:hAnsi="Calibri" w:eastAsia="Times New Roman" w:cs="Calibri"/>
                <w:color w:val="000000" w:themeColor="text1" w:themeTint="FF" w:themeShade="FF"/>
                <w:sz w:val="20"/>
                <w:szCs w:val="20"/>
              </w:rPr>
              <w:t>, the latest available year in the year range is used for the calculation of regional and global average</w:t>
            </w:r>
            <w:r w:rsidRPr="0BD90799" w:rsidR="08BAB20C">
              <w:rPr>
                <w:rFonts w:ascii="Calibri" w:hAnsi="Calibri" w:eastAsia="Times New Roman" w:cs="Calibri"/>
                <w:color w:val="000000" w:themeColor="text1" w:themeTint="FF" w:themeShade="FF"/>
                <w:sz w:val="20"/>
                <w:szCs w:val="20"/>
              </w:rPr>
              <w:t>.</w:t>
            </w:r>
          </w:p>
          <w:p w:rsidRPr="00083210" w:rsidR="00083210" w:rsidP="0BD90799" w:rsidRDefault="00083210" w14:paraId="4F31FFFA" w14:textId="1B5F6C6F">
            <w:pPr>
              <w:pStyle w:val="Standard"/>
              <w:spacing w:after="0" w:line="240" w:lineRule="auto"/>
              <w:rPr>
                <w:rFonts w:ascii="Calibri" w:hAnsi="Calibri" w:eastAsia="Times New Roman" w:cs="Calibri"/>
                <w:color w:val="000000"/>
                <w:sz w:val="20"/>
                <w:szCs w:val="20"/>
              </w:rPr>
            </w:pPr>
          </w:p>
        </w:tc>
      </w:tr>
      <w:tr w:rsidRPr="00083210" w:rsidR="00083210" w:rsidTr="4A67E97C" w14:paraId="418177D8" w14:textId="77777777">
        <w:trPr>
          <w:trHeight w:val="900"/>
        </w:trPr>
        <w:tc>
          <w:tcPr>
            <w:tcW w:w="915" w:type="dxa"/>
            <w:shd w:val="clear" w:color="auto" w:fill="auto"/>
            <w:tcMar/>
          </w:tcPr>
          <w:p w:rsidR="7E180CBE" w:rsidP="42ABA9AD" w:rsidRDefault="7E180CBE" w14:paraId="01E5A588" w14:textId="25F22FB6">
            <w:pPr>
              <w:pStyle w:val="Standard"/>
              <w:spacing w:line="240" w:lineRule="auto"/>
              <w:rPr>
                <w:rFonts w:ascii="Calibri" w:hAnsi="Calibri" w:eastAsia="Times New Roman" w:cs="Calibri"/>
                <w:color w:val="000000" w:themeColor="text1" w:themeTint="FF" w:themeShade="FF"/>
                <w:sz w:val="20"/>
                <w:szCs w:val="20"/>
              </w:rPr>
            </w:pPr>
            <w:r w:rsidRPr="42ABA9AD" w:rsidR="182D1BA5">
              <w:rPr>
                <w:rFonts w:ascii="Calibri" w:hAnsi="Calibri" w:eastAsia="Times New Roman" w:cs="Calibri"/>
                <w:color w:val="000000" w:themeColor="text1" w:themeTint="FF" w:themeShade="FF"/>
                <w:sz w:val="20"/>
                <w:szCs w:val="20"/>
              </w:rPr>
              <w:t>III.5</w:t>
            </w:r>
          </w:p>
          <w:p w:rsidR="7E180CBE" w:rsidP="7E180CBE" w:rsidRDefault="7E180CBE" w14:paraId="2C593EEC" w14:textId="569DD535">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150FB391" w:rsidP="7E180CBE" w:rsidRDefault="150FB391" w14:paraId="66B340B9" w14:textId="37D9EF12">
            <w:pPr>
              <w:pStyle w:val="Standard"/>
              <w:spacing w:line="240" w:lineRule="auto"/>
              <w:rPr>
                <w:rFonts w:ascii="Calibri" w:hAnsi="Calibri" w:eastAsia="Times New Roman" w:cs="Calibri"/>
                <w:color w:val="000000" w:themeColor="text1" w:themeTint="FF" w:themeShade="FF"/>
                <w:sz w:val="20"/>
                <w:szCs w:val="20"/>
              </w:rPr>
            </w:pPr>
            <w:r w:rsidRPr="7E180CBE" w:rsidR="150FB391">
              <w:rPr>
                <w:rFonts w:ascii="Calibri" w:hAnsi="Calibri" w:eastAsia="Times New Roman" w:cs="Calibri"/>
                <w:color w:val="000000" w:themeColor="text1" w:themeTint="FF" w:themeShade="FF"/>
                <w:sz w:val="20"/>
                <w:szCs w:val="20"/>
              </w:rPr>
              <w:t>8</w:t>
            </w:r>
          </w:p>
        </w:tc>
        <w:tc>
          <w:tcPr>
            <w:tcW w:w="1260" w:type="dxa"/>
            <w:shd w:val="clear" w:color="auto" w:fill="auto"/>
            <w:tcMar/>
            <w:hideMark/>
            <w:tcPrChange w:author="Madita S." w:date="2021-08-02T16:04:00Z" w:id="285">
              <w:tcPr>
                <w:tcW w:w="1555" w:type="dxa"/>
                <w:shd w:val="clear" w:color="auto" w:fill="auto"/>
                <w:hideMark/>
              </w:tcPr>
            </w:tcPrChange>
          </w:tcPr>
          <w:p w:rsidRPr="00083210" w:rsidR="00083210" w:rsidP="4A67E97C" w:rsidRDefault="00083210" w14:paraId="75326988"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Data availability and assessment of countries’ capacity</w:t>
            </w:r>
          </w:p>
        </w:tc>
        <w:tc>
          <w:tcPr>
            <w:tcW w:w="6368" w:type="dxa"/>
            <w:shd w:val="clear" w:color="auto" w:fill="auto"/>
            <w:tcMar/>
            <w:hideMark/>
            <w:tcPrChange w:author="Madita S." w:date="2021-08-02T16:04:00Z" w:id="288">
              <w:tcPr>
                <w:tcW w:w="7229" w:type="dxa"/>
                <w:shd w:val="clear" w:color="auto" w:fill="auto"/>
                <w:tcMar/>
                <w:hideMark/>
              </w:tcPr>
            </w:tcPrChange>
          </w:tcPr>
          <w:p w:rsidRPr="00083210" w:rsidR="00083210" w:rsidP="00DF5776" w:rsidRDefault="00083210" w14:paraId="2A0771A1" w14:textId="197EEB10">
            <w:pPr>
              <w:spacing w:after="0" w:line="240" w:lineRule="auto"/>
              <w:rPr>
                <w:rFonts w:ascii="Calibri" w:hAnsi="Calibri" w:eastAsia="Times New Roman" w:cs="Calibri"/>
                <w:color w:val="000000"/>
                <w:sz w:val="20"/>
                <w:szCs w:val="20"/>
              </w:rPr>
            </w:pPr>
            <w:r w:rsidRPr="4A71BDFB" w:rsidR="00083210">
              <w:rPr>
                <w:rFonts w:ascii="Calibri" w:hAnsi="Calibri" w:eastAsia="Times New Roman" w:cs="Calibri"/>
                <w:color w:val="000000" w:themeColor="text1" w:themeTint="FF" w:themeShade="FF"/>
                <w:sz w:val="20"/>
                <w:szCs w:val="20"/>
              </w:rPr>
              <w:t xml:space="preserve">Data are available for over 170 countries. The lag between the reference year and actual production of data series depends on the availability of the household survey for each country. </w:t>
            </w:r>
            <w:r>
              <w:br/>
            </w:r>
          </w:p>
        </w:tc>
      </w:tr>
      <w:tr w:rsidRPr="00083210" w:rsidR="00083210" w:rsidTr="4A67E97C" w14:paraId="7ED6C00A" w14:textId="77777777">
        <w:trPr>
          <w:trHeight w:val="2100"/>
        </w:trPr>
        <w:tc>
          <w:tcPr>
            <w:tcW w:w="915" w:type="dxa"/>
            <w:shd w:val="clear" w:color="auto" w:fill="auto"/>
            <w:tcMar/>
          </w:tcPr>
          <w:p w:rsidR="7E180CBE" w:rsidP="42ABA9AD" w:rsidRDefault="7E180CBE" w14:paraId="7C19C81F" w14:textId="25F22FB6">
            <w:pPr>
              <w:pStyle w:val="Standard"/>
              <w:spacing w:line="240" w:lineRule="auto"/>
              <w:rPr>
                <w:rFonts w:ascii="Calibri" w:hAnsi="Calibri" w:eastAsia="Times New Roman" w:cs="Calibri"/>
                <w:color w:val="000000" w:themeColor="text1" w:themeTint="FF" w:themeShade="FF"/>
                <w:sz w:val="20"/>
                <w:szCs w:val="20"/>
              </w:rPr>
            </w:pPr>
            <w:r w:rsidRPr="42ABA9AD" w:rsidR="3153F7CE">
              <w:rPr>
                <w:rFonts w:ascii="Calibri" w:hAnsi="Calibri" w:eastAsia="Times New Roman" w:cs="Calibri"/>
                <w:color w:val="000000" w:themeColor="text1" w:themeTint="FF" w:themeShade="FF"/>
                <w:sz w:val="20"/>
                <w:szCs w:val="20"/>
              </w:rPr>
              <w:t>III.5</w:t>
            </w:r>
          </w:p>
          <w:p w:rsidR="7E180CBE" w:rsidP="7E180CBE" w:rsidRDefault="7E180CBE" w14:paraId="698BCE10" w14:textId="56A1626B">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572237CA" w:rsidP="7E180CBE" w:rsidRDefault="572237CA" w14:paraId="36343679" w14:textId="09FC6999">
            <w:pPr>
              <w:pStyle w:val="Standard"/>
              <w:spacing w:line="240" w:lineRule="auto"/>
              <w:rPr>
                <w:rFonts w:ascii="Calibri" w:hAnsi="Calibri" w:eastAsia="Times New Roman" w:cs="Calibri"/>
                <w:color w:val="000000" w:themeColor="text1" w:themeTint="FF" w:themeShade="FF"/>
                <w:sz w:val="20"/>
                <w:szCs w:val="20"/>
              </w:rPr>
            </w:pPr>
            <w:r w:rsidRPr="7E180CBE" w:rsidR="572237CA">
              <w:rPr>
                <w:rFonts w:ascii="Calibri" w:hAnsi="Calibri" w:eastAsia="Times New Roman" w:cs="Calibri"/>
                <w:color w:val="000000" w:themeColor="text1" w:themeTint="FF" w:themeShade="FF"/>
                <w:sz w:val="20"/>
                <w:szCs w:val="20"/>
              </w:rPr>
              <w:t>9</w:t>
            </w:r>
          </w:p>
        </w:tc>
        <w:tc>
          <w:tcPr>
            <w:tcW w:w="1260" w:type="dxa"/>
            <w:shd w:val="clear" w:color="auto" w:fill="auto"/>
            <w:tcMar/>
            <w:hideMark/>
            <w:tcPrChange w:author="Madita S." w:date="2021-08-02T16:04:00Z" w:id="300">
              <w:tcPr>
                <w:tcW w:w="1555" w:type="dxa"/>
                <w:shd w:val="clear" w:color="auto" w:fill="auto"/>
                <w:hideMark/>
              </w:tcPr>
            </w:tcPrChange>
          </w:tcPr>
          <w:p w:rsidRPr="00083210" w:rsidR="00083210" w:rsidP="4A67E97C" w:rsidRDefault="00083210" w14:paraId="5346A59E" w14:textId="77777777" w14:noSpellErr="1">
            <w:pPr>
              <w:spacing w:after="0" w:line="240" w:lineRule="auto"/>
              <w:rPr>
                <w:rFonts w:ascii="Calibri" w:hAnsi="Calibri" w:eastAsia="Times New Roman" w:cs="Calibri"/>
                <w:b w:val="0"/>
                <w:bCs w:val="0"/>
                <w:color w:val="000000"/>
                <w:sz w:val="20"/>
                <w:szCs w:val="20"/>
              </w:rPr>
            </w:pPr>
            <w:r w:rsidRPr="4A67E97C" w:rsidR="00083210">
              <w:rPr>
                <w:rFonts w:ascii="Calibri" w:hAnsi="Calibri" w:eastAsia="Times New Roman" w:cs="Calibri"/>
                <w:b w:val="0"/>
                <w:bCs w:val="0"/>
                <w:color w:val="000000" w:themeColor="text1" w:themeTint="FF" w:themeShade="FF"/>
                <w:sz w:val="20"/>
                <w:szCs w:val="20"/>
              </w:rPr>
              <w:t>Expected time of release</w:t>
            </w:r>
          </w:p>
        </w:tc>
        <w:tc>
          <w:tcPr>
            <w:tcW w:w="6368" w:type="dxa"/>
            <w:shd w:val="clear" w:color="auto" w:fill="auto"/>
            <w:tcMar/>
            <w:hideMark/>
            <w:tcPrChange w:author="Madita S." w:date="2021-08-02T16:04:00Z" w:id="303">
              <w:tcPr>
                <w:tcW w:w="7229" w:type="dxa"/>
                <w:shd w:val="clear" w:color="auto" w:fill="auto"/>
                <w:hideMark/>
              </w:tcPr>
            </w:tcPrChange>
          </w:tcPr>
          <w:p w:rsidRPr="00083210" w:rsidR="00083210" w:rsidP="0BD90799" w:rsidRDefault="00083210" w14:paraId="584C887F" w14:textId="338BECF6">
            <w:pPr>
              <w:pStyle w:val="Standard"/>
              <w:spacing w:after="0" w:line="240" w:lineRule="auto"/>
              <w:rPr>
                <w:rFonts w:ascii="Calibri" w:hAnsi="Calibri" w:eastAsia="Times New Roman" w:cs="Calibri"/>
                <w:color w:val="000000"/>
                <w:sz w:val="20"/>
                <w:szCs w:val="20"/>
              </w:rPr>
            </w:pPr>
            <w:r w:rsidRPr="0BD90799" w:rsidR="00083210">
              <w:rPr>
                <w:rFonts w:ascii="Calibri" w:hAnsi="Calibri" w:eastAsia="Times New Roman" w:cs="Calibri"/>
                <w:color w:val="000000" w:themeColor="text1" w:themeTint="FF" w:themeShade="FF"/>
                <w:sz w:val="20"/>
                <w:szCs w:val="20"/>
              </w:rPr>
              <w:t xml:space="preserve">Country reported data and global and regional estimates are published annually; in February by UNICEF in the data website </w:t>
            </w:r>
            <w:r w:rsidRPr="0BD90799" w:rsidR="728A43E3">
              <w:rPr>
                <w:rFonts w:ascii="Calibri" w:hAnsi="Calibri" w:eastAsia="Times New Roman" w:cs="Calibri"/>
                <w:color w:val="000000" w:themeColor="text1" w:themeTint="FF" w:themeShade="FF"/>
                <w:sz w:val="20"/>
                <w:szCs w:val="20"/>
              </w:rPr>
              <w:t>[</w:t>
            </w:r>
            <w:proofErr w:type="gramStart"/>
            <w:r w:rsidRPr="0BD90799" w:rsidR="00083210">
              <w:rPr>
                <w:rFonts w:ascii="Calibri" w:hAnsi="Calibri" w:eastAsia="Times New Roman" w:cs="Calibri"/>
                <w:color w:val="000000" w:themeColor="text1" w:themeTint="FF" w:themeShade="FF"/>
                <w:sz w:val="20"/>
                <w:szCs w:val="20"/>
              </w:rPr>
              <w:t>data.unicef.org</w:t>
            </w:r>
            <w:r w:rsidRPr="0BD90799" w:rsidR="27C36756">
              <w:rPr>
                <w:rFonts w:ascii="Calibri" w:hAnsi="Calibri" w:eastAsia="Times New Roman" w:cs="Calibri"/>
                <w:color w:val="000000" w:themeColor="text1" w:themeTint="FF" w:themeShade="FF"/>
                <w:sz w:val="20"/>
                <w:szCs w:val="20"/>
              </w:rPr>
              <w:t>](</w:t>
            </w:r>
            <w:proofErr w:type="gramEnd"/>
            <w:r w:rsidRPr="0BD90799" w:rsidR="27C36756">
              <w:rPr>
                <w:rFonts w:ascii="Calibri" w:hAnsi="Calibri" w:eastAsia="Times New Roman" w:cs="Calibri"/>
                <w:color w:val="000000" w:themeColor="text1" w:themeTint="FF" w:themeShade="FF"/>
                <w:sz w:val="20"/>
                <w:szCs w:val="20"/>
              </w:rPr>
              <w:t>data.unicef.org)</w:t>
            </w:r>
            <w:r w:rsidRPr="0BD90799" w:rsidR="00083210">
              <w:rPr>
                <w:rFonts w:ascii="Calibri" w:hAnsi="Calibri" w:eastAsia="Times New Roman" w:cs="Calibri"/>
                <w:color w:val="000000" w:themeColor="text1" w:themeTint="FF" w:themeShade="FF"/>
                <w:sz w:val="20"/>
                <w:szCs w:val="20"/>
              </w:rPr>
              <w:t xml:space="preserve"> and by the World Health Organization in May in the </w:t>
            </w:r>
            <w:r w:rsidRPr="0BD90799" w:rsidR="2AC892B1">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 xml:space="preserve">World Health Statistics </w:t>
            </w:r>
            <w:proofErr w:type="gramStart"/>
            <w:r w:rsidRPr="0BD90799" w:rsidR="00083210">
              <w:rPr>
                <w:rFonts w:ascii="Calibri" w:hAnsi="Calibri" w:eastAsia="Times New Roman" w:cs="Calibri"/>
                <w:color w:val="000000" w:themeColor="text1" w:themeTint="FF" w:themeShade="FF"/>
                <w:sz w:val="20"/>
                <w:szCs w:val="20"/>
              </w:rPr>
              <w:t>Report</w:t>
            </w:r>
            <w:r w:rsidRPr="0BD90799" w:rsidR="01CD4C49">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t>
            </w:r>
            <w:proofErr w:type="gramEnd"/>
            <w:r w:rsidRPr="0BD90799" w:rsidR="00083210">
              <w:rPr>
                <w:rFonts w:ascii="Calibri" w:hAnsi="Calibri" w:eastAsia="Times New Roman" w:cs="Calibri"/>
                <w:color w:val="000000" w:themeColor="text1" w:themeTint="FF" w:themeShade="FF"/>
                <w:sz w:val="20"/>
                <w:szCs w:val="20"/>
              </w:rPr>
              <w:t>http://www.who.int/</w:t>
            </w:r>
            <w:proofErr w:type="spellStart"/>
            <w:r w:rsidRPr="0BD90799" w:rsidR="00083210">
              <w:rPr>
                <w:rFonts w:ascii="Calibri" w:hAnsi="Calibri" w:eastAsia="Times New Roman" w:cs="Calibri"/>
                <w:color w:val="000000" w:themeColor="text1" w:themeTint="FF" w:themeShade="FF"/>
                <w:sz w:val="20"/>
                <w:szCs w:val="20"/>
              </w:rPr>
              <w:t>whosis</w:t>
            </w:r>
            <w:proofErr w:type="spellEnd"/>
            <w:r w:rsidRPr="0BD90799" w:rsidR="00083210">
              <w:rPr>
                <w:rFonts w:ascii="Calibri" w:hAnsi="Calibri" w:eastAsia="Times New Roman" w:cs="Calibri"/>
                <w:color w:val="000000" w:themeColor="text1" w:themeTint="FF" w:themeShade="FF"/>
                <w:sz w:val="20"/>
                <w:szCs w:val="20"/>
              </w:rPr>
              <w:t>/</w:t>
            </w:r>
            <w:proofErr w:type="spellStart"/>
            <w:r w:rsidRPr="0BD90799" w:rsidR="00083210">
              <w:rPr>
                <w:rFonts w:ascii="Calibri" w:hAnsi="Calibri" w:eastAsia="Times New Roman" w:cs="Calibri"/>
                <w:color w:val="000000" w:themeColor="text1" w:themeTint="FF" w:themeShade="FF"/>
                <w:sz w:val="20"/>
                <w:szCs w:val="20"/>
              </w:rPr>
              <w:t>whostat</w:t>
            </w:r>
            <w:proofErr w:type="spellEnd"/>
            <w:r w:rsidRPr="0BD90799" w:rsidR="00083210">
              <w:rPr>
                <w:rFonts w:ascii="Calibri" w:hAnsi="Calibri" w:eastAsia="Times New Roman" w:cs="Calibri"/>
                <w:color w:val="000000" w:themeColor="text1" w:themeTint="FF" w:themeShade="FF"/>
                <w:sz w:val="20"/>
                <w:szCs w:val="20"/>
              </w:rPr>
              <w:t>/</w:t>
            </w:r>
            <w:proofErr w:type="spellStart"/>
            <w:r w:rsidRPr="0BD90799" w:rsidR="00083210">
              <w:rPr>
                <w:rFonts w:ascii="Calibri" w:hAnsi="Calibri" w:eastAsia="Times New Roman" w:cs="Calibri"/>
                <w:color w:val="000000" w:themeColor="text1" w:themeTint="FF" w:themeShade="FF"/>
                <w:sz w:val="20"/>
                <w:szCs w:val="20"/>
              </w:rPr>
              <w:t>en</w:t>
            </w:r>
            <w:proofErr w:type="spellEnd"/>
            <w:r w:rsidRPr="0BD90799" w:rsidR="00083210">
              <w:rPr>
                <w:rFonts w:ascii="Calibri" w:hAnsi="Calibri" w:eastAsia="Times New Roman" w:cs="Calibri"/>
                <w:color w:val="000000" w:themeColor="text1" w:themeTint="FF" w:themeShade="FF"/>
                <w:sz w:val="20"/>
                <w:szCs w:val="20"/>
              </w:rPr>
              <w:t xml:space="preserve">/) and the </w:t>
            </w:r>
            <w:r w:rsidRPr="0BD90799" w:rsidR="22ACFA96">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WHO Global Health Observatory</w:t>
            </w:r>
            <w:r w:rsidRPr="0BD90799" w:rsidR="6F7B5CA7">
              <w:rPr>
                <w:rFonts w:ascii="Calibri" w:hAnsi="Calibri" w:eastAsia="Times New Roman" w:cs="Calibri"/>
                <w:color w:val="000000" w:themeColor="text1" w:themeTint="FF" w:themeShade="FF"/>
                <w:sz w:val="20"/>
                <w:szCs w:val="20"/>
              </w:rPr>
              <w:t>]</w:t>
            </w:r>
            <w:r w:rsidRPr="0BD90799" w:rsidR="00083210">
              <w:rPr>
                <w:rFonts w:ascii="Calibri" w:hAnsi="Calibri" w:eastAsia="Times New Roman" w:cs="Calibri"/>
                <w:color w:val="000000" w:themeColor="text1" w:themeTint="FF" w:themeShade="FF"/>
                <w:sz w:val="20"/>
                <w:szCs w:val="20"/>
              </w:rPr>
              <w:t>(https://apps.who.int/gho/data/node.main). UNICEF also reports this indicator in the State of the World’s Children report which is on a bi-annual reporting schedule.</w:t>
            </w:r>
          </w:p>
        </w:tc>
      </w:tr>
      <w:tr w:rsidR="7E180CBE" w:rsidTr="4A67E97C" w14:paraId="0D60E6F1">
        <w:trPr>
          <w:trHeight w:val="975"/>
        </w:trPr>
        <w:tc>
          <w:tcPr>
            <w:tcW w:w="915" w:type="dxa"/>
            <w:shd w:val="clear" w:color="auto" w:fill="auto"/>
            <w:tcMar/>
          </w:tcPr>
          <w:p w:rsidR="7E180CBE" w:rsidP="42ABA9AD" w:rsidRDefault="7E180CBE" w14:paraId="70CD0BFD" w14:textId="25F22FB6">
            <w:pPr>
              <w:pStyle w:val="Standard"/>
              <w:spacing w:line="240" w:lineRule="auto"/>
              <w:rPr>
                <w:rFonts w:ascii="Calibri" w:hAnsi="Calibri" w:eastAsia="Times New Roman" w:cs="Calibri"/>
                <w:color w:val="000000" w:themeColor="text1" w:themeTint="FF" w:themeShade="FF"/>
                <w:sz w:val="20"/>
                <w:szCs w:val="20"/>
              </w:rPr>
            </w:pPr>
            <w:r w:rsidRPr="42ABA9AD" w:rsidR="64DE689A">
              <w:rPr>
                <w:rFonts w:ascii="Calibri" w:hAnsi="Calibri" w:eastAsia="Times New Roman" w:cs="Calibri"/>
                <w:color w:val="000000" w:themeColor="text1" w:themeTint="FF" w:themeShade="FF"/>
                <w:sz w:val="20"/>
                <w:szCs w:val="20"/>
              </w:rPr>
              <w:t>III.5</w:t>
            </w:r>
          </w:p>
          <w:p w:rsidR="7E180CBE" w:rsidP="7E180CBE" w:rsidRDefault="7E180CBE" w14:paraId="454933B9" w14:textId="2E1FC808">
            <w:pPr>
              <w:pStyle w:val="Standard"/>
              <w:spacing w:line="240" w:lineRule="auto"/>
              <w:rPr>
                <w:rFonts w:ascii="Calibri" w:hAnsi="Calibri" w:eastAsia="Times New Roman" w:cs="Calibri"/>
                <w:color w:val="000000" w:themeColor="text1" w:themeTint="FF" w:themeShade="FF"/>
                <w:sz w:val="20"/>
                <w:szCs w:val="20"/>
              </w:rPr>
            </w:pPr>
          </w:p>
        </w:tc>
        <w:tc>
          <w:tcPr>
            <w:tcW w:w="945" w:type="dxa"/>
            <w:shd w:val="clear" w:color="auto" w:fill="auto"/>
            <w:tcMar/>
          </w:tcPr>
          <w:p w:rsidR="1974B1BD" w:rsidP="7E180CBE" w:rsidRDefault="1974B1BD" w14:paraId="2FD7FC00" w14:textId="15419BF6">
            <w:pPr>
              <w:pStyle w:val="Standard"/>
              <w:spacing w:line="240" w:lineRule="auto"/>
              <w:rPr>
                <w:rFonts w:ascii="Calibri" w:hAnsi="Calibri" w:eastAsia="Times New Roman" w:cs="Calibri"/>
                <w:color w:val="000000" w:themeColor="text1" w:themeTint="FF" w:themeShade="FF"/>
                <w:sz w:val="20"/>
                <w:szCs w:val="20"/>
              </w:rPr>
            </w:pPr>
            <w:r w:rsidRPr="7E180CBE" w:rsidR="1974B1BD">
              <w:rPr>
                <w:rFonts w:ascii="Calibri" w:hAnsi="Calibri" w:eastAsia="Times New Roman" w:cs="Calibri"/>
                <w:color w:val="000000" w:themeColor="text1" w:themeTint="FF" w:themeShade="FF"/>
                <w:sz w:val="20"/>
                <w:szCs w:val="20"/>
              </w:rPr>
              <w:t>10</w:t>
            </w:r>
          </w:p>
        </w:tc>
        <w:tc>
          <w:tcPr>
            <w:tcW w:w="1260" w:type="dxa"/>
            <w:shd w:val="clear" w:color="auto" w:fill="auto"/>
            <w:tcMar/>
            <w:hideMark/>
          </w:tcPr>
          <w:p w:rsidR="6B527634" w:rsidP="4A67E97C" w:rsidRDefault="6B527634" w14:paraId="2C517126" w14:textId="0016EB8E">
            <w:pPr>
              <w:pStyle w:val="Standard"/>
              <w:spacing w:line="240" w:lineRule="auto"/>
              <w:rPr>
                <w:rFonts w:ascii="Calibri" w:hAnsi="Calibri" w:eastAsia="Times New Roman" w:cs="Calibri"/>
                <w:b w:val="0"/>
                <w:bCs w:val="0"/>
                <w:color w:val="000000" w:themeColor="text1" w:themeTint="FF" w:themeShade="FF"/>
                <w:sz w:val="20"/>
                <w:szCs w:val="20"/>
              </w:rPr>
            </w:pPr>
            <w:r w:rsidRPr="4A67E97C" w:rsidR="6B527634">
              <w:rPr>
                <w:rFonts w:ascii="Calibri" w:hAnsi="Calibri" w:eastAsia="Times New Roman" w:cs="Calibri"/>
                <w:b w:val="0"/>
                <w:bCs w:val="0"/>
                <w:color w:val="000000" w:themeColor="text1" w:themeTint="FF" w:themeShade="FF"/>
                <w:sz w:val="20"/>
                <w:szCs w:val="20"/>
              </w:rPr>
              <w:t>Data source</w:t>
            </w:r>
          </w:p>
        </w:tc>
        <w:tc>
          <w:tcPr>
            <w:tcW w:w="6368" w:type="dxa"/>
            <w:shd w:val="clear" w:color="auto" w:fill="auto"/>
            <w:tcMar/>
            <w:hideMark/>
          </w:tcPr>
          <w:p w:rsidR="338B4501" w:rsidP="42ABA9AD" w:rsidRDefault="338B4501" w14:paraId="222EE2D4" w14:textId="0813CA00">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2ABA9AD" w:rsidR="6A989137">
              <w:rPr>
                <w:rFonts w:ascii="Calibri" w:hAnsi="Calibri" w:eastAsia="Calibri" w:cs="Calibri"/>
                <w:b w:val="0"/>
                <w:bCs w:val="0"/>
                <w:i w:val="0"/>
                <w:iCs w:val="0"/>
                <w:caps w:val="0"/>
                <w:smallCaps w:val="0"/>
                <w:noProof w:val="0"/>
                <w:color w:val="000000" w:themeColor="text1" w:themeTint="FF" w:themeShade="FF"/>
                <w:sz w:val="22"/>
                <w:szCs w:val="22"/>
                <w:lang w:val="en-GB"/>
              </w:rPr>
              <w:t>Data and metadata were extracted from Global SDG Indicators Database on 28 May 2021.</w:t>
            </w:r>
          </w:p>
          <w:p w:rsidR="338B4501" w:rsidP="42ABA9AD" w:rsidRDefault="338B4501" w14:paraId="54AB44B7" w14:textId="113D7355">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38B4501" w:rsidP="42ABA9AD" w:rsidRDefault="338B4501" w14:paraId="40E28DA7" w14:textId="160E5336">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2ABA9AD" w:rsidR="6A989137">
              <w:rPr>
                <w:rStyle w:val="normaltextrun"/>
                <w:rFonts w:ascii="Calibri" w:hAnsi="Calibri" w:eastAsia="Calibri" w:cs="Calibri"/>
                <w:b w:val="0"/>
                <w:bCs w:val="0"/>
                <w:i w:val="0"/>
                <w:iCs w:val="0"/>
                <w:caps w:val="0"/>
                <w:smallCaps w:val="0"/>
                <w:noProof w:val="0"/>
                <w:color w:val="000000" w:themeColor="text1" w:themeTint="FF" w:themeShade="FF"/>
                <w:sz w:val="22"/>
                <w:szCs w:val="22"/>
                <w:lang w:val="en-GB"/>
              </w:rPr>
              <w:t>For more information, please go to the following: </w:t>
            </w:r>
          </w:p>
          <w:p w:rsidR="338B4501" w:rsidP="0BD90799" w:rsidRDefault="338B4501" w14:paraId="1FED9D9A" w14:textId="6D9CB4A7">
            <w:pPr>
              <w:pStyle w:val="Listenabsatz"/>
              <w:numPr>
                <w:ilvl w:val="0"/>
                <w:numId w:val="3"/>
              </w:numPr>
              <w:spacing w:before="0" w:beforeAutospacing="off" w:after="160" w:afterAutospacing="off" w:line="240" w:lineRule="auto"/>
              <w:rPr>
                <w:rFonts w:ascii="Calibri" w:hAnsi="Calibri" w:eastAsia="Calibri" w:cs="Calibri"/>
                <w:b w:val="0"/>
                <w:bCs w:val="0"/>
                <w:i w:val="0"/>
                <w:iCs w:val="0"/>
                <w:caps w:val="0"/>
                <w:smallCaps w:val="0"/>
                <w:strike w:val="0"/>
                <w:dstrike w:val="0"/>
                <w:noProof w:val="0"/>
                <w:sz w:val="22"/>
                <w:szCs w:val="22"/>
                <w:lang w:val="en-GB"/>
              </w:rPr>
            </w:pPr>
            <w:r w:rsidRPr="0BD90799" w:rsidR="2F7C44E8">
              <w:rPr>
                <w:rFonts w:ascii="Calibri" w:hAnsi="Calibri" w:eastAsia="Calibri" w:cs="Calibri"/>
                <w:b w:val="0"/>
                <w:bCs w:val="0"/>
                <w:i w:val="0"/>
                <w:iCs w:val="0"/>
                <w:caps w:val="0"/>
                <w:smallCaps w:val="0"/>
                <w:strike w:val="0"/>
                <w:dstrike w:val="0"/>
                <w:noProof w:val="0"/>
                <w:sz w:val="22"/>
                <w:szCs w:val="22"/>
                <w:lang w:val="en-GB"/>
              </w:rPr>
              <w:t>[</w:t>
            </w:r>
            <w:hyperlink r:id="Ra90b4b9adf6447cb">
              <w:r w:rsidRPr="0BD90799" w:rsidR="6A989137">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0BD90799" w:rsidR="2AED24BC">
                <w:rPr>
                  <w:rStyle w:val="Hyperlink"/>
                  <w:rFonts w:ascii="Calibri" w:hAnsi="Calibri" w:eastAsia="Calibri" w:cs="Calibri"/>
                  <w:b w:val="0"/>
                  <w:bCs w:val="0"/>
                  <w:i w:val="0"/>
                  <w:iCs w:val="0"/>
                  <w:caps w:val="0"/>
                  <w:smallCaps w:val="0"/>
                  <w:strike w:val="0"/>
                  <w:dstrike w:val="0"/>
                  <w:noProof w:val="0"/>
                  <w:sz w:val="22"/>
                  <w:szCs w:val="22"/>
                  <w:lang w:val="en-GB"/>
                </w:rPr>
                <w:t>](</w:t>
              </w:r>
            </w:hyperlink>
            <w:hyperlink r:id="R2f9e4becec5d4ab2">
              <w:r w:rsidRPr="0BD90799" w:rsidR="2AED24BC">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hyperlink>
          </w:p>
          <w:p w:rsidR="338B4501" w:rsidP="0BD90799" w:rsidRDefault="338B4501" w14:paraId="7952A6C6" w14:textId="2FB91690">
            <w:pPr>
              <w:pStyle w:val="Listenabsatz"/>
              <w:numPr>
                <w:ilvl w:val="0"/>
                <w:numId w:val="3"/>
              </w:numPr>
              <w:spacing w:before="0" w:beforeAutospacing="off" w:after="160" w:afterAutospacing="off" w:line="240" w:lineRule="auto"/>
              <w:rPr>
                <w:rFonts w:ascii="Calibri" w:hAnsi="Calibri" w:cs="Calibri"/>
                <w:sz w:val="20"/>
                <w:szCs w:val="20"/>
                <w:lang w:val="en-US"/>
              </w:rPr>
            </w:pPr>
            <w:r w:rsidRPr="0BD90799" w:rsidR="2AED24BC">
              <w:rPr>
                <w:rFonts w:ascii="Calibri" w:hAnsi="Calibri" w:cs="Calibri"/>
                <w:sz w:val="20"/>
                <w:szCs w:val="20"/>
                <w:lang w:val="en-US"/>
              </w:rPr>
              <w:t>[</w:t>
            </w:r>
            <w:hyperlink r:id="R7d8d98cae39c4d37">
              <w:r w:rsidRPr="0BD90799" w:rsidR="6B527634">
                <w:rPr>
                  <w:rStyle w:val="Hyperlink"/>
                  <w:rFonts w:ascii="Calibri" w:hAnsi="Calibri" w:cs="Calibri"/>
                  <w:sz w:val="20"/>
                  <w:szCs w:val="20"/>
                  <w:lang w:val="en-US"/>
                </w:rPr>
                <w:t>https://unstats.un.org/sdgs/metadata/files/Metadata-03-01-02.pdf</w:t>
              </w:r>
              <w:r w:rsidRPr="0BD90799" w:rsidR="4BA64158">
                <w:rPr>
                  <w:rStyle w:val="Hyperlink"/>
                  <w:rFonts w:ascii="Calibri" w:hAnsi="Calibri" w:cs="Calibri"/>
                  <w:sz w:val="20"/>
                  <w:szCs w:val="20"/>
                  <w:lang w:val="en-US"/>
                </w:rPr>
                <w:t>](</w:t>
              </w:r>
            </w:hyperlink>
            <w:hyperlink r:id="Rc3989f1593b140cc">
              <w:r w:rsidRPr="0BD90799" w:rsidR="4BA64158">
                <w:rPr>
                  <w:rStyle w:val="Hyperlink"/>
                  <w:rFonts w:ascii="Calibri" w:hAnsi="Calibri" w:cs="Calibri"/>
                  <w:sz w:val="20"/>
                  <w:szCs w:val="20"/>
                  <w:lang w:val="en-US"/>
                </w:rPr>
                <w:t>https://unstats.un.org/sdgs/metadata/files/Metadata-03-01-02.pdf)</w:t>
              </w:r>
            </w:hyperlink>
          </w:p>
        </w:tc>
      </w:tr>
    </w:tbl>
    <w:p w:rsidRPr="00083210" w:rsidR="00083210" w:rsidP="22C55E2F" w:rsidRDefault="00083210" w14:paraId="7BC7A996" w14:textId="69704441" w14:noSpellErr="1">
      <w:pPr>
        <w:tabs>
          <w:tab w:val="left" w:pos="2282"/>
        </w:tabs>
        <w:rPr>
          <w:rFonts w:ascii="Calibri" w:hAnsi="Calibri" w:cs="Calibri"/>
          <w:sz w:val="20"/>
          <w:szCs w:val="20"/>
        </w:rPr>
      </w:pPr>
    </w:p>
    <w:sectPr w:rsidRPr="00083210" w:rsidR="00083210" w:rsidSect="00FD0BD4">
      <w:pgSz w:w="12240" w:h="15840" w:orient="portrait"/>
      <w:pgMar w:top="1417" w:right="1417" w:bottom="1134"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3E219FC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E02284" w16cex:dateUtc="2021-08-20T15:43:58.355Z"/>
</w16cex:commentsExtensible>
</file>

<file path=word/commentsIds.xml><?xml version="1.0" encoding="utf-8"?>
<w16cid:commentsIds xmlns:mc="http://schemas.openxmlformats.org/markup-compatibility/2006" xmlns:w16cid="http://schemas.microsoft.com/office/word/2016/wordml/cid" mc:Ignorable="w16cid">
  <w16cid:commentId w16cid:paraId="3E219FC7" w16cid:durableId="2AE02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27F0053"/>
    <w:multiLevelType w:val="hybridMultilevel"/>
    <w:tmpl w:val="60ECC0EE"/>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65DF5973"/>
    <w:multiLevelType w:val="hybridMultilevel"/>
    <w:tmpl w:val="D932F3AA"/>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93"/>
    <w:rsid w:val="00083210"/>
    <w:rsid w:val="0036680E"/>
    <w:rsid w:val="003D6492"/>
    <w:rsid w:val="004C4C93"/>
    <w:rsid w:val="004E3C3F"/>
    <w:rsid w:val="00EC0962"/>
    <w:rsid w:val="00EF09E8"/>
    <w:rsid w:val="00F254E3"/>
    <w:rsid w:val="00FD0BD4"/>
    <w:rsid w:val="01897427"/>
    <w:rsid w:val="01CD4C49"/>
    <w:rsid w:val="0256975C"/>
    <w:rsid w:val="0268D7DD"/>
    <w:rsid w:val="03223A30"/>
    <w:rsid w:val="03F267BD"/>
    <w:rsid w:val="04A22600"/>
    <w:rsid w:val="06169265"/>
    <w:rsid w:val="062B0C2A"/>
    <w:rsid w:val="06D30E38"/>
    <w:rsid w:val="079E7195"/>
    <w:rsid w:val="07B4F27C"/>
    <w:rsid w:val="08B482C7"/>
    <w:rsid w:val="08BAB20C"/>
    <w:rsid w:val="0AD30812"/>
    <w:rsid w:val="0BD90799"/>
    <w:rsid w:val="0C85D3E9"/>
    <w:rsid w:val="0C9A4DAE"/>
    <w:rsid w:val="0E361E0F"/>
    <w:rsid w:val="0F294710"/>
    <w:rsid w:val="0F351A64"/>
    <w:rsid w:val="118FD558"/>
    <w:rsid w:val="128EAB0E"/>
    <w:rsid w:val="12B0B6E6"/>
    <w:rsid w:val="14A2A3FC"/>
    <w:rsid w:val="150FB391"/>
    <w:rsid w:val="15992286"/>
    <w:rsid w:val="163033AE"/>
    <w:rsid w:val="16E9E5AD"/>
    <w:rsid w:val="16EAC521"/>
    <w:rsid w:val="182D1BA5"/>
    <w:rsid w:val="1949C109"/>
    <w:rsid w:val="1974B1BD"/>
    <w:rsid w:val="1C1B8AF2"/>
    <w:rsid w:val="1D717D87"/>
    <w:rsid w:val="1DEF0499"/>
    <w:rsid w:val="1E1DECC7"/>
    <w:rsid w:val="1F532BB4"/>
    <w:rsid w:val="2215218D"/>
    <w:rsid w:val="228ACC76"/>
    <w:rsid w:val="22ACFA96"/>
    <w:rsid w:val="22C55E2F"/>
    <w:rsid w:val="25633033"/>
    <w:rsid w:val="258892E4"/>
    <w:rsid w:val="26ECCFC2"/>
    <w:rsid w:val="27C36756"/>
    <w:rsid w:val="27F8E494"/>
    <w:rsid w:val="288E8F34"/>
    <w:rsid w:val="28DA1D6B"/>
    <w:rsid w:val="28DD926E"/>
    <w:rsid w:val="2912C156"/>
    <w:rsid w:val="29936014"/>
    <w:rsid w:val="2AC892B1"/>
    <w:rsid w:val="2AED24BC"/>
    <w:rsid w:val="2B2F3075"/>
    <w:rsid w:val="2BCB0315"/>
    <w:rsid w:val="2C5C77C8"/>
    <w:rsid w:val="2CD28DFC"/>
    <w:rsid w:val="2CDCD26F"/>
    <w:rsid w:val="2DFAFA6E"/>
    <w:rsid w:val="2F7C44E8"/>
    <w:rsid w:val="308A49DA"/>
    <w:rsid w:val="3135622D"/>
    <w:rsid w:val="3153F7CE"/>
    <w:rsid w:val="31949EA2"/>
    <w:rsid w:val="31AB5B35"/>
    <w:rsid w:val="3251B54D"/>
    <w:rsid w:val="3286F40A"/>
    <w:rsid w:val="328E292D"/>
    <w:rsid w:val="338B4501"/>
    <w:rsid w:val="340F4421"/>
    <w:rsid w:val="346190D2"/>
    <w:rsid w:val="34F4A83C"/>
    <w:rsid w:val="34F92215"/>
    <w:rsid w:val="350CB7DC"/>
    <w:rsid w:val="3557BA9E"/>
    <w:rsid w:val="35B79230"/>
    <w:rsid w:val="35D05C26"/>
    <w:rsid w:val="3666EE94"/>
    <w:rsid w:val="3686DC53"/>
    <w:rsid w:val="369953D9"/>
    <w:rsid w:val="37AFB45D"/>
    <w:rsid w:val="37E7A667"/>
    <w:rsid w:val="382E6D92"/>
    <w:rsid w:val="3A9D46D1"/>
    <w:rsid w:val="3AF4D917"/>
    <w:rsid w:val="3BF81328"/>
    <w:rsid w:val="3CAFC7B4"/>
    <w:rsid w:val="3CC6ED7F"/>
    <w:rsid w:val="3CF61DD7"/>
    <w:rsid w:val="3EDDB9D4"/>
    <w:rsid w:val="3F4697C4"/>
    <w:rsid w:val="4014F3CF"/>
    <w:rsid w:val="405DD0D5"/>
    <w:rsid w:val="4168E760"/>
    <w:rsid w:val="41EF53B3"/>
    <w:rsid w:val="42ABA9AD"/>
    <w:rsid w:val="436D4CE1"/>
    <w:rsid w:val="4400E08A"/>
    <w:rsid w:val="44675108"/>
    <w:rsid w:val="453D8846"/>
    <w:rsid w:val="47001E02"/>
    <w:rsid w:val="4723C972"/>
    <w:rsid w:val="490293FB"/>
    <w:rsid w:val="490CA5B2"/>
    <w:rsid w:val="4A67E97C"/>
    <w:rsid w:val="4A71BDFB"/>
    <w:rsid w:val="4B6C0491"/>
    <w:rsid w:val="4B7CF6FB"/>
    <w:rsid w:val="4BA64158"/>
    <w:rsid w:val="4BAE3EA1"/>
    <w:rsid w:val="4C6AC5A1"/>
    <w:rsid w:val="4C775B1B"/>
    <w:rsid w:val="4D0C2351"/>
    <w:rsid w:val="4E029F5A"/>
    <w:rsid w:val="4E252738"/>
    <w:rsid w:val="50E04ADC"/>
    <w:rsid w:val="51E2EF94"/>
    <w:rsid w:val="52E69C9F"/>
    <w:rsid w:val="546D6858"/>
    <w:rsid w:val="55A71EEC"/>
    <w:rsid w:val="55DF84C1"/>
    <w:rsid w:val="55E4E26B"/>
    <w:rsid w:val="572237CA"/>
    <w:rsid w:val="57BE4B1A"/>
    <w:rsid w:val="583D54CA"/>
    <w:rsid w:val="5856E1CE"/>
    <w:rsid w:val="5859E7C1"/>
    <w:rsid w:val="5966917B"/>
    <w:rsid w:val="59D35A7C"/>
    <w:rsid w:val="5B60E06E"/>
    <w:rsid w:val="5C8509E0"/>
    <w:rsid w:val="5D3F29EC"/>
    <w:rsid w:val="5F239568"/>
    <w:rsid w:val="60DBE6BF"/>
    <w:rsid w:val="62D85EAA"/>
    <w:rsid w:val="63B79F7C"/>
    <w:rsid w:val="64DE689A"/>
    <w:rsid w:val="656FD8CF"/>
    <w:rsid w:val="665AB176"/>
    <w:rsid w:val="66A39315"/>
    <w:rsid w:val="678634ED"/>
    <w:rsid w:val="68474FE1"/>
    <w:rsid w:val="692E77D1"/>
    <w:rsid w:val="692E77D1"/>
    <w:rsid w:val="696D77E2"/>
    <w:rsid w:val="6A4D1372"/>
    <w:rsid w:val="6A989137"/>
    <w:rsid w:val="6ACA4832"/>
    <w:rsid w:val="6B527634"/>
    <w:rsid w:val="6B962FE0"/>
    <w:rsid w:val="6C23AD7F"/>
    <w:rsid w:val="6C25CAAC"/>
    <w:rsid w:val="6CA31B30"/>
    <w:rsid w:val="6DDA25EB"/>
    <w:rsid w:val="6E01BF69"/>
    <w:rsid w:val="6E06978C"/>
    <w:rsid w:val="6EB69280"/>
    <w:rsid w:val="6F7B5CA7"/>
    <w:rsid w:val="6FB6E1B2"/>
    <w:rsid w:val="6FCA089A"/>
    <w:rsid w:val="71115E15"/>
    <w:rsid w:val="71641BE2"/>
    <w:rsid w:val="7261045A"/>
    <w:rsid w:val="728A43E3"/>
    <w:rsid w:val="72DA08AF"/>
    <w:rsid w:val="734D7B28"/>
    <w:rsid w:val="741A517F"/>
    <w:rsid w:val="74712A78"/>
    <w:rsid w:val="74DA828A"/>
    <w:rsid w:val="75805304"/>
    <w:rsid w:val="7691FF56"/>
    <w:rsid w:val="7693C606"/>
    <w:rsid w:val="76C1A465"/>
    <w:rsid w:val="786BD881"/>
    <w:rsid w:val="79EDAB42"/>
    <w:rsid w:val="7B220E1E"/>
    <w:rsid w:val="7B980726"/>
    <w:rsid w:val="7C4C3149"/>
    <w:rsid w:val="7CE0BF7B"/>
    <w:rsid w:val="7D5B858B"/>
    <w:rsid w:val="7D8EB81B"/>
    <w:rsid w:val="7E180CBE"/>
    <w:rsid w:val="7E3BE6FE"/>
    <w:rsid w:val="7EE60668"/>
    <w:rsid w:val="7F8DA911"/>
    <w:rsid w:val="7FD7B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7D42"/>
  <w15:chartTrackingRefBased/>
  <w15:docId w15:val="{F67A1673-193D-4279-9AE0-33E0E97B3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4C4C93"/>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F254E3"/>
    <w:rPr>
      <w:sz w:val="16"/>
      <w:szCs w:val="16"/>
    </w:rPr>
  </w:style>
  <w:style w:type="paragraph" w:styleId="Kommentartext">
    <w:name w:val="annotation text"/>
    <w:basedOn w:val="Standard"/>
    <w:link w:val="KommentartextZchn"/>
    <w:uiPriority w:val="99"/>
    <w:unhideWhenUsed/>
    <w:rsid w:val="00F254E3"/>
    <w:pPr>
      <w:spacing w:line="240" w:lineRule="auto"/>
    </w:pPr>
    <w:rPr>
      <w:sz w:val="20"/>
      <w:szCs w:val="20"/>
    </w:rPr>
  </w:style>
  <w:style w:type="character" w:styleId="KommentartextZchn" w:customStyle="1">
    <w:name w:val="Kommentartext Zchn"/>
    <w:basedOn w:val="Absatz-Standardschriftart"/>
    <w:link w:val="Kommentartext"/>
    <w:uiPriority w:val="99"/>
    <w:rsid w:val="00F254E3"/>
    <w:rPr>
      <w:sz w:val="20"/>
      <w:szCs w:val="20"/>
      <w:lang w:val="en-US"/>
    </w:rPr>
  </w:style>
  <w:style w:type="paragraph" w:styleId="Kommentarthema">
    <w:name w:val="annotation subject"/>
    <w:basedOn w:val="Kommentartext"/>
    <w:next w:val="Kommentartext"/>
    <w:link w:val="KommentarthemaZchn"/>
    <w:uiPriority w:val="99"/>
    <w:semiHidden/>
    <w:unhideWhenUsed/>
    <w:rsid w:val="00F254E3"/>
    <w:rPr>
      <w:b/>
      <w:bCs/>
    </w:rPr>
  </w:style>
  <w:style w:type="character" w:styleId="KommentarthemaZchn" w:customStyle="1">
    <w:name w:val="Kommentarthema Zchn"/>
    <w:basedOn w:val="KommentartextZchn"/>
    <w:link w:val="Kommentarthema"/>
    <w:uiPriority w:val="99"/>
    <w:semiHidden/>
    <w:rsid w:val="00F254E3"/>
    <w:rPr>
      <w:b/>
      <w:bCs/>
      <w:sz w:val="20"/>
      <w:szCs w:val="20"/>
      <w:lang w:val="en-US"/>
    </w:rPr>
  </w:style>
  <w:style w:type="paragraph" w:styleId="paragraph" w:customStyle="1">
    <w:name w:val="paragraph"/>
    <w:basedOn w:val="Standard"/>
    <w:rsid w:val="0008321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083210"/>
  </w:style>
  <w:style w:type="character" w:styleId="eop" w:customStyle="1">
    <w:name w:val="eop"/>
    <w:basedOn w:val="Absatz-Standardschriftart"/>
    <w:rsid w:val="00083210"/>
  </w:style>
  <w:style w:type="paragraph" w:styleId="Listenabsatz">
    <w:name w:val="List Paragraph"/>
    <w:basedOn w:val="Standard"/>
    <w:uiPriority w:val="34"/>
    <w:qFormat/>
    <w:rsid w:val="00083210"/>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Absatz-Standardschriftar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Standard"/>
    <w:next xmlns:w="http://schemas.openxmlformats.org/wordprocessingml/2006/main" w:val="Standard"/>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07248">
      <w:bodyDiv w:val="1"/>
      <w:marLeft w:val="0"/>
      <w:marRight w:val="0"/>
      <w:marTop w:val="0"/>
      <w:marBottom w:val="0"/>
      <w:divBdr>
        <w:top w:val="none" w:sz="0" w:space="0" w:color="auto"/>
        <w:left w:val="none" w:sz="0" w:space="0" w:color="auto"/>
        <w:bottom w:val="none" w:sz="0" w:space="0" w:color="auto"/>
        <w:right w:val="none" w:sz="0" w:space="0" w:color="auto"/>
      </w:divBdr>
      <w:divsChild>
        <w:div w:id="1170484502">
          <w:marLeft w:val="0"/>
          <w:marRight w:val="0"/>
          <w:marTop w:val="0"/>
          <w:marBottom w:val="0"/>
          <w:divBdr>
            <w:top w:val="none" w:sz="0" w:space="0" w:color="auto"/>
            <w:left w:val="none" w:sz="0" w:space="0" w:color="auto"/>
            <w:bottom w:val="none" w:sz="0" w:space="0" w:color="auto"/>
            <w:right w:val="none" w:sz="0" w:space="0" w:color="auto"/>
          </w:divBdr>
        </w:div>
        <w:div w:id="82990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11/relationships/commentsExtended" Target="/word/commentsExtended.xml" Id="Rb58d6f6e7f6d4f6a" /><Relationship Type="http://schemas.microsoft.com/office/2016/09/relationships/commentsIds" Target="/word/commentsIds.xml" Id="Rfaa2df9c49dc41c1" /><Relationship Type="http://schemas.microsoft.com/office/2018/08/relationships/commentsExtensible" Target="/word/commentsExtensible.xml" Id="R923d9025508742ff" /><Relationship Type="http://schemas.openxmlformats.org/officeDocument/2006/relationships/hyperlink" Target="mailto:lcarvajal@unicef.org" TargetMode="External" Id="R71609d4f4e63400b" /><Relationship Type="http://schemas.openxmlformats.org/officeDocument/2006/relationships/hyperlink" Target="mailto:lcarvajal@unicef.org" TargetMode="External" Id="Rb9ee751b2c574b00" /><Relationship Type="http://schemas.openxmlformats.org/officeDocument/2006/relationships/hyperlink" Target="http://data.unicef.org/" TargetMode="External" Id="Rf8a415ddb17c4978" /><Relationship Type="http://schemas.openxmlformats.org/officeDocument/2006/relationships/hyperlink" Target="http://data.unicef.org/" TargetMode="External" Id="Rfdc816fdc4424496" /><Relationship Type="http://schemas.openxmlformats.org/officeDocument/2006/relationships/hyperlink" Target="mailto:sayl@who.int" TargetMode="External" Id="R535b02d281e64f40" /><Relationship Type="http://schemas.openxmlformats.org/officeDocument/2006/relationships/hyperlink" Target="mailto:sayl@who.int" TargetMode="External" Id="Rd3ed9e8bbc704418" /><Relationship Type="http://schemas.openxmlformats.org/officeDocument/2006/relationships/hyperlink" Target="https://unstats.un.org/sdgs/indicators/database/](" TargetMode="External" Id="Ra90b4b9adf6447cb" /><Relationship Type="http://schemas.openxmlformats.org/officeDocument/2006/relationships/hyperlink" Target="https://unstats.un.org/sdgs/indicators/database/](" TargetMode="External" Id="R2f9e4becec5d4ab2" /><Relationship Type="http://schemas.openxmlformats.org/officeDocument/2006/relationships/hyperlink" Target="https://unstats.un.org/sdgs/metadata/files/Metadata-03-01-02.pdf](" TargetMode="External" Id="R7d8d98cae39c4d37" /><Relationship Type="http://schemas.openxmlformats.org/officeDocument/2006/relationships/hyperlink" Target="https://unstats.un.org/sdgs/metadata/files/Metadata-03-01-02.pdf](" TargetMode="External" Id="Rc3989f1593b140cc"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0E61EC0E-DF5E-4712-8612-95DB696C106E}"/>
</file>

<file path=customXml/itemProps2.xml><?xml version="1.0" encoding="utf-8"?>
<ds:datastoreItem xmlns:ds="http://schemas.openxmlformats.org/officeDocument/2006/customXml" ds:itemID="{418C387C-57CE-4C7D-B633-91F137D8EA4B}"/>
</file>

<file path=customXml/itemProps3.xml><?xml version="1.0" encoding="utf-8"?>
<ds:datastoreItem xmlns:ds="http://schemas.openxmlformats.org/officeDocument/2006/customXml" ds:itemID="{941579E8-F0F8-436B-A450-70944DBCED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10</revision>
  <dcterms:created xsi:type="dcterms:W3CDTF">2021-07-28T05:45:00.0000000Z</dcterms:created>
  <dcterms:modified xsi:type="dcterms:W3CDTF">2021-09-07T20:20:47.1800843Z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