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9"/>
        <w:gridCol w:w="589"/>
        <w:gridCol w:w="2798"/>
        <w:gridCol w:w="7629"/>
      </w:tblGrid>
      <w:tr w:rsidR="7520DE21" w:rsidTr="230C1076" w14:paraId="439EB088">
        <w:trPr>
          <w:trHeight w:val="600"/>
        </w:trPr>
        <w:tc>
          <w:tcPr>
            <w:tcW w:w="549" w:type="dxa"/>
            <w:shd w:val="clear" w:color="auto" w:fill="auto"/>
            <w:tcMar/>
            <w:hideMark/>
          </w:tcPr>
          <w:p w:rsidR="71A0AD6F" w:rsidP="7520DE21" w:rsidRDefault="71A0AD6F" w14:paraId="7B1DA758" w14:textId="7C58CBB9">
            <w:pPr>
              <w:pStyle w:val="Normal"/>
              <w:spacing w:line="240" w:lineRule="auto"/>
              <w:jc w:val="right"/>
            </w:pPr>
            <w:r w:rsidRPr="7520DE21" w:rsidR="71A0AD6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INDICATOR_NUM</w:t>
            </w:r>
          </w:p>
        </w:tc>
        <w:tc>
          <w:tcPr>
            <w:tcW w:w="589" w:type="dxa"/>
            <w:shd w:val="clear" w:color="auto" w:fill="auto"/>
            <w:tcMar/>
            <w:hideMark/>
          </w:tcPr>
          <w:p w:rsidR="71A0AD6F" w:rsidP="7520DE21" w:rsidRDefault="71A0AD6F" w14:paraId="5FFF00B5" w14:textId="021A5719">
            <w:pPr>
              <w:spacing w:line="240" w:lineRule="auto"/>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7520DE21" w:rsidR="71A0AD6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GB"/>
              </w:rPr>
              <w:t>METADATA_CATEGORY</w:t>
            </w:r>
          </w:p>
          <w:p w:rsidR="7520DE21" w:rsidP="7520DE21" w:rsidRDefault="7520DE21" w14:paraId="7EC488AB" w14:textId="6B76CCBF">
            <w:pPr>
              <w:pStyle w:val="Normal"/>
              <w:spacing w:line="240" w:lineRule="auto"/>
              <w:jc w:val="right"/>
              <w:rPr>
                <w:rFonts w:ascii="Calibri" w:hAnsi="Calibri" w:eastAsia="Times New Roman" w:cs="Calibri"/>
                <w:color w:val="000000" w:themeColor="text1" w:themeTint="FF" w:themeShade="FF"/>
              </w:rPr>
            </w:pPr>
          </w:p>
        </w:tc>
        <w:tc>
          <w:tcPr>
            <w:tcW w:w="2798" w:type="dxa"/>
            <w:shd w:val="clear" w:color="auto" w:fill="auto"/>
            <w:tcMar/>
            <w:hideMark/>
          </w:tcPr>
          <w:p w:rsidR="71A0AD6F" w:rsidP="7520DE21" w:rsidRDefault="71A0AD6F" w14:paraId="20B06965" w14:textId="40464DED">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520DE21" w:rsidR="71A0AD6F">
              <w:rPr>
                <w:rFonts w:ascii="Calibri" w:hAnsi="Calibri" w:eastAsia="Calibri" w:cs="Calibri"/>
                <w:b w:val="1"/>
                <w:bCs w:val="1"/>
                <w:i w:val="0"/>
                <w:iCs w:val="0"/>
                <w:caps w:val="0"/>
                <w:smallCaps w:val="0"/>
                <w:noProof w:val="0"/>
                <w:color w:val="000000" w:themeColor="text1" w:themeTint="FF" w:themeShade="FF"/>
                <w:sz w:val="22"/>
                <w:szCs w:val="22"/>
                <w:lang w:val="en-GB"/>
              </w:rPr>
              <w:t>METADATA_CATEGORY_DESC</w:t>
            </w:r>
          </w:p>
        </w:tc>
        <w:tc>
          <w:tcPr>
            <w:tcW w:w="7629" w:type="dxa"/>
            <w:shd w:val="clear" w:color="auto" w:fill="auto"/>
            <w:tcMar/>
            <w:hideMark/>
          </w:tcPr>
          <w:p w:rsidR="71A0AD6F" w:rsidP="7520DE21" w:rsidRDefault="71A0AD6F" w14:paraId="0F7ACEDE" w14:textId="3A41AB36">
            <w:p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520DE21" w:rsidR="71A0AD6F">
              <w:rPr>
                <w:rFonts w:ascii="Calibri" w:hAnsi="Calibri" w:eastAsia="Calibri" w:cs="Calibri"/>
                <w:b w:val="1"/>
                <w:bCs w:val="1"/>
                <w:i w:val="0"/>
                <w:iCs w:val="0"/>
                <w:caps w:val="0"/>
                <w:smallCaps w:val="0"/>
                <w:noProof w:val="0"/>
                <w:color w:val="000000" w:themeColor="text1" w:themeTint="FF" w:themeShade="FF"/>
                <w:sz w:val="22"/>
                <w:szCs w:val="22"/>
                <w:lang w:val="en-GB"/>
              </w:rPr>
              <w:t>METADATA_DESCRIPTION</w:t>
            </w:r>
          </w:p>
        </w:tc>
      </w:tr>
      <w:tr w:rsidRPr="00D02A76" w:rsidR="0009308F" w:rsidTr="230C1076" w14:paraId="134EC535" w14:textId="77777777">
        <w:trPr>
          <w:trHeight w:val="600"/>
        </w:trPr>
        <w:tc>
          <w:tcPr>
            <w:tcW w:w="549" w:type="dxa"/>
            <w:shd w:val="clear" w:color="auto" w:fill="auto"/>
            <w:tcMar/>
            <w:hideMark/>
          </w:tcPr>
          <w:p w:rsidRPr="00D02A76" w:rsidR="0009308F" w:rsidP="7520DE21" w:rsidRDefault="0009308F" w14:paraId="7B325639" w14:textId="5E5C792A">
            <w:pPr>
              <w:pStyle w:val="Normal"/>
              <w:bidi w:val="0"/>
              <w:spacing w:before="0" w:beforeAutospacing="off" w:after="0" w:afterAutospacing="off" w:line="240" w:lineRule="auto"/>
              <w:ind w:left="0" w:right="0"/>
              <w:jc w:val="right"/>
            </w:pPr>
            <w:r w:rsidRPr="7520DE21" w:rsidR="0384ACBA">
              <w:rPr>
                <w:rFonts w:ascii="Calibri" w:hAnsi="Calibri" w:eastAsia="Times New Roman" w:cs="Calibri"/>
                <w:color w:val="000000" w:themeColor="text1" w:themeTint="FF" w:themeShade="FF"/>
              </w:rPr>
              <w:t>II.3</w:t>
            </w:r>
          </w:p>
        </w:tc>
        <w:tc>
          <w:tcPr>
            <w:tcW w:w="589" w:type="dxa"/>
            <w:shd w:val="clear" w:color="auto" w:fill="auto"/>
            <w:tcMar/>
            <w:hideMark/>
          </w:tcPr>
          <w:p w:rsidRPr="00D02A76" w:rsidR="0009308F" w:rsidP="00337A95" w:rsidRDefault="0009308F" w14:paraId="325FE5F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09308F" w:rsidP="00337A95" w:rsidRDefault="0009308F" w14:paraId="24053A00"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hideMark/>
          </w:tcPr>
          <w:p w:rsidRPr="00CE612C" w:rsidR="00314E5F" w:rsidP="00314E5F" w:rsidRDefault="00314E5F" w14:paraId="6AD2E0D5"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Friedrich Huebler</w:t>
            </w:r>
          </w:p>
          <w:p w:rsidRPr="00CE612C" w:rsidR="00314E5F" w:rsidP="00314E5F" w:rsidRDefault="00314E5F" w14:paraId="37083D32"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Head, Education Standards and Methodology</w:t>
            </w:r>
          </w:p>
          <w:p w:rsidRPr="002A436F" w:rsidR="00314E5F" w:rsidP="00314E5F" w:rsidRDefault="00314E5F" w14:paraId="52207DB5" w14:textId="77777777">
            <w:pPr>
              <w:spacing w:after="0" w:line="240" w:lineRule="auto"/>
              <w:rPr>
                <w:rFonts w:ascii="Calibri" w:hAnsi="Calibri" w:eastAsia="Times New Roman" w:cs="Calibri"/>
                <w:color w:val="000000"/>
              </w:rPr>
            </w:pPr>
            <w:r w:rsidRPr="002A436F">
              <w:rPr>
                <w:rFonts w:ascii="Calibri" w:hAnsi="Calibri" w:eastAsia="Times New Roman" w:cs="Calibri"/>
                <w:color w:val="000000"/>
              </w:rPr>
              <w:t>UNESCO Institute for Statistics</w:t>
            </w:r>
          </w:p>
          <w:p w:rsidRPr="002A436F" w:rsidR="00314E5F" w:rsidP="230C1076" w:rsidRDefault="00314E5F" w14:paraId="43835ABA" w14:textId="043BB463">
            <w:pPr>
              <w:pStyle w:val="Normal"/>
              <w:spacing w:after="0" w:line="240" w:lineRule="auto"/>
              <w:rPr>
                <w:rFonts w:ascii="Calibri" w:hAnsi="Calibri" w:eastAsia="Times New Roman" w:cs="Calibri"/>
                <w:color w:val="000000"/>
              </w:rPr>
            </w:pPr>
            <w:r w:rsidRPr="230C1076" w:rsidR="0EA1395C">
              <w:rPr>
                <w:rFonts w:ascii="Calibri" w:hAnsi="Calibri" w:eastAsia="Times New Roman" w:cs="Calibri"/>
                <w:color w:val="000000" w:themeColor="text1" w:themeTint="FF" w:themeShade="FF"/>
              </w:rPr>
              <w:t>[</w:t>
            </w:r>
            <w:r w:rsidRPr="230C1076" w:rsidR="00314E5F">
              <w:rPr>
                <w:rFonts w:ascii="Calibri" w:hAnsi="Calibri" w:eastAsia="Times New Roman" w:cs="Calibri"/>
                <w:color w:val="000000" w:themeColor="text1" w:themeTint="FF" w:themeShade="FF"/>
              </w:rPr>
              <w:t>f.huebler@unesco.org</w:t>
            </w:r>
            <w:r w:rsidRPr="230C1076" w:rsidR="7A948CFB">
              <w:rPr>
                <w:rFonts w:ascii="Calibri" w:hAnsi="Calibri" w:eastAsia="Times New Roman" w:cs="Calibri"/>
                <w:color w:val="000000" w:themeColor="text1" w:themeTint="FF" w:themeShade="FF"/>
              </w:rPr>
              <w:t>](mailto:f.huebler@unesco.org)</w:t>
            </w:r>
          </w:p>
          <w:p w:rsidRPr="006C0885" w:rsidR="00314E5F" w:rsidP="230C1076" w:rsidRDefault="00314E5F" w14:paraId="213C6079" w14:textId="5160CB1D">
            <w:pPr>
              <w:pStyle w:val="Normal"/>
              <w:spacing w:after="0" w:line="240" w:lineRule="auto"/>
              <w:rPr>
                <w:rFonts w:ascii="Calibri" w:hAnsi="Calibri" w:eastAsia="Times New Roman" w:cs="Calibri"/>
                <w:lang w:val="fr-FR"/>
              </w:rPr>
            </w:pPr>
            <w:r w:rsidRPr="230C1076" w:rsidR="7A948CFB">
              <w:rPr>
                <w:rFonts w:ascii="Calibri" w:hAnsi="Calibri" w:eastAsia="Times New Roman" w:cs="Calibri"/>
                <w:lang w:val="fr-FR"/>
              </w:rPr>
              <w:t>[</w:t>
            </w:r>
            <w:hyperlink>
              <w:r w:rsidRPr="230C1076" w:rsidR="00314E5F">
                <w:rPr>
                  <w:rStyle w:val="Hyperlink"/>
                  <w:rFonts w:ascii="Calibri" w:hAnsi="Calibri" w:eastAsia="Times New Roman" w:cs="Calibri"/>
                  <w:lang w:val="fr-FR"/>
                </w:rPr>
                <w:t>http://uis.unesco.org</w:t>
              </w:r>
              <w:r w:rsidRPr="230C1076" w:rsidR="44A65450">
                <w:rPr>
                  <w:rStyle w:val="Hyperlink"/>
                  <w:rFonts w:ascii="Calibri" w:hAnsi="Calibri" w:eastAsia="Times New Roman" w:cs="Calibri"/>
                  <w:lang w:val="fr-FR"/>
                </w:rPr>
                <w:t>](</w:t>
              </w:r>
            </w:hyperlink>
            <w:hyperlink>
              <w:r w:rsidRPr="230C1076" w:rsidR="44A65450">
                <w:rPr>
                  <w:rStyle w:val="Hyperlink"/>
                  <w:rFonts w:ascii="Calibri" w:hAnsi="Calibri" w:eastAsia="Times New Roman" w:cs="Calibri"/>
                  <w:lang w:val="fr-FR"/>
                </w:rPr>
                <w:t>http://uis.unesco.org)</w:t>
              </w:r>
            </w:hyperlink>
          </w:p>
          <w:p w:rsidRPr="006C0885" w:rsidR="00314E5F" w:rsidP="00314E5F" w:rsidRDefault="00314E5F" w14:paraId="244DBFB3" w14:textId="77777777">
            <w:pPr>
              <w:spacing w:after="0" w:line="240" w:lineRule="auto"/>
              <w:rPr>
                <w:rFonts w:ascii="Calibri" w:hAnsi="Calibri" w:eastAsia="Times New Roman" w:cs="Calibri"/>
                <w:color w:val="000000"/>
                <w:lang w:val="fr-FR"/>
              </w:rPr>
            </w:pPr>
          </w:p>
          <w:p w:rsidRPr="006C0885" w:rsidR="00314E5F" w:rsidP="00314E5F" w:rsidRDefault="00314E5F" w14:paraId="55C00347" w14:textId="77777777">
            <w:pPr>
              <w:spacing w:after="0" w:line="240" w:lineRule="auto"/>
              <w:rPr>
                <w:rFonts w:ascii="Calibri" w:hAnsi="Calibri" w:eastAsia="Times New Roman" w:cs="Calibri"/>
                <w:color w:val="000000"/>
                <w:lang w:val="fr-FR"/>
              </w:rPr>
            </w:pPr>
            <w:r w:rsidRPr="006C0885">
              <w:rPr>
                <w:rFonts w:ascii="Calibri" w:hAnsi="Calibri" w:eastAsia="Times New Roman" w:cs="Calibri"/>
                <w:color w:val="000000"/>
                <w:lang w:val="fr-FR"/>
              </w:rPr>
              <w:t>Olivier Labé</w:t>
            </w:r>
          </w:p>
          <w:p w:rsidRPr="003304FE" w:rsidR="00314E5F" w:rsidP="00314E5F" w:rsidRDefault="00314E5F" w14:paraId="424A9F0C"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Head of Unit</w:t>
            </w:r>
          </w:p>
          <w:p w:rsidRPr="003304FE" w:rsidR="00314E5F" w:rsidP="00314E5F" w:rsidRDefault="00314E5F" w14:paraId="43C46A8C"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Indicators Methodology</w:t>
            </w:r>
          </w:p>
          <w:p w:rsidRPr="003304FE" w:rsidR="00314E5F" w:rsidP="00314E5F" w:rsidRDefault="00314E5F" w14:paraId="613858DF"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Education Standards and Methodology Section</w:t>
            </w:r>
          </w:p>
          <w:p w:rsidR="00314E5F" w:rsidP="00314E5F" w:rsidRDefault="00314E5F" w14:paraId="49B63EF3" w14:textId="77777777">
            <w:pPr>
              <w:spacing w:after="0" w:line="240" w:lineRule="auto"/>
              <w:rPr>
                <w:rFonts w:ascii="Calibri" w:hAnsi="Calibri" w:eastAsia="Times New Roman" w:cs="Calibri"/>
                <w:color w:val="000000"/>
              </w:rPr>
            </w:pPr>
            <w:r>
              <w:rPr>
                <w:rFonts w:ascii="Calibri" w:hAnsi="Calibri" w:eastAsia="Times New Roman" w:cs="Calibri"/>
                <w:color w:val="000000"/>
              </w:rPr>
              <w:t>UNESCO</w:t>
            </w:r>
          </w:p>
          <w:p w:rsidR="00314E5F" w:rsidP="230C1076" w:rsidRDefault="00314E5F" w14:paraId="6F99C53E" w14:textId="0DCBE8EA">
            <w:pPr>
              <w:pStyle w:val="Normal"/>
              <w:spacing w:after="0" w:line="240" w:lineRule="auto"/>
              <w:rPr>
                <w:rFonts w:ascii="Calibri" w:hAnsi="Calibri" w:eastAsia="Times New Roman" w:cs="Calibri"/>
                <w:color w:val="000000"/>
              </w:rPr>
            </w:pPr>
            <w:r w:rsidRPr="230C1076" w:rsidR="6CE63D0D">
              <w:rPr>
                <w:rFonts w:ascii="Calibri" w:hAnsi="Calibri" w:eastAsia="Times New Roman" w:cs="Calibri"/>
                <w:color w:val="000000" w:themeColor="text1" w:themeTint="FF" w:themeShade="FF"/>
              </w:rPr>
              <w:t>[</w:t>
            </w:r>
            <w:r w:rsidRPr="230C1076" w:rsidR="00314E5F">
              <w:rPr>
                <w:rFonts w:ascii="Calibri" w:hAnsi="Calibri" w:eastAsia="Times New Roman" w:cs="Calibri"/>
                <w:color w:val="000000" w:themeColor="text1" w:themeTint="FF" w:themeShade="FF"/>
              </w:rPr>
              <w:t>o.labe@unesco.org</w:t>
            </w:r>
            <w:r w:rsidRPr="230C1076" w:rsidR="309C1467">
              <w:rPr>
                <w:rFonts w:ascii="Calibri" w:hAnsi="Calibri" w:eastAsia="Times New Roman" w:cs="Calibri"/>
                <w:color w:val="000000" w:themeColor="text1" w:themeTint="FF" w:themeShade="FF"/>
              </w:rPr>
              <w:t>](mailto:o.labe@unesco.org)</w:t>
            </w:r>
          </w:p>
          <w:p w:rsidR="00314E5F" w:rsidP="230C1076" w:rsidRDefault="00314E5F" w14:paraId="7930DAF9" w14:textId="634D39EB">
            <w:pPr>
              <w:pStyle w:val="Normal"/>
              <w:spacing w:after="0" w:line="240" w:lineRule="auto"/>
              <w:rPr>
                <w:rFonts w:ascii="Calibri" w:hAnsi="Calibri" w:eastAsia="Times New Roman" w:cs="Calibri"/>
              </w:rPr>
            </w:pPr>
            <w:r w:rsidRPr="230C1076" w:rsidR="309C1467">
              <w:rPr>
                <w:rFonts w:ascii="Calibri" w:hAnsi="Calibri" w:eastAsia="Times New Roman" w:cs="Calibri"/>
              </w:rPr>
              <w:t>[</w:t>
            </w:r>
            <w:r w:rsidRPr="230C1076" w:rsidR="00314E5F">
              <w:rPr>
                <w:rFonts w:ascii="Calibri" w:hAnsi="Calibri" w:eastAsia="Times New Roman" w:cs="Calibri"/>
              </w:rPr>
              <w:t>http://uis.unesco.org</w:t>
            </w:r>
            <w:r w:rsidRPr="230C1076" w:rsidR="17AFCC43">
              <w:rPr>
                <w:rFonts w:ascii="Calibri" w:hAnsi="Calibri" w:eastAsia="Times New Roman" w:cs="Calibri"/>
              </w:rPr>
              <w:t>](</w:t>
            </w:r>
            <w:hyperlink>
              <w:r w:rsidRPr="230C1076" w:rsidR="17AFCC43">
                <w:rPr>
                  <w:rStyle w:val="Hyperlink"/>
                  <w:rFonts w:ascii="Calibri" w:hAnsi="Calibri" w:eastAsia="Times New Roman" w:cs="Calibri"/>
                </w:rPr>
                <w:t>http://uis.unesco.org)</w:t>
              </w:r>
            </w:hyperlink>
          </w:p>
          <w:p w:rsidRPr="00D02A76" w:rsidR="0009308F" w:rsidP="0F033DF0" w:rsidRDefault="0009308F" w14:paraId="778ED79B" w14:textId="4D71363C">
            <w:pPr>
              <w:pStyle w:val="Normal"/>
              <w:spacing w:after="0" w:line="240" w:lineRule="auto"/>
              <w:rPr>
                <w:rFonts w:ascii="Calibri" w:hAnsi="Calibri" w:eastAsia="Times New Roman" w:cs="Calibri"/>
                <w:color w:val="000000"/>
              </w:rPr>
            </w:pPr>
          </w:p>
        </w:tc>
      </w:tr>
      <w:tr w:rsidRPr="00D02A76" w:rsidR="0009308F" w:rsidTr="230C1076" w14:paraId="7B9A934C" w14:textId="77777777">
        <w:trPr>
          <w:trHeight w:val="600"/>
        </w:trPr>
        <w:tc>
          <w:tcPr>
            <w:tcW w:w="549" w:type="dxa"/>
            <w:shd w:val="clear" w:color="auto" w:fill="auto"/>
            <w:tcMar/>
            <w:hideMark/>
          </w:tcPr>
          <w:p w:rsidRPr="00D02A76" w:rsidR="0009308F" w:rsidP="7520DE21" w:rsidRDefault="0009308F" w14:paraId="25A48A1B" w14:textId="5E5C792A">
            <w:pPr>
              <w:pStyle w:val="Normal"/>
              <w:bidi w:val="0"/>
              <w:spacing w:before="0" w:beforeAutospacing="off" w:after="0" w:afterAutospacing="off" w:line="240" w:lineRule="auto"/>
              <w:ind w:left="0" w:right="0"/>
              <w:jc w:val="right"/>
            </w:pPr>
            <w:r w:rsidRPr="7520DE21" w:rsidR="0B9C2D75">
              <w:rPr>
                <w:rFonts w:ascii="Calibri" w:hAnsi="Calibri" w:eastAsia="Times New Roman" w:cs="Calibri"/>
                <w:color w:val="000000" w:themeColor="text1" w:themeTint="FF" w:themeShade="FF"/>
              </w:rPr>
              <w:t>II.3</w:t>
            </w:r>
          </w:p>
          <w:p w:rsidRPr="00D02A76" w:rsidR="0009308F" w:rsidP="7520DE21" w:rsidRDefault="0009308F" w14:paraId="4FF0380D" w14:textId="273246A5">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09308F" w:rsidP="00337A95" w:rsidRDefault="0009308F" w14:paraId="09259E5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09308F" w:rsidP="00337A95" w:rsidRDefault="0009308F" w14:paraId="0337168B"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hideMark/>
          </w:tcPr>
          <w:p w:rsidR="008A5A0E" w:rsidP="009568C4" w:rsidRDefault="008A5A0E" w14:paraId="38468A67" w14:textId="6D18C092">
            <w:pPr>
              <w:spacing w:after="0" w:line="240" w:lineRule="auto"/>
              <w:rPr>
                <w:rFonts w:ascii="Calibri" w:hAnsi="Calibri" w:eastAsia="Times New Roman" w:cs="Calibri"/>
                <w:color w:val="000000"/>
              </w:rPr>
            </w:pPr>
            <w:r w:rsidRPr="008A5A0E">
              <w:rPr>
                <w:rFonts w:ascii="Calibri" w:hAnsi="Calibri" w:eastAsia="Times New Roman" w:cs="Calibri"/>
                <w:color w:val="000000"/>
              </w:rPr>
              <w:t xml:space="preserve">Number of students enrolled in </w:t>
            </w:r>
            <w:r w:rsidR="009862E1">
              <w:rPr>
                <w:rFonts w:ascii="Calibri" w:hAnsi="Calibri" w:eastAsia="Times New Roman" w:cs="Calibri"/>
                <w:color w:val="000000"/>
              </w:rPr>
              <w:t>secondary</w:t>
            </w:r>
            <w:r w:rsidRPr="008A5A0E">
              <w:rPr>
                <w:rFonts w:ascii="Calibri" w:hAnsi="Calibri" w:eastAsia="Times New Roman" w:cs="Calibri"/>
                <w:color w:val="000000"/>
              </w:rPr>
              <w:t xml:space="preserve"> education, regardless of age, expressed as a percentage of the official school-age population corresponding to the same level of education.</w:t>
            </w:r>
          </w:p>
          <w:p w:rsidR="006C7DF0" w:rsidP="009568C4" w:rsidRDefault="006C7DF0" w14:paraId="5949322F" w14:textId="77777777">
            <w:pPr>
              <w:spacing w:after="0" w:line="240" w:lineRule="auto"/>
              <w:rPr>
                <w:rFonts w:ascii="Calibri" w:hAnsi="Calibri" w:eastAsia="Times New Roman" w:cs="Calibri"/>
                <w:color w:val="000000"/>
              </w:rPr>
            </w:pPr>
          </w:p>
          <w:p w:rsidRPr="00D02A76" w:rsidR="009568C4" w:rsidP="009568C4" w:rsidRDefault="009568C4" w14:paraId="73687DCD" w14:textId="1E979547">
            <w:pPr>
              <w:spacing w:after="0" w:line="240" w:lineRule="auto"/>
              <w:rPr>
                <w:rFonts w:ascii="Calibri" w:hAnsi="Calibri" w:eastAsia="Times New Roman" w:cs="Calibri"/>
                <w:color w:val="000000"/>
              </w:rPr>
            </w:pPr>
          </w:p>
        </w:tc>
      </w:tr>
      <w:tr w:rsidRPr="00D02A76" w:rsidR="0009308F" w:rsidTr="230C1076" w14:paraId="1BCA4404" w14:textId="77777777">
        <w:trPr>
          <w:trHeight w:val="1200"/>
        </w:trPr>
        <w:tc>
          <w:tcPr>
            <w:tcW w:w="549" w:type="dxa"/>
            <w:shd w:val="clear" w:color="auto" w:fill="auto"/>
            <w:tcMar/>
            <w:hideMark/>
          </w:tcPr>
          <w:p w:rsidRPr="00D02A76" w:rsidR="0009308F" w:rsidP="7520DE21" w:rsidRDefault="0009308F" w14:paraId="63BCCEBC" w14:textId="5E5C792A">
            <w:pPr>
              <w:pStyle w:val="Normal"/>
              <w:bidi w:val="0"/>
              <w:spacing w:before="0" w:beforeAutospacing="off" w:after="0" w:afterAutospacing="off" w:line="240" w:lineRule="auto"/>
              <w:ind w:left="0" w:right="0"/>
              <w:jc w:val="right"/>
            </w:pPr>
            <w:r w:rsidRPr="7520DE21" w:rsidR="2BE54CA3">
              <w:rPr>
                <w:rFonts w:ascii="Calibri" w:hAnsi="Calibri" w:eastAsia="Times New Roman" w:cs="Calibri"/>
                <w:color w:val="000000" w:themeColor="text1" w:themeTint="FF" w:themeShade="FF"/>
              </w:rPr>
              <w:t>II.3</w:t>
            </w:r>
          </w:p>
          <w:p w:rsidRPr="00D02A76" w:rsidR="0009308F" w:rsidP="7520DE21" w:rsidRDefault="0009308F" w14:paraId="7411B3A8" w14:textId="32261F8D">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09308F" w:rsidP="00337A95" w:rsidRDefault="0009308F" w14:paraId="60C049C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09308F" w:rsidP="00337A95" w:rsidRDefault="0009308F" w14:paraId="4BDB96A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hideMark/>
          </w:tcPr>
          <w:p w:rsidR="00CC5769" w:rsidP="00CC5769" w:rsidRDefault="006C7DF0" w14:paraId="689C849A" w14:textId="60ABA239">
            <w:pPr>
              <w:spacing w:after="0" w:line="240" w:lineRule="auto"/>
              <w:rPr>
                <w:rFonts w:ascii="Calibri" w:hAnsi="Calibri" w:eastAsia="Times New Roman" w:cs="Calibri"/>
                <w:color w:val="000000"/>
              </w:rPr>
            </w:pPr>
            <w:r w:rsidRPr="7520DE21" w:rsidR="006C7DF0">
              <w:rPr>
                <w:rFonts w:ascii="Calibri" w:hAnsi="Calibri" w:eastAsia="Times New Roman" w:cs="Calibri"/>
                <w:color w:val="000000" w:themeColor="text1" w:themeTint="FF" w:themeShade="FF"/>
              </w:rPr>
              <w:t xml:space="preserve">Divide the number of students enrolled in </w:t>
            </w:r>
            <w:r w:rsidRPr="7520DE21" w:rsidR="00EE315F">
              <w:rPr>
                <w:rFonts w:ascii="Calibri" w:hAnsi="Calibri" w:eastAsia="Times New Roman" w:cs="Calibri"/>
                <w:color w:val="000000" w:themeColor="text1" w:themeTint="FF" w:themeShade="FF"/>
              </w:rPr>
              <w:t>secondary</w:t>
            </w:r>
            <w:r w:rsidRPr="7520DE21" w:rsidR="006C7DF0">
              <w:rPr>
                <w:rFonts w:ascii="Calibri" w:hAnsi="Calibri" w:eastAsia="Times New Roman" w:cs="Calibri"/>
                <w:color w:val="000000" w:themeColor="text1" w:themeTint="FF" w:themeShade="FF"/>
              </w:rPr>
              <w:t xml:space="preserve"> education regardless of age by the population of the age group which officially corresponds to the given level of education</w:t>
            </w:r>
            <w:r w:rsidRPr="7520DE21" w:rsidR="20D06956">
              <w:rPr>
                <w:rFonts w:ascii="Calibri" w:hAnsi="Calibri" w:eastAsia="Times New Roman" w:cs="Calibri"/>
                <w:color w:val="000000" w:themeColor="text1" w:themeTint="FF" w:themeShade="FF"/>
              </w:rPr>
              <w:t xml:space="preserve"> </w:t>
            </w:r>
            <w:r w:rsidRPr="7520DE21" w:rsidR="006C7DF0">
              <w:rPr>
                <w:rFonts w:ascii="Calibri" w:hAnsi="Calibri" w:eastAsia="Times New Roman" w:cs="Calibri"/>
                <w:color w:val="000000" w:themeColor="text1" w:themeTint="FF" w:themeShade="FF"/>
              </w:rPr>
              <w:t>and multiply the</w:t>
            </w:r>
            <w:r w:rsidRPr="7520DE21" w:rsidR="00607381">
              <w:rPr>
                <w:rFonts w:ascii="Calibri" w:hAnsi="Calibri" w:eastAsia="Times New Roman" w:cs="Calibri"/>
                <w:color w:val="000000" w:themeColor="text1" w:themeTint="FF" w:themeShade="FF"/>
              </w:rPr>
              <w:t xml:space="preserve"> </w:t>
            </w:r>
            <w:r w:rsidRPr="7520DE21" w:rsidR="006C7DF0">
              <w:rPr>
                <w:rFonts w:ascii="Calibri" w:hAnsi="Calibri" w:eastAsia="Times New Roman" w:cs="Calibri"/>
                <w:color w:val="000000" w:themeColor="text1" w:themeTint="FF" w:themeShade="FF"/>
              </w:rPr>
              <w:t>result by 100.</w:t>
            </w:r>
          </w:p>
          <w:p w:rsidR="00C54BB8" w:rsidP="00CC5769" w:rsidRDefault="00C54BB8" w14:paraId="219A0E91" w14:textId="2E2DA160">
            <w:pPr>
              <w:spacing w:after="0" w:line="240" w:lineRule="auto"/>
              <w:rPr>
                <w:rFonts w:ascii="Calibri" w:hAnsi="Calibri" w:eastAsia="Times New Roman" w:cs="Calibri"/>
                <w:color w:val="000000"/>
              </w:rPr>
            </w:pPr>
          </w:p>
          <w:p w:rsidRPr="00C54BB8" w:rsidR="00C54BB8" w:rsidP="00C54BB8" w:rsidRDefault="00C54BB8" w14:paraId="12211C3B" w14:textId="69F917DC">
            <w:pPr>
              <w:spacing w:after="0" w:line="240" w:lineRule="auto"/>
              <w:rPr>
                <w:rFonts w:ascii="Calibri" w:hAnsi="Calibri" w:eastAsia="Times New Roman" w:cs="Calibri"/>
                <w:color w:val="000000"/>
              </w:rPr>
            </w:pPr>
            <w:r w:rsidRPr="00C54BB8">
              <w:rPr>
                <w:rFonts w:ascii="Calibri" w:hAnsi="Calibri" w:eastAsia="Times New Roman" w:cs="Calibri"/>
                <w:color w:val="000000"/>
              </w:rPr>
              <w:t>GER at each level of education should be based on total enrolment in all types of schools and education institutions, including public, private and all other institutions that provide organized educational</w:t>
            </w:r>
            <w:r w:rsidR="006E2014">
              <w:rPr>
                <w:rFonts w:ascii="Calibri" w:hAnsi="Calibri" w:eastAsia="Times New Roman" w:cs="Calibri"/>
                <w:color w:val="000000"/>
              </w:rPr>
              <w:t xml:space="preserve"> </w:t>
            </w:r>
            <w:r w:rsidRPr="00C54BB8">
              <w:rPr>
                <w:rFonts w:ascii="Calibri" w:hAnsi="Calibri" w:eastAsia="Times New Roman" w:cs="Calibri"/>
                <w:color w:val="000000"/>
              </w:rPr>
              <w:t>programmes.</w:t>
            </w:r>
          </w:p>
          <w:p w:rsidR="00022AC9" w:rsidP="00CC5769" w:rsidRDefault="00022AC9" w14:paraId="5B3E855F" w14:textId="088F645B">
            <w:pPr>
              <w:spacing w:after="0" w:line="240" w:lineRule="auto"/>
              <w:rPr>
                <w:rFonts w:ascii="Calibri" w:hAnsi="Calibri" w:eastAsia="Times New Roman" w:cs="Calibri"/>
                <w:color w:val="000000"/>
              </w:rPr>
            </w:pPr>
          </w:p>
          <w:p w:rsidR="00022AC9" w:rsidP="00CC5769" w:rsidRDefault="00022AC9" w14:paraId="4913818E" w14:textId="38C4EB5E">
            <w:pPr>
              <w:spacing w:after="0" w:line="240" w:lineRule="auto"/>
              <w:rPr>
                <w:rFonts w:ascii="Calibri" w:hAnsi="Calibri" w:eastAsia="Times New Roman" w:cs="Calibri"/>
                <w:color w:val="000000"/>
              </w:rPr>
            </w:pPr>
            <w:r w:rsidRPr="7520DE21" w:rsidR="00022AC9">
              <w:rPr>
                <w:rFonts w:ascii="Calibri" w:hAnsi="Calibri" w:eastAsia="Times New Roman" w:cs="Calibri"/>
                <w:color w:val="000000" w:themeColor="text1" w:themeTint="FF" w:themeShade="FF"/>
              </w:rPr>
              <w:t>Disaggregation:</w:t>
            </w:r>
            <w:r w:rsidRPr="7520DE21" w:rsidR="02117B5D">
              <w:rPr>
                <w:rFonts w:ascii="Calibri" w:hAnsi="Calibri" w:eastAsia="Times New Roman" w:cs="Calibri"/>
                <w:color w:val="000000" w:themeColor="text1" w:themeTint="FF" w:themeShade="FF"/>
              </w:rPr>
              <w:t xml:space="preserve"> b</w:t>
            </w:r>
            <w:r w:rsidRPr="7520DE21" w:rsidR="00022AC9">
              <w:rPr>
                <w:rFonts w:ascii="Calibri" w:hAnsi="Calibri" w:eastAsia="Times New Roman" w:cs="Calibri"/>
                <w:color w:val="000000" w:themeColor="text1" w:themeTint="FF" w:themeShade="FF"/>
              </w:rPr>
              <w:t>y sex</w:t>
            </w:r>
          </w:p>
          <w:p w:rsidRPr="00D02A76" w:rsidR="00022AC9" w:rsidP="00CC5769" w:rsidRDefault="00022AC9" w14:paraId="173C4096" w14:textId="77777777">
            <w:pPr>
              <w:spacing w:after="0" w:line="240" w:lineRule="auto"/>
              <w:rPr>
                <w:rFonts w:ascii="Calibri" w:hAnsi="Calibri" w:eastAsia="Times New Roman" w:cs="Calibri"/>
                <w:color w:val="000000"/>
              </w:rPr>
            </w:pPr>
          </w:p>
          <w:p w:rsidRPr="00D02A76" w:rsidR="0009308F" w:rsidP="006C7DF0" w:rsidRDefault="0009308F" w14:paraId="422FA7C9" w14:textId="2EC27EB9">
            <w:pPr>
              <w:spacing w:after="0" w:line="240" w:lineRule="auto"/>
              <w:rPr>
                <w:rFonts w:ascii="Calibri" w:hAnsi="Calibri" w:eastAsia="Times New Roman" w:cs="Calibri"/>
                <w:color w:val="000000"/>
              </w:rPr>
            </w:pPr>
          </w:p>
        </w:tc>
      </w:tr>
      <w:tr w:rsidRPr="00D02A76" w:rsidR="0009308F" w:rsidTr="230C1076" w14:paraId="0025D31C" w14:textId="77777777">
        <w:trPr>
          <w:trHeight w:val="1200"/>
        </w:trPr>
        <w:tc>
          <w:tcPr>
            <w:tcW w:w="549" w:type="dxa"/>
            <w:shd w:val="clear" w:color="auto" w:fill="auto"/>
            <w:tcMar/>
            <w:hideMark/>
          </w:tcPr>
          <w:p w:rsidRPr="00D02A76" w:rsidR="0009308F" w:rsidP="7520DE21" w:rsidRDefault="0009308F" w14:paraId="55D9A2DC" w14:textId="5E5C792A">
            <w:pPr>
              <w:pStyle w:val="Normal"/>
              <w:bidi w:val="0"/>
              <w:spacing w:before="0" w:beforeAutospacing="off" w:after="0" w:afterAutospacing="off" w:line="240" w:lineRule="auto"/>
              <w:ind w:left="0" w:right="0"/>
              <w:jc w:val="right"/>
            </w:pPr>
            <w:r w:rsidRPr="7520DE21" w:rsidR="378437F6">
              <w:rPr>
                <w:rFonts w:ascii="Calibri" w:hAnsi="Calibri" w:eastAsia="Times New Roman" w:cs="Calibri"/>
                <w:color w:val="000000" w:themeColor="text1" w:themeTint="FF" w:themeShade="FF"/>
              </w:rPr>
              <w:t>II.3</w:t>
            </w:r>
          </w:p>
          <w:p w:rsidRPr="00D02A76" w:rsidR="0009308F" w:rsidP="7520DE21" w:rsidRDefault="0009308F" w14:paraId="39A00A72" w14:textId="5C7BBA5D">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09308F" w:rsidP="00337A95" w:rsidRDefault="0009308F" w14:paraId="41A585D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09308F" w:rsidP="00337A95" w:rsidRDefault="0009308F" w14:paraId="060CFA0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hideMark/>
          </w:tcPr>
          <w:p w:rsidRPr="00EB21A8" w:rsidR="00EB21A8" w:rsidP="00EB21A8" w:rsidRDefault="00EB21A8" w14:paraId="7E8661F7" w14:textId="079C572D">
            <w:pPr>
              <w:spacing w:after="0" w:line="240" w:lineRule="auto"/>
              <w:rPr>
                <w:rFonts w:ascii="Calibri" w:hAnsi="Calibri" w:eastAsia="Times New Roman" w:cs="Calibri"/>
                <w:color w:val="000000"/>
              </w:rPr>
            </w:pPr>
            <w:r w:rsidRPr="00EB21A8">
              <w:rPr>
                <w:rFonts w:ascii="Calibri" w:hAnsi="Calibri" w:eastAsia="Times New Roman" w:cs="Calibri"/>
                <w:color w:val="000000"/>
              </w:rPr>
              <w:t>A high GER generally indicates a high degree of participation, whether the pupils belong to the official age group or not. A GER value approaching or exceeding 100% indicates that a country is, in</w:t>
            </w:r>
            <w:r w:rsidR="00226CDA">
              <w:rPr>
                <w:rFonts w:ascii="Calibri" w:hAnsi="Calibri" w:eastAsia="Times New Roman" w:cs="Calibri"/>
                <w:color w:val="000000"/>
              </w:rPr>
              <w:t xml:space="preserve"> </w:t>
            </w:r>
            <w:r w:rsidRPr="00EB21A8">
              <w:rPr>
                <w:rFonts w:ascii="Calibri" w:hAnsi="Calibri" w:eastAsia="Times New Roman" w:cs="Calibri"/>
                <w:color w:val="000000"/>
              </w:rPr>
              <w:t>principle, able to accommodate all of its school-age population, but it does not indicate the proportion already enrolled. The achievement of a GER of 100% is therefore a necessary but not sufficient</w:t>
            </w:r>
            <w:r w:rsidR="00226CDA">
              <w:rPr>
                <w:rFonts w:ascii="Calibri" w:hAnsi="Calibri" w:eastAsia="Times New Roman" w:cs="Calibri"/>
                <w:color w:val="000000"/>
              </w:rPr>
              <w:t xml:space="preserve"> </w:t>
            </w:r>
            <w:r w:rsidRPr="00EB21A8">
              <w:rPr>
                <w:rFonts w:ascii="Calibri" w:hAnsi="Calibri" w:eastAsia="Times New Roman" w:cs="Calibri"/>
                <w:color w:val="000000"/>
              </w:rPr>
              <w:lastRenderedPageBreak/>
              <w:t>condition for enrolling all eligible children in school. When the GER exceeds 90% for a particular level of education, the aggregate number of places for students is approaching the number required for</w:t>
            </w:r>
            <w:r w:rsidR="00DA7E71">
              <w:rPr>
                <w:rFonts w:ascii="Calibri" w:hAnsi="Calibri" w:eastAsia="Times New Roman" w:cs="Calibri"/>
                <w:color w:val="000000"/>
              </w:rPr>
              <w:t xml:space="preserve"> </w:t>
            </w:r>
            <w:r w:rsidRPr="00EB21A8">
              <w:rPr>
                <w:rFonts w:ascii="Calibri" w:hAnsi="Calibri" w:eastAsia="Times New Roman" w:cs="Calibri"/>
                <w:color w:val="000000"/>
              </w:rPr>
              <w:t>universal access of the official age group. However, this is a meaningful interpretation only if one can expect the under-aged and over-aged enrolment to decline in the future to free places for pupils</w:t>
            </w:r>
            <w:r w:rsidR="00CF132E">
              <w:rPr>
                <w:rFonts w:ascii="Calibri" w:hAnsi="Calibri" w:eastAsia="Times New Roman" w:cs="Calibri"/>
                <w:color w:val="000000"/>
              </w:rPr>
              <w:t xml:space="preserve"> </w:t>
            </w:r>
            <w:r w:rsidRPr="00EB21A8">
              <w:rPr>
                <w:rFonts w:ascii="Calibri" w:hAnsi="Calibri" w:eastAsia="Times New Roman" w:cs="Calibri"/>
                <w:color w:val="000000"/>
              </w:rPr>
              <w:t>from the expected age group.</w:t>
            </w:r>
          </w:p>
          <w:p w:rsidR="00DA7E71" w:rsidP="00EB21A8" w:rsidRDefault="00DA7E71" w14:paraId="1A3B47C2" w14:textId="77777777">
            <w:pPr>
              <w:spacing w:after="0" w:line="240" w:lineRule="auto"/>
              <w:rPr>
                <w:rFonts w:ascii="Calibri" w:hAnsi="Calibri" w:eastAsia="Times New Roman" w:cs="Calibri"/>
                <w:color w:val="000000"/>
              </w:rPr>
            </w:pPr>
          </w:p>
          <w:p w:rsidR="00EB21A8" w:rsidP="00EB21A8" w:rsidRDefault="00EB21A8" w14:paraId="21F79E4C" w14:textId="6F3C9F69">
            <w:pPr>
              <w:spacing w:after="0" w:line="240" w:lineRule="auto"/>
              <w:rPr>
                <w:rFonts w:ascii="Calibri" w:hAnsi="Calibri" w:eastAsia="Times New Roman" w:cs="Calibri"/>
                <w:color w:val="000000"/>
              </w:rPr>
            </w:pPr>
            <w:r w:rsidRPr="00EB21A8">
              <w:rPr>
                <w:rFonts w:ascii="Calibri" w:hAnsi="Calibri" w:eastAsia="Times New Roman" w:cs="Calibri"/>
                <w:color w:val="000000"/>
              </w:rPr>
              <w:t>GER can exceed 100% due to the inclusion of over-aged and under-aged students because of early or late entrants, and grade repetition. In this case, a rigorous interpretation of GER needs additional</w:t>
            </w:r>
            <w:r w:rsidR="00DA7E71">
              <w:rPr>
                <w:rFonts w:ascii="Calibri" w:hAnsi="Calibri" w:eastAsia="Times New Roman" w:cs="Calibri"/>
                <w:color w:val="000000"/>
              </w:rPr>
              <w:t xml:space="preserve"> </w:t>
            </w:r>
            <w:r w:rsidRPr="00EB21A8">
              <w:rPr>
                <w:rFonts w:ascii="Calibri" w:hAnsi="Calibri" w:eastAsia="Times New Roman" w:cs="Calibri"/>
                <w:color w:val="000000"/>
              </w:rPr>
              <w:t>information to assess the extent of repetition, late entrants, etc.</w:t>
            </w:r>
          </w:p>
          <w:p w:rsidR="00EB21A8" w:rsidP="00337A95" w:rsidRDefault="00EB21A8" w14:paraId="66D7DDCC" w14:textId="77777777">
            <w:pPr>
              <w:spacing w:after="0" w:line="240" w:lineRule="auto"/>
              <w:rPr>
                <w:rFonts w:ascii="Calibri" w:hAnsi="Calibri" w:eastAsia="Times New Roman" w:cs="Calibri"/>
                <w:color w:val="000000"/>
              </w:rPr>
            </w:pPr>
          </w:p>
          <w:p w:rsidR="0009308F" w:rsidP="00337A95" w:rsidRDefault="0009308F" w14:paraId="2B19F90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 situations of limited resources, families make difficult choices about sending their children to school. They may perceive the value of education differently for boys and girls. Girls are more likely than boys to suffer from limited access to education, especially in rural areas. But where basic education is widely accepted and overall enrolment is high, girls tend to equal or outnumber boys at primary and secondary levels. The pattern is similar in higher education, but with larger differences between the two sexes.</w:t>
            </w:r>
          </w:p>
          <w:p w:rsidRPr="00D02A76" w:rsidR="00413521" w:rsidP="00337A95" w:rsidRDefault="00413521" w14:paraId="3ADFAADE" w14:textId="6523D7C8">
            <w:pPr>
              <w:spacing w:after="0" w:line="240" w:lineRule="auto"/>
              <w:rPr>
                <w:rFonts w:ascii="Calibri" w:hAnsi="Calibri" w:eastAsia="Times New Roman" w:cs="Calibri"/>
                <w:color w:val="000000"/>
              </w:rPr>
            </w:pPr>
          </w:p>
        </w:tc>
      </w:tr>
      <w:tr w:rsidRPr="00D02A76" w:rsidR="0009308F" w:rsidTr="230C1076" w14:paraId="0452097A" w14:textId="77777777">
        <w:trPr>
          <w:trHeight w:val="900"/>
        </w:trPr>
        <w:tc>
          <w:tcPr>
            <w:tcW w:w="549" w:type="dxa"/>
            <w:shd w:val="clear" w:color="auto" w:fill="auto"/>
            <w:tcMar/>
            <w:hideMark/>
          </w:tcPr>
          <w:p w:rsidRPr="00D02A76" w:rsidR="0009308F" w:rsidP="7520DE21" w:rsidRDefault="0009308F" w14:paraId="7C169C7A" w14:textId="5E5C792A">
            <w:pPr>
              <w:pStyle w:val="Normal"/>
              <w:bidi w:val="0"/>
              <w:spacing w:before="0" w:beforeAutospacing="off" w:after="0" w:afterAutospacing="off" w:line="240" w:lineRule="auto"/>
              <w:ind w:left="0" w:right="0"/>
              <w:jc w:val="right"/>
            </w:pPr>
            <w:r w:rsidRPr="7520DE21" w:rsidR="6FE1EC51">
              <w:rPr>
                <w:rFonts w:ascii="Calibri" w:hAnsi="Calibri" w:eastAsia="Times New Roman" w:cs="Calibri"/>
                <w:color w:val="000000" w:themeColor="text1" w:themeTint="FF" w:themeShade="FF"/>
              </w:rPr>
              <w:t>II.3</w:t>
            </w:r>
          </w:p>
          <w:p w:rsidRPr="00D02A76" w:rsidR="0009308F" w:rsidP="7520DE21" w:rsidRDefault="0009308F" w14:paraId="46207C2A" w14:textId="45FAB3C3">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09308F" w:rsidP="00337A95" w:rsidRDefault="0009308F" w14:paraId="569097A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09308F" w:rsidP="00337A95" w:rsidRDefault="0009308F" w14:paraId="0416A568"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Pr="00D02A76" w:rsidR="0009308F" w:rsidP="00337A95" w:rsidRDefault="0009308F" w14:paraId="73D4420C" w14:textId="1FFE2AEF">
            <w:pPr>
              <w:spacing w:after="0" w:line="240" w:lineRule="auto"/>
              <w:rPr>
                <w:rFonts w:ascii="Calibri" w:hAnsi="Calibri" w:eastAsia="Times New Roman" w:cs="Calibri"/>
                <w:color w:val="000000"/>
              </w:rPr>
            </w:pPr>
          </w:p>
        </w:tc>
      </w:tr>
      <w:tr w:rsidRPr="00D02A76" w:rsidR="0009308F" w:rsidTr="230C1076" w14:paraId="4B166231" w14:textId="77777777">
        <w:trPr>
          <w:trHeight w:val="3000"/>
        </w:trPr>
        <w:tc>
          <w:tcPr>
            <w:tcW w:w="549" w:type="dxa"/>
            <w:shd w:val="clear" w:color="auto" w:fill="auto"/>
            <w:tcMar/>
            <w:hideMark/>
          </w:tcPr>
          <w:p w:rsidRPr="00D02A76" w:rsidR="0009308F" w:rsidP="7520DE21" w:rsidRDefault="0009308F" w14:paraId="26E5C9D8" w14:textId="5E5C792A">
            <w:pPr>
              <w:pStyle w:val="Normal"/>
              <w:bidi w:val="0"/>
              <w:spacing w:before="0" w:beforeAutospacing="off" w:after="0" w:afterAutospacing="off" w:line="240" w:lineRule="auto"/>
              <w:ind w:left="0" w:right="0"/>
              <w:jc w:val="right"/>
            </w:pPr>
            <w:r w:rsidRPr="7520DE21" w:rsidR="22577BE3">
              <w:rPr>
                <w:rFonts w:ascii="Calibri" w:hAnsi="Calibri" w:eastAsia="Times New Roman" w:cs="Calibri"/>
                <w:color w:val="000000" w:themeColor="text1" w:themeTint="FF" w:themeShade="FF"/>
              </w:rPr>
              <w:t>II.3</w:t>
            </w:r>
          </w:p>
          <w:p w:rsidRPr="00D02A76" w:rsidR="0009308F" w:rsidP="7520DE21" w:rsidRDefault="0009308F" w14:paraId="5A4243B8" w14:textId="5F7B31C6">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09308F" w:rsidP="00337A95" w:rsidRDefault="0009308F" w14:paraId="3E9E2AC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09308F" w:rsidP="00337A95" w:rsidRDefault="0009308F" w14:paraId="54DC177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hideMark/>
          </w:tcPr>
          <w:p w:rsidRPr="00D02A76" w:rsidR="0009308F" w:rsidP="00FE7394" w:rsidRDefault="00652D29" w14:paraId="1A7E18A3" w14:textId="0B15547E">
            <w:pPr>
              <w:spacing w:after="0" w:line="240" w:lineRule="auto"/>
              <w:rPr>
                <w:rFonts w:ascii="Calibri" w:hAnsi="Calibri" w:eastAsia="Times New Roman" w:cs="Calibri"/>
                <w:color w:val="000000"/>
              </w:rPr>
            </w:pPr>
            <w:r w:rsidRPr="00652D29">
              <w:rPr>
                <w:rFonts w:ascii="Calibri" w:hAnsi="Calibri" w:eastAsia="Times New Roman" w:cs="Calibri"/>
                <w:color w:val="000000"/>
              </w:rPr>
              <w:t>School register, school survey or census for data on enrolment by level of education; population census or estimates for school-age population.</w:t>
            </w:r>
          </w:p>
        </w:tc>
      </w:tr>
      <w:tr w:rsidRPr="00D02A76" w:rsidR="0009308F" w:rsidTr="230C1076" w14:paraId="26CA282D" w14:textId="77777777">
        <w:trPr>
          <w:trHeight w:val="3600"/>
        </w:trPr>
        <w:tc>
          <w:tcPr>
            <w:tcW w:w="549" w:type="dxa"/>
            <w:shd w:val="clear" w:color="auto" w:fill="auto"/>
            <w:tcMar/>
            <w:hideMark/>
          </w:tcPr>
          <w:p w:rsidRPr="00D02A76" w:rsidR="0009308F" w:rsidP="7520DE21" w:rsidRDefault="0009308F" w14:paraId="3317C87D" w14:textId="5E5C792A">
            <w:pPr>
              <w:pStyle w:val="Normal"/>
              <w:bidi w:val="0"/>
              <w:spacing w:before="0" w:beforeAutospacing="off" w:after="0" w:afterAutospacing="off" w:line="240" w:lineRule="auto"/>
              <w:ind w:left="0" w:right="0"/>
              <w:jc w:val="right"/>
            </w:pPr>
            <w:r w:rsidRPr="7520DE21" w:rsidR="4E78F8F3">
              <w:rPr>
                <w:rFonts w:ascii="Calibri" w:hAnsi="Calibri" w:eastAsia="Times New Roman" w:cs="Calibri"/>
                <w:color w:val="000000" w:themeColor="text1" w:themeTint="FF" w:themeShade="FF"/>
              </w:rPr>
              <w:t>II.3</w:t>
            </w:r>
          </w:p>
          <w:p w:rsidRPr="00D02A76" w:rsidR="0009308F" w:rsidP="7520DE21" w:rsidRDefault="0009308F" w14:paraId="34C1CA24" w14:textId="31FD4F01">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09308F" w:rsidP="00337A95" w:rsidRDefault="0009308F" w14:paraId="5B313ED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09308F" w:rsidP="00337A95" w:rsidRDefault="0009308F" w14:paraId="0B4411C0"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hideMark/>
          </w:tcPr>
          <w:p w:rsidRPr="00D02A76" w:rsidR="0009308F" w:rsidP="00337A95" w:rsidRDefault="0009308F" w14:paraId="4D69B835" w14:textId="39B2EB6B">
            <w:pPr>
              <w:spacing w:after="0" w:line="240" w:lineRule="auto"/>
              <w:rPr>
                <w:rFonts w:ascii="Calibri" w:hAnsi="Calibri" w:eastAsia="Times New Roman" w:cs="Calibri"/>
                <w:color w:val="000000"/>
              </w:rPr>
            </w:pPr>
          </w:p>
        </w:tc>
      </w:tr>
      <w:tr w:rsidRPr="00D02A76" w:rsidR="0009308F" w:rsidTr="230C1076" w14:paraId="08896141" w14:textId="77777777">
        <w:trPr>
          <w:trHeight w:val="1500"/>
        </w:trPr>
        <w:tc>
          <w:tcPr>
            <w:tcW w:w="549" w:type="dxa"/>
            <w:shd w:val="clear" w:color="auto" w:fill="auto"/>
            <w:tcMar/>
            <w:hideMark/>
          </w:tcPr>
          <w:p w:rsidRPr="00D02A76" w:rsidR="0009308F" w:rsidP="7520DE21" w:rsidRDefault="0009308F" w14:paraId="27BB2457" w14:textId="5E5C792A">
            <w:pPr>
              <w:pStyle w:val="Normal"/>
              <w:bidi w:val="0"/>
              <w:spacing w:before="0" w:beforeAutospacing="off" w:after="0" w:afterAutospacing="off" w:line="240" w:lineRule="auto"/>
              <w:ind w:left="0" w:right="0"/>
              <w:jc w:val="right"/>
            </w:pPr>
            <w:r w:rsidRPr="7520DE21" w:rsidR="7D0EDF4F">
              <w:rPr>
                <w:rFonts w:ascii="Calibri" w:hAnsi="Calibri" w:eastAsia="Times New Roman" w:cs="Calibri"/>
                <w:color w:val="000000" w:themeColor="text1" w:themeTint="FF" w:themeShade="FF"/>
              </w:rPr>
              <w:t>II.3</w:t>
            </w:r>
          </w:p>
          <w:p w:rsidRPr="00D02A76" w:rsidR="0009308F" w:rsidP="7520DE21" w:rsidRDefault="0009308F" w14:paraId="3473FB79" w14:textId="14D2F9D9">
            <w:pPr>
              <w:pStyle w:val="Normal"/>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09308F" w:rsidP="00337A95" w:rsidRDefault="0009308F" w14:paraId="21CE942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09308F" w:rsidP="00337A95" w:rsidRDefault="0009308F" w14:paraId="0D15D92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hideMark/>
          </w:tcPr>
          <w:p w:rsidRPr="00D02A76" w:rsidR="0009308F" w:rsidP="00337A95" w:rsidRDefault="0009308F" w14:paraId="1A39AB14" w14:textId="671E3043">
            <w:pPr>
              <w:spacing w:after="0" w:line="240" w:lineRule="auto"/>
              <w:rPr>
                <w:rFonts w:ascii="Calibri" w:hAnsi="Calibri" w:eastAsia="Times New Roman" w:cs="Calibri"/>
                <w:color w:val="000000"/>
              </w:rPr>
            </w:pPr>
          </w:p>
        </w:tc>
      </w:tr>
      <w:tr w:rsidRPr="00D02A76" w:rsidR="0009308F" w:rsidTr="230C1076" w14:paraId="0D44A58C" w14:textId="77777777">
        <w:trPr>
          <w:trHeight w:val="300"/>
        </w:trPr>
        <w:tc>
          <w:tcPr>
            <w:tcW w:w="549" w:type="dxa"/>
            <w:shd w:val="clear" w:color="auto" w:fill="auto"/>
            <w:tcMar/>
            <w:hideMark/>
          </w:tcPr>
          <w:p w:rsidRPr="00D02A76" w:rsidR="0009308F" w:rsidP="7520DE21" w:rsidRDefault="0009308F" w14:paraId="1964A506" w14:textId="40610D3F">
            <w:pPr>
              <w:pStyle w:val="Normal"/>
              <w:bidi w:val="0"/>
              <w:spacing w:before="0" w:beforeAutospacing="off" w:after="0" w:afterAutospacing="off" w:line="240" w:lineRule="auto"/>
              <w:ind w:left="0" w:right="0"/>
              <w:jc w:val="right"/>
            </w:pPr>
            <w:r w:rsidRPr="7520DE21" w:rsidR="75D82083">
              <w:rPr>
                <w:rFonts w:ascii="Calibri" w:hAnsi="Calibri" w:eastAsia="Times New Roman" w:cs="Calibri"/>
                <w:color w:val="000000" w:themeColor="text1" w:themeTint="FF" w:themeShade="FF"/>
              </w:rPr>
              <w:t>II.3</w:t>
            </w:r>
          </w:p>
        </w:tc>
        <w:tc>
          <w:tcPr>
            <w:tcW w:w="589" w:type="dxa"/>
            <w:shd w:val="clear" w:color="auto" w:fill="auto"/>
            <w:tcMar/>
            <w:hideMark/>
          </w:tcPr>
          <w:p w:rsidRPr="00D02A76" w:rsidR="0009308F" w:rsidP="00337A95" w:rsidRDefault="0009308F" w14:paraId="51492B2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09308F" w:rsidP="00337A95" w:rsidRDefault="0009308F" w14:paraId="7F09B18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hideMark/>
          </w:tcPr>
          <w:p w:rsidRPr="00D02A76" w:rsidR="0009308F" w:rsidP="00337A95" w:rsidRDefault="0009308F" w14:paraId="31EBE4D4" w14:textId="608C5BFD">
            <w:pPr>
              <w:spacing w:after="0" w:line="240" w:lineRule="auto"/>
              <w:rPr>
                <w:rFonts w:ascii="Calibri" w:hAnsi="Calibri" w:eastAsia="Times New Roman" w:cs="Calibri"/>
                <w:color w:val="000000"/>
              </w:rPr>
            </w:pPr>
          </w:p>
        </w:tc>
      </w:tr>
      <w:tr w:rsidRPr="00D02A76" w:rsidR="007A43C1" w:rsidTr="230C1076" w14:paraId="21C54A7F" w14:textId="77777777">
        <w:trPr>
          <w:trHeight w:val="300"/>
        </w:trPr>
        <w:tc>
          <w:tcPr>
            <w:tcW w:w="549" w:type="dxa"/>
            <w:shd w:val="clear" w:color="auto" w:fill="auto"/>
            <w:tcMar/>
          </w:tcPr>
          <w:p w:rsidRPr="00D02A76" w:rsidR="007A43C1" w:rsidP="7520DE21" w:rsidRDefault="007A43C1" w14:paraId="392583BD" w14:textId="5E5C792A">
            <w:pPr>
              <w:pStyle w:val="Normal"/>
              <w:bidi w:val="0"/>
              <w:spacing w:before="0" w:beforeAutospacing="off" w:after="0" w:afterAutospacing="off" w:line="240" w:lineRule="auto"/>
              <w:ind w:left="0" w:right="0"/>
              <w:jc w:val="right"/>
            </w:pPr>
            <w:r w:rsidRPr="7520DE21" w:rsidR="532AEE5D">
              <w:rPr>
                <w:rFonts w:ascii="Calibri" w:hAnsi="Calibri" w:eastAsia="Times New Roman" w:cs="Calibri"/>
                <w:color w:val="000000" w:themeColor="text1" w:themeTint="FF" w:themeShade="FF"/>
              </w:rPr>
              <w:t>II.3</w:t>
            </w:r>
          </w:p>
          <w:p w:rsidRPr="00D02A76" w:rsidR="007A43C1" w:rsidP="7520DE21" w:rsidRDefault="007A43C1" w14:paraId="7621F845" w14:textId="130C0C96">
            <w:pPr>
              <w:pStyle w:val="Normal"/>
              <w:spacing w:after="0" w:line="240" w:lineRule="auto"/>
              <w:jc w:val="right"/>
              <w:rPr>
                <w:rFonts w:ascii="Calibri" w:hAnsi="Calibri" w:eastAsia="Times New Roman" w:cs="Calibri"/>
                <w:color w:val="000000"/>
              </w:rPr>
            </w:pPr>
          </w:p>
        </w:tc>
        <w:tc>
          <w:tcPr>
            <w:tcW w:w="589" w:type="dxa"/>
            <w:shd w:val="clear" w:color="auto" w:fill="auto"/>
            <w:tcMar/>
          </w:tcPr>
          <w:p w:rsidRPr="00D02A76" w:rsidR="007A43C1" w:rsidP="00337A95" w:rsidRDefault="007A43C1" w14:paraId="46145DAE" w14:textId="61D3361E">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7A43C1" w:rsidP="00337A95" w:rsidRDefault="007A43C1" w14:paraId="165AA6B1" w14:textId="276333D9">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Pr="00D02A76" w:rsidR="007A43C1" w:rsidP="7520DE21" w:rsidRDefault="00A2083D" w14:paraId="4287F1DD" w14:textId="0643514C">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520DE21" w:rsidR="157A69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and metadata were extracted from UNESCO Institute for Statistics on 13 May 2021. </w:t>
            </w:r>
          </w:p>
          <w:p w:rsidRPr="00D02A76" w:rsidR="007A43C1" w:rsidP="7520DE21" w:rsidRDefault="00A2083D" w14:paraId="6FE64192" w14:textId="6F11F493">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D02A76" w:rsidR="007A43C1" w:rsidP="7520DE21" w:rsidRDefault="00A2083D" w14:paraId="03C17A4E" w14:textId="4DB68933">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520DE21" w:rsidR="157A697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more information, please go to: </w:t>
            </w:r>
          </w:p>
          <w:p w:rsidRPr="00D02A76" w:rsidR="007A43C1" w:rsidP="230C1076" w:rsidRDefault="00A2083D" w14:paraId="27ACF94C" w14:textId="19B2E987">
            <w:pPr>
              <w:pStyle w:val="ListParagraph"/>
              <w:numPr>
                <w:ilvl w:val="0"/>
                <w:numId w:val="1"/>
              </w:numPr>
              <w:spacing w:after="160" w:line="240" w:lineRule="auto"/>
              <w:ind w:right="0"/>
              <w:jc w:val="left"/>
              <w:rPr>
                <w:rFonts w:ascii="Calibri" w:hAnsi="Calibri" w:eastAsia="Calibri" w:cs="Calibri"/>
                <w:b w:val="0"/>
                <w:bCs w:val="0"/>
                <w:i w:val="0"/>
                <w:iCs w:val="0"/>
                <w:caps w:val="0"/>
                <w:smallCaps w:val="0"/>
                <w:noProof w:val="0"/>
                <w:sz w:val="22"/>
                <w:szCs w:val="22"/>
                <w:lang w:val="en-US"/>
              </w:rPr>
            </w:pPr>
            <w:r w:rsidRPr="230C1076" w:rsidR="2C9C933D">
              <w:rPr>
                <w:rFonts w:ascii="Calibri" w:hAnsi="Calibri" w:eastAsia="Calibri" w:cs="Calibri"/>
                <w:b w:val="0"/>
                <w:bCs w:val="0"/>
                <w:i w:val="0"/>
                <w:iCs w:val="0"/>
                <w:caps w:val="0"/>
                <w:smallCaps w:val="0"/>
                <w:noProof w:val="0"/>
                <w:sz w:val="22"/>
                <w:szCs w:val="22"/>
                <w:lang w:val="en-US"/>
              </w:rPr>
              <w:t>[</w:t>
            </w:r>
            <w:hyperlink r:id="R021a045bd8f34b40">
              <w:r w:rsidRPr="230C1076" w:rsidR="157A697C">
                <w:rPr>
                  <w:rStyle w:val="Hyperlink"/>
                  <w:rFonts w:ascii="Calibri" w:hAnsi="Calibri" w:eastAsia="Calibri" w:cs="Calibri"/>
                  <w:b w:val="0"/>
                  <w:bCs w:val="0"/>
                  <w:i w:val="0"/>
                  <w:iCs w:val="0"/>
                  <w:caps w:val="0"/>
                  <w:smallCaps w:val="0"/>
                  <w:noProof w:val="0"/>
                  <w:sz w:val="22"/>
                  <w:szCs w:val="22"/>
                  <w:lang w:val="en-US"/>
                </w:rPr>
                <w:t>http://data.uis.unesco.org/</w:t>
              </w:r>
              <w:r w:rsidRPr="230C1076" w:rsidR="3E521B87">
                <w:rPr>
                  <w:rStyle w:val="Hyperlink"/>
                  <w:rFonts w:ascii="Calibri" w:hAnsi="Calibri" w:eastAsia="Calibri" w:cs="Calibri"/>
                  <w:b w:val="0"/>
                  <w:bCs w:val="0"/>
                  <w:i w:val="0"/>
                  <w:iCs w:val="0"/>
                  <w:caps w:val="0"/>
                  <w:smallCaps w:val="0"/>
                  <w:noProof w:val="0"/>
                  <w:sz w:val="22"/>
                  <w:szCs w:val="22"/>
                  <w:lang w:val="en-US"/>
                </w:rPr>
                <w:t>](</w:t>
              </w:r>
            </w:hyperlink>
            <w:hyperlink r:id="R45efb8c8915648b0">
              <w:r w:rsidRPr="230C1076" w:rsidR="3E521B87">
                <w:rPr>
                  <w:rStyle w:val="Hyperlink"/>
                  <w:rFonts w:ascii="Calibri" w:hAnsi="Calibri" w:eastAsia="Calibri" w:cs="Calibri"/>
                  <w:b w:val="0"/>
                  <w:bCs w:val="0"/>
                  <w:i w:val="0"/>
                  <w:iCs w:val="0"/>
                  <w:caps w:val="0"/>
                  <w:smallCaps w:val="0"/>
                  <w:noProof w:val="0"/>
                  <w:sz w:val="22"/>
                  <w:szCs w:val="22"/>
                  <w:lang w:val="en-US"/>
                </w:rPr>
                <w:t>http://data.uis.unesco.org/)</w:t>
              </w:r>
            </w:hyperlink>
          </w:p>
          <w:p w:rsidRPr="00D02A76" w:rsidR="007A43C1" w:rsidP="00337A95" w:rsidRDefault="00A2083D" w14:paraId="2EB99CE8" w14:textId="274D562C">
            <w:pPr>
              <w:spacing w:after="0" w:line="240" w:lineRule="auto"/>
              <w:rPr>
                <w:rFonts w:ascii="Calibri" w:hAnsi="Calibri" w:eastAsia="Times New Roman" w:cs="Calibri"/>
                <w:color w:val="000000"/>
              </w:rPr>
            </w:pPr>
          </w:p>
        </w:tc>
      </w:tr>
    </w:tbl>
    <w:p w:rsidR="00C75328" w:rsidRDefault="00C75328" w14:paraId="1D8FA661" w14:textId="77777777"/>
    <w:sectPr w:rsidR="00C75328" w:rsidSect="0009308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52A3" w:rsidP="009862E1" w:rsidRDefault="00DE52A3" w14:paraId="1147554F" w14:textId="77777777">
      <w:pPr>
        <w:spacing w:after="0" w:line="240" w:lineRule="auto"/>
      </w:pPr>
      <w:r>
        <w:separator/>
      </w:r>
    </w:p>
  </w:endnote>
  <w:endnote w:type="continuationSeparator" w:id="0">
    <w:p w:rsidR="00DE52A3" w:rsidP="009862E1" w:rsidRDefault="00DE52A3" w14:paraId="3EDD3C4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52A3" w:rsidP="009862E1" w:rsidRDefault="00DE52A3" w14:paraId="10137200" w14:textId="77777777">
      <w:pPr>
        <w:spacing w:after="0" w:line="240" w:lineRule="auto"/>
      </w:pPr>
      <w:r>
        <w:separator/>
      </w:r>
    </w:p>
  </w:footnote>
  <w:footnote w:type="continuationSeparator" w:id="0">
    <w:p w:rsidR="00DE52A3" w:rsidP="009862E1" w:rsidRDefault="00DE52A3" w14:paraId="5BDBEA8C"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8F"/>
    <w:rsid w:val="00022AC9"/>
    <w:rsid w:val="0009308F"/>
    <w:rsid w:val="00226CDA"/>
    <w:rsid w:val="00314E5F"/>
    <w:rsid w:val="00413521"/>
    <w:rsid w:val="00607381"/>
    <w:rsid w:val="00652D29"/>
    <w:rsid w:val="006C46CA"/>
    <w:rsid w:val="006C7DF0"/>
    <w:rsid w:val="006E2014"/>
    <w:rsid w:val="007A43C1"/>
    <w:rsid w:val="007E0207"/>
    <w:rsid w:val="008A5A0E"/>
    <w:rsid w:val="009568C4"/>
    <w:rsid w:val="009862E1"/>
    <w:rsid w:val="00A2083D"/>
    <w:rsid w:val="00C54BB8"/>
    <w:rsid w:val="00C75328"/>
    <w:rsid w:val="00CC5769"/>
    <w:rsid w:val="00CF132E"/>
    <w:rsid w:val="00D3286F"/>
    <w:rsid w:val="00DA7E71"/>
    <w:rsid w:val="00DE52A3"/>
    <w:rsid w:val="00EB21A8"/>
    <w:rsid w:val="00EE315F"/>
    <w:rsid w:val="00FE7394"/>
    <w:rsid w:val="02117B5D"/>
    <w:rsid w:val="0384ACBA"/>
    <w:rsid w:val="0B9C2D75"/>
    <w:rsid w:val="0EA1395C"/>
    <w:rsid w:val="0F033DF0"/>
    <w:rsid w:val="0F2F5B33"/>
    <w:rsid w:val="157A697C"/>
    <w:rsid w:val="17AFCC43"/>
    <w:rsid w:val="20D06956"/>
    <w:rsid w:val="22577BE3"/>
    <w:rsid w:val="230C1076"/>
    <w:rsid w:val="29C6FBD9"/>
    <w:rsid w:val="2BE54CA3"/>
    <w:rsid w:val="2C9C933D"/>
    <w:rsid w:val="309C1467"/>
    <w:rsid w:val="35800E52"/>
    <w:rsid w:val="378437F6"/>
    <w:rsid w:val="3E521B87"/>
    <w:rsid w:val="44A65450"/>
    <w:rsid w:val="450E9773"/>
    <w:rsid w:val="4689F50F"/>
    <w:rsid w:val="4E78F8F3"/>
    <w:rsid w:val="532AEE5D"/>
    <w:rsid w:val="5DE9F4F3"/>
    <w:rsid w:val="638DD3CF"/>
    <w:rsid w:val="63F2E387"/>
    <w:rsid w:val="6569F7DD"/>
    <w:rsid w:val="6CE63D0D"/>
    <w:rsid w:val="6FE1EC51"/>
    <w:rsid w:val="71A0AD6F"/>
    <w:rsid w:val="7497BA8C"/>
    <w:rsid w:val="7520DE21"/>
    <w:rsid w:val="75D82083"/>
    <w:rsid w:val="7A948CFB"/>
    <w:rsid w:val="7D0EDF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1299"/>
  <w15:chartTrackingRefBased/>
  <w15:docId w15:val="{04E6927B-4338-4C9C-A252-7535BAAD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308F"/>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14E5F"/>
    <w:rPr>
      <w:color w:val="0563C1" w:themeColor="hyperlink"/>
      <w:u w:val="single"/>
    </w:rPr>
  </w:style>
  <w:style w:type="paragraph" w:styleId="Default" w:customStyle="1">
    <w:name w:val="Default"/>
    <w:rsid w:val="006C7DF0"/>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9862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862E1"/>
    <w:rPr>
      <w:rFonts w:eastAsiaTheme="minorHAnsi"/>
      <w:lang w:eastAsia="en-US"/>
    </w:rPr>
  </w:style>
  <w:style w:type="paragraph" w:styleId="Footer">
    <w:name w:val="footer"/>
    <w:basedOn w:val="Normal"/>
    <w:link w:val="FooterChar"/>
    <w:uiPriority w:val="99"/>
    <w:unhideWhenUsed/>
    <w:rsid w:val="009862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862E1"/>
    <w:rPr>
      <w:rFonts w:eastAsiaTheme="minorHAnsi"/>
      <w:lang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2.xml" Id="rId11" /><Relationship Type="http://schemas.openxmlformats.org/officeDocument/2006/relationships/endnotes" Target="endnotes.xml" Id="rId5" /><Relationship Type="http://schemas.openxmlformats.org/officeDocument/2006/relationships/customXml" Target="../customXml/item1.xml" Id="rId10"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word/numbering.xml" Id="R9ea227fc3d4f4953" /><Relationship Type="http://schemas.openxmlformats.org/officeDocument/2006/relationships/hyperlink" Target="http://data.uis.unesco.org/](" TargetMode="External" Id="R021a045bd8f34b40" /><Relationship Type="http://schemas.openxmlformats.org/officeDocument/2006/relationships/hyperlink" Target="http://data.uis.unesco.org/](" TargetMode="External" Id="R45efb8c8915648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B8F46BF6-AB39-4CB5-9E4B-422EBE2ED95F}"/>
</file>

<file path=customXml/itemProps2.xml><?xml version="1.0" encoding="utf-8"?>
<ds:datastoreItem xmlns:ds="http://schemas.openxmlformats.org/officeDocument/2006/customXml" ds:itemID="{53541AB0-A5B6-41AD-8CEB-D83EE4611ED3}"/>
</file>

<file path=customXml/itemProps3.xml><?xml version="1.0" encoding="utf-8"?>
<ds:datastoreItem xmlns:ds="http://schemas.openxmlformats.org/officeDocument/2006/customXml" ds:itemID="{4AF12DDA-2FDB-49B9-8369-82485B6503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28</revision>
  <dcterms:created xsi:type="dcterms:W3CDTF">2021-08-08T13:47:00.0000000Z</dcterms:created>
  <dcterms:modified xsi:type="dcterms:W3CDTF">2021-09-09T17:25:16.2159639Z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