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5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49"/>
        <w:gridCol w:w="589"/>
        <w:gridCol w:w="2798"/>
        <w:gridCol w:w="7629"/>
      </w:tblGrid>
      <w:tr w:rsidR="19CFFB34" w:rsidTr="72504E2E" w14:paraId="5BD09D07" w14:textId="77777777">
        <w:trPr>
          <w:trHeight w:val="600"/>
        </w:trPr>
        <w:tc>
          <w:tcPr>
            <w:tcW w:w="549" w:type="dxa"/>
            <w:shd w:val="clear" w:color="auto" w:fill="auto"/>
            <w:tcMar/>
            <w:hideMark/>
          </w:tcPr>
          <w:p w:rsidR="51048619" w:rsidP="19CFFB34" w:rsidRDefault="51048619" w14:paraId="4A0807B5" w14:textId="428BC93C">
            <w:pPr>
              <w:spacing w:line="240" w:lineRule="auto"/>
              <w:jc w:val="right"/>
              <w:rPr>
                <w:rFonts w:ascii="Calibri" w:hAnsi="Calibri" w:eastAsia="Calibri" w:cs="Calibri"/>
                <w:color w:val="000000" w:themeColor="text1"/>
              </w:rPr>
            </w:pPr>
            <w:r w:rsidRPr="19CFFB34">
              <w:rPr>
                <w:rFonts w:ascii="Calibri" w:hAnsi="Calibri" w:eastAsia="Calibri" w:cs="Calibri"/>
                <w:b/>
                <w:bCs/>
                <w:color w:val="000000" w:themeColor="text1"/>
                <w:lang w:val="en-GB"/>
              </w:rPr>
              <w:t>INDICATOR_NUM</w:t>
            </w:r>
          </w:p>
          <w:p w:rsidR="19CFFB34" w:rsidP="19CFFB34" w:rsidRDefault="19CFFB34" w14:paraId="41EE2F0F" w14:textId="2340C47E">
            <w:pPr>
              <w:spacing w:line="240" w:lineRule="auto"/>
              <w:jc w:val="right"/>
              <w:rPr>
                <w:rFonts w:ascii="Calibri" w:hAnsi="Calibri" w:eastAsia="Times New Roman" w:cs="Calibri"/>
                <w:color w:val="000000" w:themeColor="text1"/>
              </w:rPr>
            </w:pPr>
          </w:p>
        </w:tc>
        <w:tc>
          <w:tcPr>
            <w:tcW w:w="589" w:type="dxa"/>
            <w:shd w:val="clear" w:color="auto" w:fill="auto"/>
            <w:tcMar/>
            <w:hideMark/>
          </w:tcPr>
          <w:p w:rsidR="51048619" w:rsidP="19CFFB34" w:rsidRDefault="51048619" w14:paraId="09CBD1EA" w14:textId="3A0EA4C8">
            <w:pPr>
              <w:spacing w:line="240" w:lineRule="auto"/>
              <w:jc w:val="right"/>
              <w:rPr>
                <w:rFonts w:ascii="Calibri" w:hAnsi="Calibri" w:eastAsia="Calibri" w:cs="Calibri"/>
                <w:color w:val="000000" w:themeColor="text1"/>
              </w:rPr>
            </w:pPr>
            <w:r w:rsidRPr="19CFFB34">
              <w:rPr>
                <w:rFonts w:ascii="Calibri" w:hAnsi="Calibri" w:eastAsia="Calibri" w:cs="Calibri"/>
                <w:b/>
                <w:bCs/>
                <w:color w:val="000000" w:themeColor="text1"/>
                <w:lang w:val="en-GB"/>
              </w:rPr>
              <w:t>METADATA_CATEGORY</w:t>
            </w:r>
          </w:p>
          <w:p w:rsidR="19CFFB34" w:rsidP="19CFFB34" w:rsidRDefault="19CFFB34" w14:paraId="734754F7" w14:textId="43589D8E">
            <w:pPr>
              <w:spacing w:line="240" w:lineRule="auto"/>
              <w:jc w:val="right"/>
              <w:rPr>
                <w:rFonts w:ascii="Calibri" w:hAnsi="Calibri" w:eastAsia="Times New Roman" w:cs="Calibri"/>
                <w:color w:val="000000" w:themeColor="text1"/>
              </w:rPr>
            </w:pPr>
          </w:p>
        </w:tc>
        <w:tc>
          <w:tcPr>
            <w:tcW w:w="2798" w:type="dxa"/>
            <w:shd w:val="clear" w:color="auto" w:fill="auto"/>
            <w:tcMar/>
            <w:hideMark/>
          </w:tcPr>
          <w:p w:rsidR="51048619" w:rsidP="19CFFB34" w:rsidRDefault="51048619" w14:paraId="28DE936D" w14:textId="1CDCB9EF">
            <w:pPr>
              <w:spacing w:line="240" w:lineRule="auto"/>
              <w:rPr>
                <w:rFonts w:ascii="Calibri" w:hAnsi="Calibri" w:eastAsia="Calibri" w:cs="Calibri"/>
                <w:color w:val="000000" w:themeColor="text1"/>
              </w:rPr>
            </w:pPr>
            <w:r w:rsidRPr="19CFFB34">
              <w:rPr>
                <w:rFonts w:ascii="Calibri" w:hAnsi="Calibri" w:eastAsia="Calibri" w:cs="Calibri"/>
                <w:b/>
                <w:bCs/>
                <w:color w:val="000000" w:themeColor="text1"/>
                <w:lang w:val="en-GB"/>
              </w:rPr>
              <w:t>METADATA_CATEGORY_DESC</w:t>
            </w:r>
          </w:p>
        </w:tc>
        <w:tc>
          <w:tcPr>
            <w:tcW w:w="7629" w:type="dxa"/>
            <w:shd w:val="clear" w:color="auto" w:fill="auto"/>
            <w:tcMar/>
            <w:hideMark/>
          </w:tcPr>
          <w:p w:rsidR="51048619" w:rsidP="19CFFB34" w:rsidRDefault="51048619" w14:paraId="2E90C65F" w14:textId="01E86B45">
            <w:pPr>
              <w:spacing w:line="240" w:lineRule="auto"/>
            </w:pPr>
            <w:r w:rsidRPr="19CFFB34">
              <w:rPr>
                <w:rFonts w:ascii="Calibri" w:hAnsi="Calibri" w:eastAsia="Calibri" w:cs="Calibri"/>
                <w:b/>
                <w:bCs/>
                <w:color w:val="000000" w:themeColor="text1"/>
                <w:lang w:val="en-GB"/>
              </w:rPr>
              <w:t>METADATA_DESCRIPTION</w:t>
            </w:r>
          </w:p>
        </w:tc>
      </w:tr>
      <w:tr w:rsidRPr="00D02A76" w:rsidR="00F22912" w:rsidTr="72504E2E" w14:paraId="5260431D" w14:textId="77777777">
        <w:trPr>
          <w:trHeight w:val="600"/>
        </w:trPr>
        <w:tc>
          <w:tcPr>
            <w:tcW w:w="549" w:type="dxa"/>
            <w:shd w:val="clear" w:color="auto" w:fill="auto"/>
            <w:tcMar/>
            <w:hideMark/>
          </w:tcPr>
          <w:p w:rsidR="00F22912" w:rsidP="00337A95" w:rsidRDefault="2A749470" w14:paraId="6544EF6F" w14:textId="77777777">
            <w:pPr>
              <w:spacing w:after="0" w:line="240" w:lineRule="auto"/>
              <w:jc w:val="right"/>
              <w:rPr>
                <w:rFonts w:ascii="Calibri" w:hAnsi="Calibri" w:eastAsia="Times New Roman" w:cs="Calibri"/>
                <w:color w:val="000000" w:themeColor="text1"/>
              </w:rPr>
            </w:pPr>
            <w:r w:rsidRPr="19CFFB34">
              <w:rPr>
                <w:rFonts w:ascii="Calibri" w:hAnsi="Calibri" w:eastAsia="Times New Roman" w:cs="Calibri"/>
                <w:color w:val="000000" w:themeColor="text1"/>
              </w:rPr>
              <w:t>II.</w:t>
            </w:r>
            <w:r w:rsidR="00787566">
              <w:rPr>
                <w:rFonts w:ascii="Calibri" w:hAnsi="Calibri" w:eastAsia="Times New Roman" w:cs="Calibri"/>
                <w:color w:val="000000" w:themeColor="text1"/>
              </w:rPr>
              <w:t>5</w:t>
            </w:r>
          </w:p>
          <w:p w:rsidRPr="00D02A76" w:rsidR="00787566" w:rsidP="00337A95" w:rsidRDefault="00787566" w14:paraId="6E1249C0" w14:textId="4F4D5865">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0F77A8D8"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w:t>
            </w:r>
          </w:p>
        </w:tc>
        <w:tc>
          <w:tcPr>
            <w:tcW w:w="2798" w:type="dxa"/>
            <w:shd w:val="clear" w:color="auto" w:fill="auto"/>
            <w:tcMar/>
            <w:hideMark/>
          </w:tcPr>
          <w:p w:rsidRPr="00D02A76" w:rsidR="00F22912" w:rsidP="00337A95" w:rsidRDefault="00F22912" w14:paraId="7C951046"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Contact point in international agency</w:t>
            </w:r>
          </w:p>
        </w:tc>
        <w:tc>
          <w:tcPr>
            <w:tcW w:w="7629" w:type="dxa"/>
            <w:shd w:val="clear" w:color="auto" w:fill="auto"/>
            <w:tcMar/>
          </w:tcPr>
          <w:p w:rsidRPr="00D02A76" w:rsidR="00232EFB" w:rsidP="0418E580" w:rsidRDefault="00232EFB" w14:paraId="48C1FB74" w14:textId="23AE3ECC">
            <w:pPr>
              <w:spacing w:after="0" w:line="240" w:lineRule="auto"/>
              <w:rPr>
                <w:rFonts w:ascii="Calibri" w:hAnsi="Calibri" w:eastAsia="Times New Roman" w:cs="Calibri"/>
                <w:color w:val="000000" w:themeColor="text1" w:themeTint="FF" w:themeShade="FF"/>
              </w:rPr>
            </w:pPr>
            <w:r w:rsidRPr="0418E580" w:rsidR="115C2017">
              <w:rPr>
                <w:rFonts w:ascii="Calibri" w:hAnsi="Calibri" w:eastAsia="Times New Roman" w:cs="Calibri"/>
                <w:color w:val="000000" w:themeColor="text1" w:themeTint="FF" w:themeShade="FF"/>
              </w:rPr>
              <w:t>Silvia Montoya</w:t>
            </w:r>
          </w:p>
          <w:p w:rsidRPr="00D02A76" w:rsidR="00232EFB" w:rsidP="0418E580" w:rsidRDefault="00232EFB" w14:paraId="1202CCCE" w14:textId="0114BE2C">
            <w:pPr>
              <w:pStyle w:val="Normal"/>
              <w:spacing w:after="0" w:line="240" w:lineRule="auto"/>
              <w:rPr>
                <w:rFonts w:ascii="Calibri" w:hAnsi="Calibri" w:eastAsia="Times New Roman" w:cs="Calibri"/>
                <w:color w:val="000000" w:themeColor="text1" w:themeTint="FF" w:themeShade="FF"/>
              </w:rPr>
            </w:pPr>
            <w:r w:rsidRPr="0418E580" w:rsidR="115C2017">
              <w:rPr>
                <w:rFonts w:ascii="Calibri" w:hAnsi="Calibri" w:eastAsia="Times New Roman" w:cs="Calibri"/>
                <w:color w:val="000000" w:themeColor="text1" w:themeTint="FF" w:themeShade="FF"/>
              </w:rPr>
              <w:t>Director</w:t>
            </w:r>
          </w:p>
          <w:p w:rsidRPr="00D02A76" w:rsidR="00232EFB" w:rsidP="0418E580" w:rsidRDefault="00232EFB" w14:paraId="67BC193D" w14:textId="763A92B2">
            <w:pPr>
              <w:pStyle w:val="Normal"/>
              <w:spacing w:after="0" w:line="240" w:lineRule="auto"/>
              <w:rPr>
                <w:rFonts w:ascii="Calibri" w:hAnsi="Calibri" w:eastAsia="Times New Roman" w:cs="Calibri"/>
                <w:color w:val="000000" w:themeColor="text1" w:themeTint="FF" w:themeShade="FF"/>
              </w:rPr>
            </w:pPr>
            <w:r w:rsidRPr="0418E580" w:rsidR="115C2017">
              <w:rPr>
                <w:rFonts w:ascii="Calibri" w:hAnsi="Calibri" w:eastAsia="Times New Roman" w:cs="Calibri"/>
                <w:color w:val="000000" w:themeColor="text1" w:themeTint="FF" w:themeShade="FF"/>
              </w:rPr>
              <w:t>UNESCO-UIS</w:t>
            </w:r>
          </w:p>
          <w:p w:rsidRPr="00D02A76" w:rsidR="00232EFB" w:rsidP="0418E580" w:rsidRDefault="00232EFB" w14:paraId="08C96A98" w14:textId="562331FA">
            <w:pPr>
              <w:pStyle w:val="Normal"/>
              <w:spacing w:after="0" w:line="240" w:lineRule="auto"/>
              <w:rPr>
                <w:rFonts w:ascii="Calibri" w:hAnsi="Calibri" w:eastAsia="Times New Roman" w:cs="Calibri"/>
                <w:color w:val="000000" w:themeColor="text1" w:themeTint="FF" w:themeShade="FF"/>
              </w:rPr>
            </w:pPr>
            <w:r w:rsidRPr="2230FAB8" w:rsidR="0760D754">
              <w:rPr>
                <w:rFonts w:ascii="Calibri" w:hAnsi="Calibri" w:eastAsia="Times New Roman" w:cs="Calibri"/>
                <w:color w:val="000000" w:themeColor="text1" w:themeTint="FF" w:themeShade="FF"/>
              </w:rPr>
              <w:t>[</w:t>
            </w:r>
            <w:r w:rsidRPr="2230FAB8" w:rsidR="115C2017">
              <w:rPr>
                <w:rFonts w:ascii="Calibri" w:hAnsi="Calibri" w:eastAsia="Times New Roman" w:cs="Calibri"/>
                <w:color w:val="000000" w:themeColor="text1" w:themeTint="FF" w:themeShade="FF"/>
              </w:rPr>
              <w:t>s.montoya@unesco.org</w:t>
            </w:r>
            <w:r w:rsidRPr="2230FAB8" w:rsidR="66438651">
              <w:rPr>
                <w:rFonts w:ascii="Calibri" w:hAnsi="Calibri" w:eastAsia="Times New Roman" w:cs="Calibri"/>
                <w:color w:val="000000" w:themeColor="text1" w:themeTint="FF" w:themeShade="FF"/>
              </w:rPr>
              <w:t>](mailto:s.montoya@unesco.org)</w:t>
            </w:r>
          </w:p>
          <w:p w:rsidRPr="00D02A76" w:rsidR="00232EFB" w:rsidP="0418E580" w:rsidRDefault="00232EFB" w14:paraId="05494FB3" w14:textId="0779BB0C">
            <w:pPr>
              <w:pStyle w:val="Normal"/>
              <w:spacing w:after="0" w:line="240" w:lineRule="auto"/>
              <w:rPr>
                <w:rFonts w:ascii="Calibri" w:hAnsi="Calibri" w:eastAsia="Times New Roman" w:cs="Calibri"/>
                <w:color w:val="000000" w:themeColor="text1" w:themeTint="FF" w:themeShade="FF"/>
              </w:rPr>
            </w:pPr>
            <w:r w:rsidRPr="2230FAB8" w:rsidR="66438651">
              <w:rPr>
                <w:rFonts w:ascii="Calibri" w:hAnsi="Calibri" w:eastAsia="Times New Roman" w:cs="Calibri"/>
                <w:color w:val="000000" w:themeColor="text1" w:themeTint="FF" w:themeShade="FF"/>
              </w:rPr>
              <w:t>[</w:t>
            </w:r>
            <w:r w:rsidRPr="2230FAB8" w:rsidR="115C2017">
              <w:rPr>
                <w:rFonts w:ascii="Calibri" w:hAnsi="Calibri" w:eastAsia="Times New Roman" w:cs="Calibri"/>
                <w:color w:val="000000" w:themeColor="text1" w:themeTint="FF" w:themeShade="FF"/>
              </w:rPr>
              <w:t>uis.unesco.org/</w:t>
            </w:r>
            <w:r w:rsidRPr="2230FAB8" w:rsidR="0BA34E76">
              <w:rPr>
                <w:rFonts w:ascii="Calibri" w:hAnsi="Calibri" w:eastAsia="Times New Roman" w:cs="Calibri"/>
                <w:color w:val="000000" w:themeColor="text1" w:themeTint="FF" w:themeShade="FF"/>
              </w:rPr>
              <w:t>](uis.unesco.org/)</w:t>
            </w:r>
          </w:p>
          <w:p w:rsidRPr="00D02A76" w:rsidR="00232EFB" w:rsidP="0418E580" w:rsidRDefault="00232EFB" w14:paraId="1EDAE817" w14:textId="454A6332">
            <w:pPr>
              <w:pStyle w:val="Normal"/>
              <w:spacing w:after="0" w:line="240" w:lineRule="auto"/>
              <w:rPr>
                <w:rFonts w:ascii="Calibri" w:hAnsi="Calibri" w:eastAsia="Times New Roman" w:cs="Calibri"/>
                <w:color w:val="000000" w:themeColor="text1" w:themeTint="FF" w:themeShade="FF"/>
              </w:rPr>
            </w:pPr>
          </w:p>
          <w:p w:rsidRPr="00D02A76" w:rsidR="00232EFB" w:rsidP="0418E580" w:rsidRDefault="00232EFB" w14:paraId="2895CEFD" w14:textId="4FE9D3CA">
            <w:pPr>
              <w:pStyle w:val="Normal"/>
              <w:spacing w:after="0" w:line="240" w:lineRule="auto"/>
              <w:rPr>
                <w:rFonts w:ascii="Calibri" w:hAnsi="Calibri" w:eastAsia="Times New Roman" w:cs="Calibri"/>
                <w:color w:val="000000" w:themeColor="text1" w:themeTint="FF" w:themeShade="FF"/>
              </w:rPr>
            </w:pPr>
            <w:r w:rsidRPr="0418E580" w:rsidR="115C2017">
              <w:rPr>
                <w:rFonts w:ascii="Calibri" w:hAnsi="Calibri" w:eastAsia="Times New Roman" w:cs="Calibri"/>
                <w:color w:val="000000" w:themeColor="text1" w:themeTint="FF" w:themeShade="FF"/>
              </w:rPr>
              <w:t>Manos Antoninis</w:t>
            </w:r>
          </w:p>
          <w:p w:rsidRPr="00D02A76" w:rsidR="00232EFB" w:rsidP="0418E580" w:rsidRDefault="00232EFB" w14:paraId="10B51120" w14:textId="37B9997C">
            <w:pPr>
              <w:pStyle w:val="Normal"/>
              <w:spacing w:after="0" w:line="240" w:lineRule="auto"/>
              <w:rPr>
                <w:rFonts w:ascii="Calibri" w:hAnsi="Calibri" w:eastAsia="Times New Roman" w:cs="Calibri"/>
                <w:color w:val="000000" w:themeColor="text1" w:themeTint="FF" w:themeShade="FF"/>
              </w:rPr>
            </w:pPr>
            <w:r w:rsidRPr="0418E580" w:rsidR="115C2017">
              <w:rPr>
                <w:rFonts w:ascii="Calibri" w:hAnsi="Calibri" w:eastAsia="Times New Roman" w:cs="Calibri"/>
                <w:color w:val="000000" w:themeColor="text1" w:themeTint="FF" w:themeShade="FF"/>
              </w:rPr>
              <w:t>Director</w:t>
            </w:r>
          </w:p>
          <w:p w:rsidRPr="00D02A76" w:rsidR="00232EFB" w:rsidP="0418E580" w:rsidRDefault="00232EFB" w14:paraId="479365CC" w14:textId="7599B4AC">
            <w:pPr>
              <w:pStyle w:val="Normal"/>
              <w:spacing w:after="0" w:line="240" w:lineRule="auto"/>
              <w:rPr>
                <w:rFonts w:ascii="Calibri" w:hAnsi="Calibri" w:eastAsia="Times New Roman" w:cs="Calibri"/>
                <w:color w:val="000000" w:themeColor="text1" w:themeTint="FF" w:themeShade="FF"/>
              </w:rPr>
            </w:pPr>
            <w:r w:rsidRPr="0418E580" w:rsidR="115C2017">
              <w:rPr>
                <w:rFonts w:ascii="Calibri" w:hAnsi="Calibri" w:eastAsia="Times New Roman" w:cs="Calibri"/>
                <w:color w:val="000000" w:themeColor="text1" w:themeTint="FF" w:themeShade="FF"/>
              </w:rPr>
              <w:t>UNESCO Global Education Monitoring Report</w:t>
            </w:r>
          </w:p>
          <w:p w:rsidRPr="00D02A76" w:rsidR="00232EFB" w:rsidP="0418E580" w:rsidRDefault="00232EFB" w14:paraId="3C78CFD5" w14:textId="0A2655BC">
            <w:pPr>
              <w:pStyle w:val="Normal"/>
              <w:spacing w:after="0" w:line="240" w:lineRule="auto"/>
              <w:rPr>
                <w:rFonts w:ascii="Calibri" w:hAnsi="Calibri" w:eastAsia="Times New Roman" w:cs="Calibri"/>
                <w:color w:val="000000" w:themeColor="text1" w:themeTint="FF" w:themeShade="FF"/>
              </w:rPr>
            </w:pPr>
            <w:r w:rsidRPr="2230FAB8" w:rsidR="6341BA1E">
              <w:rPr>
                <w:rFonts w:ascii="Calibri" w:hAnsi="Calibri" w:eastAsia="Times New Roman" w:cs="Calibri"/>
                <w:color w:val="000000" w:themeColor="text1" w:themeTint="FF" w:themeShade="FF"/>
              </w:rPr>
              <w:t>[</w:t>
            </w:r>
            <w:r w:rsidRPr="2230FAB8" w:rsidR="115C2017">
              <w:rPr>
                <w:rFonts w:ascii="Calibri" w:hAnsi="Calibri" w:eastAsia="Times New Roman" w:cs="Calibri"/>
                <w:color w:val="000000" w:themeColor="text1" w:themeTint="FF" w:themeShade="FF"/>
              </w:rPr>
              <w:t>m.antoninis@unesco.org</w:t>
            </w:r>
            <w:r w:rsidRPr="2230FAB8" w:rsidR="0A08D3D7">
              <w:rPr>
                <w:rFonts w:ascii="Calibri" w:hAnsi="Calibri" w:eastAsia="Times New Roman" w:cs="Calibri"/>
                <w:color w:val="000000" w:themeColor="text1" w:themeTint="FF" w:themeShade="FF"/>
              </w:rPr>
              <w:t>](mailto:m.antoninis@unesco.org)</w:t>
            </w:r>
          </w:p>
          <w:p w:rsidRPr="00D02A76" w:rsidR="00232EFB" w:rsidP="0418E580" w:rsidRDefault="00232EFB" w14:paraId="43229EF8" w14:textId="2ECD6113">
            <w:pPr>
              <w:pStyle w:val="Normal"/>
              <w:spacing w:after="0" w:line="240" w:lineRule="auto"/>
              <w:rPr>
                <w:rFonts w:ascii="Calibri" w:hAnsi="Calibri" w:eastAsia="Times New Roman" w:cs="Calibri"/>
                <w:color w:val="000000" w:themeColor="text1" w:themeTint="FF" w:themeShade="FF"/>
              </w:rPr>
            </w:pPr>
            <w:r w:rsidRPr="2230FAB8" w:rsidR="0A08D3D7">
              <w:rPr>
                <w:rFonts w:ascii="Calibri" w:hAnsi="Calibri" w:eastAsia="Times New Roman" w:cs="Calibri"/>
                <w:color w:val="000000" w:themeColor="text1" w:themeTint="FF" w:themeShade="FF"/>
              </w:rPr>
              <w:t>[</w:t>
            </w:r>
            <w:r w:rsidRPr="2230FAB8" w:rsidR="115C2017">
              <w:rPr>
                <w:rFonts w:ascii="Calibri" w:hAnsi="Calibri" w:eastAsia="Times New Roman" w:cs="Calibri"/>
                <w:color w:val="000000" w:themeColor="text1" w:themeTint="FF" w:themeShade="FF"/>
              </w:rPr>
              <w:t>en.unesco.org/gem-report/</w:t>
            </w:r>
            <w:r w:rsidRPr="2230FAB8" w:rsidR="1A86A2A8">
              <w:rPr>
                <w:rFonts w:ascii="Calibri" w:hAnsi="Calibri" w:eastAsia="Times New Roman" w:cs="Calibri"/>
                <w:color w:val="000000" w:themeColor="text1" w:themeTint="FF" w:themeShade="FF"/>
              </w:rPr>
              <w:t>](en.unesco.org/gem-report/)</w:t>
            </w:r>
          </w:p>
          <w:p w:rsidRPr="00D02A76" w:rsidR="00232EFB" w:rsidP="0418E580" w:rsidRDefault="00232EFB" w14:paraId="7D9E5B44" w14:textId="20373A31">
            <w:pPr>
              <w:pStyle w:val="Normal"/>
              <w:spacing w:after="0" w:line="240" w:lineRule="auto"/>
              <w:rPr>
                <w:rFonts w:ascii="Calibri" w:hAnsi="Calibri" w:eastAsia="Times New Roman" w:cs="Calibri"/>
                <w:color w:val="000000"/>
              </w:rPr>
            </w:pPr>
          </w:p>
        </w:tc>
      </w:tr>
      <w:tr w:rsidRPr="00D02A76" w:rsidR="00F22912" w:rsidTr="72504E2E" w14:paraId="05A85E07" w14:textId="77777777">
        <w:trPr>
          <w:trHeight w:val="600"/>
        </w:trPr>
        <w:tc>
          <w:tcPr>
            <w:tcW w:w="549" w:type="dxa"/>
            <w:shd w:val="clear" w:color="auto" w:fill="auto"/>
            <w:tcMar/>
            <w:hideMark/>
          </w:tcPr>
          <w:p w:rsidRPr="00D02A76" w:rsidR="00F22912" w:rsidP="19CFFB34" w:rsidRDefault="302E54A2" w14:paraId="1E57E99F" w14:textId="1044D318">
            <w:pPr>
              <w:spacing w:after="0" w:line="240" w:lineRule="auto"/>
              <w:jc w:val="right"/>
              <w:rPr>
                <w:rFonts w:ascii="Calibri" w:hAnsi="Calibri" w:eastAsia="Times New Roman" w:cs="Calibri"/>
                <w:color w:val="000000" w:themeColor="text1"/>
              </w:rPr>
            </w:pPr>
            <w:r w:rsidRPr="19CFFB34">
              <w:rPr>
                <w:rFonts w:ascii="Calibri" w:hAnsi="Calibri" w:eastAsia="Times New Roman" w:cs="Calibri"/>
                <w:color w:val="000000" w:themeColor="text1"/>
              </w:rPr>
              <w:t>II.</w:t>
            </w:r>
            <w:r w:rsidR="00787566">
              <w:rPr>
                <w:rFonts w:ascii="Calibri" w:hAnsi="Calibri" w:eastAsia="Times New Roman" w:cs="Calibri"/>
                <w:color w:val="000000" w:themeColor="text1"/>
              </w:rPr>
              <w:t>5</w:t>
            </w:r>
          </w:p>
          <w:p w:rsidRPr="00D02A76" w:rsidR="00F22912" w:rsidP="19CFFB34" w:rsidRDefault="00F22912" w14:paraId="51FB9E6E" w14:textId="0A808648">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52A98486"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w:t>
            </w:r>
          </w:p>
        </w:tc>
        <w:tc>
          <w:tcPr>
            <w:tcW w:w="2798" w:type="dxa"/>
            <w:shd w:val="clear" w:color="auto" w:fill="auto"/>
            <w:tcMar/>
            <w:hideMark/>
          </w:tcPr>
          <w:p w:rsidRPr="00D02A76" w:rsidR="00F22912" w:rsidP="00337A95" w:rsidRDefault="00F22912" w14:paraId="4C4DF374"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International agreed definition</w:t>
            </w:r>
          </w:p>
        </w:tc>
        <w:tc>
          <w:tcPr>
            <w:tcW w:w="7629" w:type="dxa"/>
            <w:shd w:val="clear" w:color="auto" w:fill="auto"/>
            <w:tcMar/>
          </w:tcPr>
          <w:p w:rsidRPr="00A12325" w:rsidR="00A12325" w:rsidP="2230FAB8" w:rsidRDefault="00A12325" w14:paraId="2178B723" w14:textId="238B6DA5">
            <w:pPr>
              <w:spacing w:after="0" w:line="240" w:lineRule="auto"/>
              <w:rPr>
                <w:rFonts w:ascii="Calibri" w:hAnsi="Calibri" w:eastAsia="Times New Roman" w:cs="Calibri"/>
                <w:b w:val="0"/>
                <w:bCs w:val="0"/>
                <w:color w:val="000000"/>
              </w:rPr>
            </w:pPr>
            <w:r w:rsidRPr="2230FAB8" w:rsidR="24B80ED1">
              <w:rPr>
                <w:rFonts w:ascii="Calibri" w:hAnsi="Calibri" w:eastAsia="Times New Roman" w:cs="Calibri"/>
                <w:b w:val="0"/>
                <w:bCs w:val="0"/>
                <w:color w:val="000000" w:themeColor="text1" w:themeTint="FF" w:themeShade="FF"/>
              </w:rPr>
              <w:t>**</w:t>
            </w:r>
            <w:r w:rsidRPr="2230FAB8" w:rsidR="00A12325">
              <w:rPr>
                <w:rFonts w:ascii="Calibri" w:hAnsi="Calibri" w:eastAsia="Times New Roman" w:cs="Calibri"/>
                <w:b w:val="0"/>
                <w:bCs w:val="0"/>
                <w:color w:val="000000" w:themeColor="text1" w:themeTint="FF" w:themeShade="FF"/>
              </w:rPr>
              <w:t>Definition</w:t>
            </w:r>
            <w:r w:rsidRPr="2230FAB8" w:rsidR="6F29DF25">
              <w:rPr>
                <w:rFonts w:ascii="Calibri" w:hAnsi="Calibri" w:eastAsia="Times New Roman" w:cs="Calibri"/>
                <w:b w:val="0"/>
                <w:bCs w:val="0"/>
                <w:color w:val="000000" w:themeColor="text1" w:themeTint="FF" w:themeShade="FF"/>
              </w:rPr>
              <w:t>**</w:t>
            </w:r>
          </w:p>
          <w:p w:rsidR="00A12325" w:rsidP="00337A95" w:rsidRDefault="00A12325" w14:paraId="0A4823E6" w14:textId="77777777">
            <w:pPr>
              <w:spacing w:after="0" w:line="240" w:lineRule="auto"/>
              <w:rPr>
                <w:rFonts w:ascii="Calibri" w:hAnsi="Calibri" w:eastAsia="Times New Roman" w:cs="Calibri"/>
                <w:color w:val="000000"/>
              </w:rPr>
            </w:pPr>
            <w:r w:rsidRPr="00A12325">
              <w:rPr>
                <w:rFonts w:ascii="Calibri" w:hAnsi="Calibri" w:eastAsia="Times New Roman" w:cs="Calibri"/>
                <w:color w:val="000000"/>
              </w:rPr>
              <w:t>Percentage of a cohort of children or young people aged 3-5 years above the intended age for the last grade of each level of education who have completed that grade.</w:t>
            </w:r>
          </w:p>
          <w:p w:rsidR="00A12325" w:rsidP="00337A95" w:rsidRDefault="00A12325" w14:paraId="6E073353" w14:textId="77777777">
            <w:pPr>
              <w:spacing w:after="0" w:line="240" w:lineRule="auto"/>
              <w:rPr>
                <w:rFonts w:ascii="Calibri" w:hAnsi="Calibri" w:eastAsia="Times New Roman" w:cs="Calibri"/>
                <w:color w:val="000000"/>
              </w:rPr>
            </w:pPr>
          </w:p>
          <w:p w:rsidRPr="00A12325" w:rsidR="00A12325" w:rsidP="2230FAB8" w:rsidRDefault="00A12325" w14:paraId="7A4C4054" w14:textId="0CBED3BC">
            <w:pPr>
              <w:spacing w:after="0" w:line="240" w:lineRule="auto"/>
              <w:rPr>
                <w:rFonts w:ascii="Calibri" w:hAnsi="Calibri" w:eastAsia="Times New Roman" w:cs="Calibri"/>
                <w:b w:val="0"/>
                <w:bCs w:val="0"/>
                <w:color w:val="000000"/>
              </w:rPr>
            </w:pPr>
            <w:r w:rsidRPr="2230FAB8" w:rsidR="50BA5760">
              <w:rPr>
                <w:rFonts w:ascii="Calibri" w:hAnsi="Calibri" w:eastAsia="Times New Roman" w:cs="Calibri"/>
                <w:b w:val="0"/>
                <w:bCs w:val="0"/>
                <w:color w:val="000000" w:themeColor="text1" w:themeTint="FF" w:themeShade="FF"/>
              </w:rPr>
              <w:t>**</w:t>
            </w:r>
            <w:r w:rsidRPr="2230FAB8" w:rsidR="00A12325">
              <w:rPr>
                <w:rFonts w:ascii="Calibri" w:hAnsi="Calibri" w:eastAsia="Times New Roman" w:cs="Calibri"/>
                <w:b w:val="0"/>
                <w:bCs w:val="0"/>
                <w:color w:val="000000" w:themeColor="text1" w:themeTint="FF" w:themeShade="FF"/>
              </w:rPr>
              <w:t>Concepts</w:t>
            </w:r>
            <w:r w:rsidRPr="2230FAB8" w:rsidR="695B466F">
              <w:rPr>
                <w:rFonts w:ascii="Calibri" w:hAnsi="Calibri" w:eastAsia="Times New Roman" w:cs="Calibri"/>
                <w:b w:val="0"/>
                <w:bCs w:val="0"/>
                <w:color w:val="000000" w:themeColor="text1" w:themeTint="FF" w:themeShade="FF"/>
              </w:rPr>
              <w:t>**</w:t>
            </w:r>
          </w:p>
          <w:p w:rsidR="00F22912" w:rsidP="00337A95" w:rsidRDefault="00A12325" w14:paraId="4DDFA806" w14:textId="77777777">
            <w:pPr>
              <w:spacing w:after="0" w:line="240" w:lineRule="auto"/>
              <w:rPr>
                <w:rFonts w:ascii="Calibri" w:hAnsi="Calibri" w:eastAsia="Times New Roman" w:cs="Calibri"/>
                <w:color w:val="000000"/>
              </w:rPr>
            </w:pPr>
            <w:r w:rsidRPr="00A12325">
              <w:rPr>
                <w:rFonts w:ascii="Calibri" w:hAnsi="Calibri" w:eastAsia="Times New Roman" w:cs="Calibri"/>
                <w:color w:val="000000"/>
              </w:rPr>
              <w:t>The intended</w:t>
            </w:r>
            <w:r>
              <w:rPr>
                <w:rFonts w:ascii="Calibri" w:hAnsi="Calibri" w:eastAsia="Times New Roman" w:cs="Calibri"/>
                <w:color w:val="000000"/>
              </w:rPr>
              <w:t xml:space="preserve"> </w:t>
            </w:r>
            <w:r w:rsidRPr="00A12325">
              <w:rPr>
                <w:rFonts w:ascii="Calibri" w:hAnsi="Calibri" w:eastAsia="Times New Roman" w:cs="Calibri"/>
                <w:color w:val="000000"/>
              </w:rPr>
              <w:t>age for the last grade of each level of education is the age at which pupils would enter the grade if they had started school at the official primary entrance age, had studied full-time and had progressed without repeating or skipping a grade.</w:t>
            </w:r>
          </w:p>
          <w:p w:rsidR="00A12325" w:rsidP="00337A95" w:rsidRDefault="00A12325" w14:paraId="161AEEE3" w14:textId="77777777">
            <w:pPr>
              <w:spacing w:after="0" w:line="240" w:lineRule="auto"/>
              <w:rPr>
                <w:rFonts w:ascii="Calibri" w:hAnsi="Calibri" w:eastAsia="Times New Roman" w:cs="Calibri"/>
                <w:color w:val="000000"/>
              </w:rPr>
            </w:pPr>
          </w:p>
          <w:p w:rsidR="00A12325" w:rsidP="00337A95" w:rsidRDefault="00A02D14" w14:paraId="287EA62B" w14:textId="6D234676">
            <w:pPr>
              <w:spacing w:after="0" w:line="240" w:lineRule="auto"/>
              <w:rPr>
                <w:rFonts w:ascii="Calibri" w:hAnsi="Calibri" w:eastAsia="Times New Roman" w:cs="Calibri"/>
                <w:color w:val="000000"/>
              </w:rPr>
            </w:pPr>
            <w:r w:rsidRPr="2230FAB8" w:rsidR="00A02D14">
              <w:rPr>
                <w:rFonts w:ascii="Calibri" w:hAnsi="Calibri" w:eastAsia="Times New Roman" w:cs="Calibri"/>
                <w:color w:val="000000" w:themeColor="text1" w:themeTint="FF" w:themeShade="FF"/>
              </w:rPr>
              <w:t xml:space="preserve">For example, if the official age of entry into primary education is 6 years, and if primary education has 6 grades, the intended age for the last grade of primary education is 11 years. In this case, 14-16 years </w:t>
            </w:r>
            <w:r w:rsidRPr="2230FAB8" w:rsidR="5D09839F">
              <w:rPr>
                <w:rFonts w:ascii="Calibri" w:hAnsi="Calibri" w:eastAsia="Times New Roman" w:cs="Calibri"/>
                <w:color w:val="000000" w:themeColor="text1" w:themeTint="FF" w:themeShade="FF"/>
              </w:rPr>
              <w:t>\</w:t>
            </w:r>
            <w:r w:rsidRPr="2230FAB8" w:rsidR="00A02D14">
              <w:rPr>
                <w:rFonts w:ascii="Calibri" w:hAnsi="Calibri" w:eastAsia="Times New Roman" w:cs="Calibri"/>
                <w:color w:val="000000" w:themeColor="text1" w:themeTint="FF" w:themeShade="FF"/>
              </w:rPr>
              <w:t>(11 + 3 = 14 and 11 + 5 = 16</w:t>
            </w:r>
            <w:r w:rsidRPr="2230FAB8" w:rsidR="008608EB">
              <w:rPr>
                <w:rFonts w:ascii="Calibri" w:hAnsi="Calibri" w:eastAsia="Times New Roman" w:cs="Calibri"/>
                <w:color w:val="000000" w:themeColor="text1" w:themeTint="FF" w:themeShade="FF"/>
              </w:rPr>
              <w:t>\</w:t>
            </w:r>
            <w:r w:rsidRPr="2230FAB8" w:rsidR="00A02D14">
              <w:rPr>
                <w:rFonts w:ascii="Calibri" w:hAnsi="Calibri" w:eastAsia="Times New Roman" w:cs="Calibri"/>
                <w:color w:val="000000" w:themeColor="text1" w:themeTint="FF" w:themeShade="FF"/>
              </w:rPr>
              <w:t>) would be the reference</w:t>
            </w:r>
            <w:r w:rsidRPr="2230FAB8" w:rsidR="00706ABC">
              <w:rPr>
                <w:rFonts w:ascii="Calibri" w:hAnsi="Calibri" w:eastAsia="Times New Roman" w:cs="Calibri"/>
                <w:color w:val="000000" w:themeColor="text1" w:themeTint="FF" w:themeShade="FF"/>
              </w:rPr>
              <w:t xml:space="preserve"> </w:t>
            </w:r>
            <w:r w:rsidRPr="2230FAB8" w:rsidR="00A02D14">
              <w:rPr>
                <w:rFonts w:ascii="Calibri" w:hAnsi="Calibri" w:eastAsia="Times New Roman" w:cs="Calibri"/>
                <w:color w:val="000000" w:themeColor="text1" w:themeTint="FF" w:themeShade="FF"/>
              </w:rPr>
              <w:t>age group for calculation of the primary completion rate.</w:t>
            </w:r>
          </w:p>
          <w:p w:rsidRPr="00D02A76" w:rsidR="00A02D14" w:rsidP="00337A95" w:rsidRDefault="00A02D14" w14:paraId="65817CC2" w14:textId="407A2232">
            <w:pPr>
              <w:spacing w:after="0" w:line="240" w:lineRule="auto"/>
              <w:rPr>
                <w:rFonts w:ascii="Calibri" w:hAnsi="Calibri" w:eastAsia="Times New Roman" w:cs="Calibri"/>
                <w:color w:val="000000"/>
              </w:rPr>
            </w:pPr>
          </w:p>
        </w:tc>
      </w:tr>
      <w:tr w:rsidRPr="00C704BC" w:rsidR="00F22912" w:rsidTr="72504E2E" w14:paraId="43E8E5B9" w14:textId="77777777">
        <w:trPr>
          <w:trHeight w:val="1500"/>
        </w:trPr>
        <w:tc>
          <w:tcPr>
            <w:tcW w:w="549" w:type="dxa"/>
            <w:shd w:val="clear" w:color="auto" w:fill="auto"/>
            <w:tcMar/>
            <w:hideMark/>
          </w:tcPr>
          <w:p w:rsidRPr="00D02A76" w:rsidR="00F22912" w:rsidP="19CFFB34" w:rsidRDefault="61781DC9" w14:paraId="50E03A81" w14:textId="5E4974A3">
            <w:pPr>
              <w:spacing w:after="0" w:line="240" w:lineRule="auto"/>
              <w:jc w:val="right"/>
              <w:rPr>
                <w:rFonts w:ascii="Calibri" w:hAnsi="Calibri" w:eastAsia="Times New Roman" w:cs="Calibri"/>
                <w:color w:val="000000" w:themeColor="text1"/>
              </w:rPr>
            </w:pPr>
            <w:r w:rsidRPr="19CFFB34">
              <w:rPr>
                <w:rFonts w:ascii="Calibri" w:hAnsi="Calibri" w:eastAsia="Times New Roman" w:cs="Calibri"/>
                <w:color w:val="000000" w:themeColor="text1"/>
              </w:rPr>
              <w:t>II.</w:t>
            </w:r>
            <w:r w:rsidR="00787566">
              <w:rPr>
                <w:rFonts w:ascii="Calibri" w:hAnsi="Calibri" w:eastAsia="Times New Roman" w:cs="Calibri"/>
                <w:color w:val="000000" w:themeColor="text1"/>
              </w:rPr>
              <w:t>5</w:t>
            </w:r>
          </w:p>
          <w:p w:rsidRPr="00D02A76" w:rsidR="00F22912" w:rsidP="19CFFB34" w:rsidRDefault="00F22912" w14:paraId="272BE1AD" w14:textId="53ACF362">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3AE4DA24"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3</w:t>
            </w:r>
          </w:p>
        </w:tc>
        <w:tc>
          <w:tcPr>
            <w:tcW w:w="2798" w:type="dxa"/>
            <w:shd w:val="clear" w:color="auto" w:fill="auto"/>
            <w:tcMar/>
            <w:hideMark/>
          </w:tcPr>
          <w:p w:rsidRPr="00D02A76" w:rsidR="00F22912" w:rsidP="00337A95" w:rsidRDefault="00F22912" w14:paraId="789175EF"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Method of computation</w:t>
            </w:r>
          </w:p>
        </w:tc>
        <w:tc>
          <w:tcPr>
            <w:tcW w:w="7629" w:type="dxa"/>
            <w:shd w:val="clear" w:color="auto" w:fill="auto"/>
            <w:tcMar/>
          </w:tcPr>
          <w:p w:rsidR="00F22912" w:rsidP="001A094D" w:rsidRDefault="009E2E27" w14:paraId="56012B55" w14:textId="0F49AA6F">
            <w:pPr>
              <w:spacing w:after="0" w:line="240" w:lineRule="auto"/>
              <w:rPr>
                <w:rFonts w:ascii="Calibri" w:hAnsi="Calibri" w:eastAsia="Times New Roman" w:cs="Calibri"/>
                <w:color w:val="000000"/>
              </w:rPr>
            </w:pPr>
            <w:r w:rsidRPr="2230FAB8" w:rsidR="009E2E27">
              <w:rPr>
                <w:rFonts w:ascii="Calibri" w:hAnsi="Calibri" w:eastAsia="Times New Roman" w:cs="Calibri"/>
                <w:color w:val="000000" w:themeColor="text1" w:themeTint="FF" w:themeShade="FF"/>
              </w:rPr>
              <w:t xml:space="preserve">The number of </w:t>
            </w:r>
            <w:proofErr w:type="gramStart"/>
            <w:r w:rsidRPr="2230FAB8" w:rsidR="009E2E27">
              <w:rPr>
                <w:rFonts w:ascii="Calibri" w:hAnsi="Calibri" w:eastAsia="Times New Roman" w:cs="Calibri"/>
                <w:color w:val="000000" w:themeColor="text1" w:themeTint="FF" w:themeShade="FF"/>
              </w:rPr>
              <w:t>persons</w:t>
            </w:r>
            <w:proofErr w:type="gramEnd"/>
            <w:r w:rsidRPr="2230FAB8" w:rsidR="009E2E27">
              <w:rPr>
                <w:rFonts w:ascii="Calibri" w:hAnsi="Calibri" w:eastAsia="Times New Roman" w:cs="Calibri"/>
                <w:color w:val="000000" w:themeColor="text1" w:themeTint="FF" w:themeShade="FF"/>
              </w:rPr>
              <w:t xml:space="preserve"> in the relevant age group who have completed the last grade of a given level of education is divided by the total population </w:t>
            </w:r>
            <w:r w:rsidRPr="2230FAB8" w:rsidR="2E66C205">
              <w:rPr>
                <w:rFonts w:ascii="Calibri" w:hAnsi="Calibri" w:eastAsia="Times New Roman" w:cs="Calibri"/>
                <w:color w:val="000000" w:themeColor="text1" w:themeTint="FF" w:themeShade="FF"/>
              </w:rPr>
              <w:t>\</w:t>
            </w:r>
            <w:r w:rsidRPr="2230FAB8" w:rsidR="009E2E27">
              <w:rPr>
                <w:rFonts w:ascii="Calibri" w:hAnsi="Calibri" w:eastAsia="Times New Roman" w:cs="Calibri"/>
                <w:color w:val="000000" w:themeColor="text1" w:themeTint="FF" w:themeShade="FF"/>
              </w:rPr>
              <w:t>(in the survey sample</w:t>
            </w:r>
            <w:r w:rsidRPr="2230FAB8" w:rsidR="0D0B228B">
              <w:rPr>
                <w:rFonts w:ascii="Calibri" w:hAnsi="Calibri" w:eastAsia="Times New Roman" w:cs="Calibri"/>
                <w:color w:val="000000" w:themeColor="text1" w:themeTint="FF" w:themeShade="FF"/>
              </w:rPr>
              <w:t>\</w:t>
            </w:r>
            <w:r w:rsidRPr="2230FAB8" w:rsidR="009E2E27">
              <w:rPr>
                <w:rFonts w:ascii="Calibri" w:hAnsi="Calibri" w:eastAsia="Times New Roman" w:cs="Calibri"/>
                <w:color w:val="000000" w:themeColor="text1" w:themeTint="FF" w:themeShade="FF"/>
              </w:rPr>
              <w:t>) of the same age group.</w:t>
            </w:r>
          </w:p>
          <w:p w:rsidR="00727FA3" w:rsidP="001A094D" w:rsidRDefault="00727FA3" w14:paraId="10DFE02D" w14:textId="77A7D4BE">
            <w:pPr>
              <w:spacing w:after="0" w:line="240" w:lineRule="auto"/>
              <w:rPr>
                <w:rFonts w:ascii="Calibri" w:hAnsi="Calibri" w:eastAsia="Times New Roman" w:cs="Calibri"/>
                <w:color w:val="000000"/>
              </w:rPr>
            </w:pPr>
          </w:p>
          <w:p w:rsidR="00D31952" w:rsidP="001A094D" w:rsidRDefault="00D31952" w14:paraId="2F18FCF6" w14:textId="0B1525FB">
            <w:pPr>
              <w:spacing w:after="0" w:line="240" w:lineRule="auto"/>
              <w:rPr>
                <w:rFonts w:ascii="Calibri" w:hAnsi="Calibri" w:eastAsia="Times New Roman" w:cs="Calibri"/>
                <w:color w:val="000000"/>
              </w:rPr>
            </w:pPr>
            <w:r w:rsidRPr="00D31952">
              <w:rPr>
                <w:rFonts w:ascii="Calibri" w:hAnsi="Calibri" w:eastAsia="Times New Roman" w:cs="Calibri"/>
                <w:color w:val="000000"/>
              </w:rPr>
              <w:t>Global and regional estimates of the primary, lower secondary and upper</w:t>
            </w:r>
            <w:r>
              <w:rPr>
                <w:rFonts w:ascii="Calibri" w:hAnsi="Calibri" w:eastAsia="Times New Roman" w:cs="Calibri"/>
                <w:color w:val="000000"/>
              </w:rPr>
              <w:t xml:space="preserve"> </w:t>
            </w:r>
            <w:r w:rsidRPr="00D31952">
              <w:rPr>
                <w:rFonts w:ascii="Calibri" w:hAnsi="Calibri" w:eastAsia="Times New Roman" w:cs="Calibri"/>
                <w:color w:val="000000"/>
              </w:rPr>
              <w:t>secondary completion rate are derived by using the national population in the respective age groups as weights for aggregation of national values.</w:t>
            </w:r>
          </w:p>
          <w:p w:rsidR="005677C9" w:rsidP="001A094D" w:rsidRDefault="005677C9" w14:paraId="455ED0DF" w14:textId="617FD350">
            <w:pPr>
              <w:spacing w:after="0" w:line="240" w:lineRule="auto"/>
              <w:rPr>
                <w:rFonts w:ascii="Calibri" w:hAnsi="Calibri" w:eastAsia="Times New Roman" w:cs="Calibri"/>
                <w:color w:val="000000"/>
              </w:rPr>
            </w:pPr>
          </w:p>
          <w:p w:rsidRPr="00C704BC" w:rsidR="005677C9" w:rsidP="001A094D" w:rsidRDefault="005677C9" w14:paraId="7FDA938D" w14:textId="718BB61E">
            <w:pPr>
              <w:spacing w:after="0" w:line="240" w:lineRule="auto"/>
              <w:rPr>
                <w:rFonts w:ascii="Calibri" w:hAnsi="Calibri" w:eastAsia="Times New Roman" w:cs="Calibri"/>
                <w:color w:val="000000"/>
              </w:rPr>
            </w:pPr>
            <w:r>
              <w:rPr>
                <w:rFonts w:ascii="Calibri" w:hAnsi="Calibri" w:eastAsia="Times New Roman" w:cs="Calibri"/>
                <w:color w:val="000000"/>
              </w:rPr>
              <w:t xml:space="preserve">Disaggregation: </w:t>
            </w:r>
            <w:r w:rsidRPr="00933421" w:rsidR="00933421">
              <w:rPr>
                <w:rFonts w:ascii="Calibri" w:hAnsi="Calibri" w:eastAsia="Times New Roman" w:cs="Calibri"/>
                <w:color w:val="000000"/>
              </w:rPr>
              <w:t xml:space="preserve">by sex, </w:t>
            </w:r>
            <w:proofErr w:type="gramStart"/>
            <w:r w:rsidRPr="00933421" w:rsidR="00933421">
              <w:rPr>
                <w:rFonts w:ascii="Calibri" w:hAnsi="Calibri" w:eastAsia="Times New Roman" w:cs="Calibri"/>
                <w:color w:val="000000"/>
              </w:rPr>
              <w:t>location</w:t>
            </w:r>
            <w:proofErr w:type="gramEnd"/>
            <w:r w:rsidRPr="00933421" w:rsidR="00933421">
              <w:rPr>
                <w:rFonts w:ascii="Calibri" w:hAnsi="Calibri" w:eastAsia="Times New Roman" w:cs="Calibri"/>
                <w:color w:val="000000"/>
              </w:rPr>
              <w:t xml:space="preserve"> and wealth quintile</w:t>
            </w:r>
          </w:p>
          <w:p w:rsidRPr="00C704BC" w:rsidR="009E2E27" w:rsidP="001A094D" w:rsidRDefault="009E2E27" w14:paraId="7F665060" w14:textId="6214E0CE">
            <w:pPr>
              <w:spacing w:after="0" w:line="240" w:lineRule="auto"/>
              <w:rPr>
                <w:rFonts w:ascii="Calibri" w:hAnsi="Calibri" w:eastAsia="Times New Roman" w:cs="Calibri"/>
                <w:color w:val="000000"/>
              </w:rPr>
            </w:pPr>
          </w:p>
        </w:tc>
      </w:tr>
      <w:tr w:rsidRPr="00D02A76" w:rsidR="00F22912" w:rsidTr="72504E2E" w14:paraId="0CDE8A5C" w14:textId="77777777">
        <w:trPr>
          <w:trHeight w:val="1200"/>
        </w:trPr>
        <w:tc>
          <w:tcPr>
            <w:tcW w:w="549" w:type="dxa"/>
            <w:shd w:val="clear" w:color="auto" w:fill="auto"/>
            <w:tcMar/>
            <w:hideMark/>
          </w:tcPr>
          <w:p w:rsidRPr="00D02A76" w:rsidR="00F22912" w:rsidP="19CFFB34" w:rsidRDefault="0CB92A24" w14:paraId="0B994974" w14:textId="4F625F06">
            <w:pPr>
              <w:spacing w:after="0" w:line="240" w:lineRule="auto"/>
              <w:jc w:val="right"/>
              <w:rPr>
                <w:rFonts w:ascii="Calibri" w:hAnsi="Calibri" w:eastAsia="Times New Roman" w:cs="Calibri"/>
                <w:color w:val="000000" w:themeColor="text1"/>
              </w:rPr>
            </w:pPr>
            <w:r w:rsidRPr="19CFFB34">
              <w:rPr>
                <w:rFonts w:ascii="Calibri" w:hAnsi="Calibri" w:eastAsia="Times New Roman" w:cs="Calibri"/>
                <w:color w:val="000000" w:themeColor="text1"/>
              </w:rPr>
              <w:lastRenderedPageBreak/>
              <w:t>II.</w:t>
            </w:r>
            <w:r w:rsidR="00787566">
              <w:rPr>
                <w:rFonts w:ascii="Calibri" w:hAnsi="Calibri" w:eastAsia="Times New Roman" w:cs="Calibri"/>
                <w:color w:val="000000" w:themeColor="text1"/>
              </w:rPr>
              <w:t>5</w:t>
            </w:r>
          </w:p>
          <w:p w:rsidRPr="00D02A76" w:rsidR="00F22912" w:rsidP="19CFFB34" w:rsidRDefault="00F22912" w14:paraId="58C1B309" w14:textId="13F69B20">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4C38711D"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4</w:t>
            </w:r>
          </w:p>
        </w:tc>
        <w:tc>
          <w:tcPr>
            <w:tcW w:w="2798" w:type="dxa"/>
            <w:shd w:val="clear" w:color="auto" w:fill="auto"/>
            <w:tcMar/>
            <w:hideMark/>
          </w:tcPr>
          <w:p w:rsidRPr="00D02A76" w:rsidR="00F22912" w:rsidP="00337A95" w:rsidRDefault="00F22912" w14:paraId="2C5851CF"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Importance of the indicator in addressing gender issues and its limitation</w:t>
            </w:r>
          </w:p>
        </w:tc>
        <w:tc>
          <w:tcPr>
            <w:tcW w:w="7629" w:type="dxa"/>
            <w:shd w:val="clear" w:color="auto" w:fill="auto"/>
            <w:tcMar/>
          </w:tcPr>
          <w:p w:rsidRPr="00B4677F" w:rsidR="00B4677F" w:rsidP="2230FAB8" w:rsidRDefault="00B4677F" w14:paraId="76F2FF76" w14:textId="24E73ED5">
            <w:pPr>
              <w:spacing w:after="0" w:line="240" w:lineRule="auto"/>
              <w:rPr>
                <w:rFonts w:ascii="Calibri" w:hAnsi="Calibri" w:eastAsia="Times New Roman" w:cs="Calibri"/>
                <w:b w:val="0"/>
                <w:bCs w:val="0"/>
                <w:color w:val="000000"/>
              </w:rPr>
            </w:pPr>
            <w:r w:rsidRPr="2230FAB8" w:rsidR="6FC1DCD3">
              <w:rPr>
                <w:rFonts w:ascii="Calibri" w:hAnsi="Calibri" w:eastAsia="Times New Roman" w:cs="Calibri"/>
                <w:b w:val="0"/>
                <w:bCs w:val="0"/>
                <w:color w:val="000000" w:themeColor="text1" w:themeTint="FF" w:themeShade="FF"/>
              </w:rPr>
              <w:t>**</w:t>
            </w:r>
            <w:r w:rsidRPr="2230FAB8" w:rsidR="00B4677F">
              <w:rPr>
                <w:rFonts w:ascii="Calibri" w:hAnsi="Calibri" w:eastAsia="Times New Roman" w:cs="Calibri"/>
                <w:b w:val="0"/>
                <w:bCs w:val="0"/>
                <w:color w:val="000000" w:themeColor="text1" w:themeTint="FF" w:themeShade="FF"/>
              </w:rPr>
              <w:t>Rationale</w:t>
            </w:r>
            <w:r w:rsidRPr="2230FAB8" w:rsidR="0805609C">
              <w:rPr>
                <w:rFonts w:ascii="Calibri" w:hAnsi="Calibri" w:eastAsia="Times New Roman" w:cs="Calibri"/>
                <w:b w:val="0"/>
                <w:bCs w:val="0"/>
                <w:color w:val="000000" w:themeColor="text1" w:themeTint="FF" w:themeShade="FF"/>
              </w:rPr>
              <w:t>**</w:t>
            </w:r>
          </w:p>
          <w:p w:rsidR="00B4677F" w:rsidP="00337A95" w:rsidRDefault="00B4677F" w14:paraId="0CD809E9" w14:textId="77777777">
            <w:pPr>
              <w:spacing w:after="0" w:line="240" w:lineRule="auto"/>
              <w:rPr>
                <w:rFonts w:ascii="Calibri" w:hAnsi="Calibri" w:eastAsia="Times New Roman" w:cs="Calibri"/>
                <w:color w:val="000000"/>
              </w:rPr>
            </w:pPr>
            <w:r w:rsidRPr="00B4677F">
              <w:rPr>
                <w:rFonts w:ascii="Calibri" w:hAnsi="Calibri" w:eastAsia="Times New Roman" w:cs="Calibri"/>
                <w:color w:val="000000"/>
              </w:rPr>
              <w:t>The indicator is explicitly referenced in the text of target 4.1: ‘ensure that all girls and boys complete [...] primary and secondary education’. A completion rate at or near 100% indicates that all or most children and adolescents have completed a level of education by the time they are 3 to 5 years older than the official age of entry into the last grade of that level of education. A low completion rate indicates low or delayed entry into a given level of education, high drop-out, high repetition, late completion, or a combination of these factors.</w:t>
            </w:r>
          </w:p>
          <w:p w:rsidR="00B4677F" w:rsidP="00337A95" w:rsidRDefault="00B4677F" w14:paraId="596BFE8B" w14:textId="77777777">
            <w:pPr>
              <w:spacing w:after="0" w:line="240" w:lineRule="auto"/>
              <w:rPr>
                <w:rFonts w:ascii="Calibri" w:hAnsi="Calibri" w:eastAsia="Times New Roman" w:cs="Calibri"/>
                <w:color w:val="000000"/>
              </w:rPr>
            </w:pPr>
          </w:p>
          <w:p w:rsidR="00F22912" w:rsidP="00337A95" w:rsidRDefault="00B4677F" w14:paraId="2DE5A1BF" w14:textId="3CE1192A">
            <w:pPr>
              <w:spacing w:after="0" w:line="240" w:lineRule="auto"/>
              <w:rPr>
                <w:rFonts w:ascii="Calibri" w:hAnsi="Calibri" w:eastAsia="Times New Roman" w:cs="Calibri"/>
                <w:color w:val="000000"/>
              </w:rPr>
            </w:pPr>
            <w:r w:rsidRPr="72504E2E" w:rsidR="00B4677F">
              <w:rPr>
                <w:rFonts w:ascii="Calibri" w:hAnsi="Calibri" w:eastAsia="Times New Roman" w:cs="Calibri"/>
                <w:color w:val="000000" w:themeColor="text1" w:themeTint="FF" w:themeShade="FF"/>
              </w:rPr>
              <w:t xml:space="preserve">The completion rate can be used either as a self-standing indicator or in combination with SDG indicator 4.1.1 </w:t>
            </w:r>
            <w:r w:rsidRPr="72504E2E" w:rsidR="3410B2BB">
              <w:rPr>
                <w:rFonts w:ascii="Calibri" w:hAnsi="Calibri" w:eastAsia="Times New Roman" w:cs="Calibri"/>
                <w:color w:val="000000" w:themeColor="text1" w:themeTint="FF" w:themeShade="FF"/>
              </w:rPr>
              <w:t>\(</w:t>
            </w:r>
            <w:r w:rsidRPr="72504E2E" w:rsidR="00B4677F">
              <w:rPr>
                <w:rFonts w:ascii="Calibri" w:hAnsi="Calibri" w:eastAsia="Times New Roman" w:cs="Calibri"/>
                <w:color w:val="000000" w:themeColor="text1" w:themeTint="FF" w:themeShade="FF"/>
              </w:rPr>
              <w:t xml:space="preserve">proportion of children and young people </w:t>
            </w:r>
            <w:r w:rsidRPr="72504E2E" w:rsidR="273271D1">
              <w:rPr>
                <w:rFonts w:ascii="Calibri" w:hAnsi="Calibri" w:eastAsia="Times New Roman" w:cs="Calibri"/>
                <w:color w:val="000000" w:themeColor="text1" w:themeTint="FF" w:themeShade="FF"/>
              </w:rPr>
              <w:t>\</w:t>
            </w:r>
            <w:r w:rsidRPr="72504E2E" w:rsidR="00B4677F">
              <w:rPr>
                <w:rFonts w:ascii="Calibri" w:hAnsi="Calibri" w:eastAsia="Times New Roman" w:cs="Calibri"/>
                <w:color w:val="000000" w:themeColor="text1" w:themeTint="FF" w:themeShade="FF"/>
              </w:rPr>
              <w:t>(a</w:t>
            </w:r>
            <w:r w:rsidRPr="72504E2E" w:rsidR="407EF785">
              <w:rPr>
                <w:rFonts w:ascii="Calibri" w:hAnsi="Calibri" w:eastAsia="Times New Roman" w:cs="Calibri"/>
                <w:color w:val="000000" w:themeColor="text1" w:themeTint="FF" w:themeShade="FF"/>
              </w:rPr>
              <w:t>\</w:t>
            </w:r>
            <w:r w:rsidRPr="72504E2E" w:rsidR="00B4677F">
              <w:rPr>
                <w:rFonts w:ascii="Calibri" w:hAnsi="Calibri" w:eastAsia="Times New Roman" w:cs="Calibri"/>
                <w:color w:val="000000" w:themeColor="text1" w:themeTint="FF" w:themeShade="FF"/>
              </w:rPr>
              <w:t xml:space="preserve">) in Grade 2 or 3; </w:t>
            </w:r>
            <w:r w:rsidRPr="72504E2E" w:rsidR="3C868EDA">
              <w:rPr>
                <w:rFonts w:ascii="Calibri" w:hAnsi="Calibri" w:eastAsia="Times New Roman" w:cs="Calibri"/>
                <w:color w:val="000000" w:themeColor="text1" w:themeTint="FF" w:themeShade="FF"/>
              </w:rPr>
              <w:t>\</w:t>
            </w:r>
            <w:r w:rsidRPr="72504E2E" w:rsidR="00B4677F">
              <w:rPr>
                <w:rFonts w:ascii="Calibri" w:hAnsi="Calibri" w:eastAsia="Times New Roman" w:cs="Calibri"/>
                <w:color w:val="000000" w:themeColor="text1" w:themeTint="FF" w:themeShade="FF"/>
              </w:rPr>
              <w:t>(b</w:t>
            </w:r>
            <w:r w:rsidRPr="72504E2E" w:rsidR="45FCA090">
              <w:rPr>
                <w:rFonts w:ascii="Calibri" w:hAnsi="Calibri" w:eastAsia="Times New Roman" w:cs="Calibri"/>
                <w:color w:val="000000" w:themeColor="text1" w:themeTint="FF" w:themeShade="FF"/>
              </w:rPr>
              <w:t>\</w:t>
            </w:r>
            <w:r w:rsidRPr="72504E2E" w:rsidR="00B4677F">
              <w:rPr>
                <w:rFonts w:ascii="Calibri" w:hAnsi="Calibri" w:eastAsia="Times New Roman" w:cs="Calibri"/>
                <w:color w:val="000000" w:themeColor="text1" w:themeTint="FF" w:themeShade="FF"/>
              </w:rPr>
              <w:t xml:space="preserve">) at the end of primary education; and </w:t>
            </w:r>
            <w:r w:rsidRPr="72504E2E" w:rsidR="5B5D4A12">
              <w:rPr>
                <w:rFonts w:ascii="Calibri" w:hAnsi="Calibri" w:eastAsia="Times New Roman" w:cs="Calibri"/>
                <w:color w:val="000000" w:themeColor="text1" w:themeTint="FF" w:themeShade="FF"/>
              </w:rPr>
              <w:t>\</w:t>
            </w:r>
            <w:r w:rsidRPr="72504E2E" w:rsidR="00B4677F">
              <w:rPr>
                <w:rFonts w:ascii="Calibri" w:hAnsi="Calibri" w:eastAsia="Times New Roman" w:cs="Calibri"/>
                <w:color w:val="000000" w:themeColor="text1" w:themeTint="FF" w:themeShade="FF"/>
              </w:rPr>
              <w:t>(c</w:t>
            </w:r>
            <w:r w:rsidRPr="72504E2E" w:rsidR="201DD94A">
              <w:rPr>
                <w:rFonts w:ascii="Calibri" w:hAnsi="Calibri" w:eastAsia="Times New Roman" w:cs="Calibri"/>
                <w:color w:val="000000" w:themeColor="text1" w:themeTint="FF" w:themeShade="FF"/>
              </w:rPr>
              <w:t>\</w:t>
            </w:r>
            <w:r w:rsidRPr="72504E2E" w:rsidR="00B4677F">
              <w:rPr>
                <w:rFonts w:ascii="Calibri" w:hAnsi="Calibri" w:eastAsia="Times New Roman" w:cs="Calibri"/>
                <w:color w:val="000000" w:themeColor="text1" w:themeTint="FF" w:themeShade="FF"/>
              </w:rPr>
              <w:t xml:space="preserve">) at the end of lower secondary education achieving at least a minimum proficiency level in </w:t>
            </w:r>
            <w:r w:rsidRPr="72504E2E" w:rsidR="51F1753E">
              <w:rPr>
                <w:rFonts w:ascii="Calibri" w:hAnsi="Calibri" w:eastAsia="Times New Roman" w:cs="Calibri"/>
                <w:color w:val="000000" w:themeColor="text1" w:themeTint="FF" w:themeShade="FF"/>
              </w:rPr>
              <w:t>\</w:t>
            </w:r>
            <w:r w:rsidRPr="72504E2E" w:rsidR="00B4677F">
              <w:rPr>
                <w:rFonts w:ascii="Calibri" w:hAnsi="Calibri" w:eastAsia="Times New Roman" w:cs="Calibri"/>
                <w:color w:val="000000" w:themeColor="text1" w:themeTint="FF" w:themeShade="FF"/>
              </w:rPr>
              <w:t>(</w:t>
            </w:r>
            <w:r w:rsidRPr="72504E2E" w:rsidR="76FA9E5B">
              <w:rPr>
                <w:rFonts w:ascii="Calibri" w:hAnsi="Calibri" w:eastAsia="Times New Roman" w:cs="Calibri"/>
                <w:color w:val="000000" w:themeColor="text1" w:themeTint="FF" w:themeShade="FF"/>
              </w:rPr>
              <w:t>I\</w:t>
            </w:r>
            <w:r w:rsidRPr="72504E2E" w:rsidR="00B4677F">
              <w:rPr>
                <w:rFonts w:ascii="Calibri" w:hAnsi="Calibri" w:eastAsia="Times New Roman" w:cs="Calibri"/>
                <w:color w:val="000000" w:themeColor="text1" w:themeTint="FF" w:themeShade="FF"/>
              </w:rPr>
              <w:t xml:space="preserve">) reading and </w:t>
            </w:r>
            <w:r w:rsidRPr="72504E2E" w:rsidR="3CEC1DC0">
              <w:rPr>
                <w:rFonts w:ascii="Calibri" w:hAnsi="Calibri" w:eastAsia="Times New Roman" w:cs="Calibri"/>
                <w:color w:val="000000" w:themeColor="text1" w:themeTint="FF" w:themeShade="FF"/>
              </w:rPr>
              <w:t>\</w:t>
            </w:r>
            <w:r w:rsidRPr="72504E2E" w:rsidR="00B4677F">
              <w:rPr>
                <w:rFonts w:ascii="Calibri" w:hAnsi="Calibri" w:eastAsia="Times New Roman" w:cs="Calibri"/>
                <w:color w:val="000000" w:themeColor="text1" w:themeTint="FF" w:themeShade="FF"/>
              </w:rPr>
              <w:t>(ii</w:t>
            </w:r>
            <w:r w:rsidRPr="72504E2E" w:rsidR="5A2ADE41">
              <w:rPr>
                <w:rFonts w:ascii="Calibri" w:hAnsi="Calibri" w:eastAsia="Times New Roman" w:cs="Calibri"/>
                <w:color w:val="000000" w:themeColor="text1" w:themeTint="FF" w:themeShade="FF"/>
              </w:rPr>
              <w:t>\</w:t>
            </w:r>
            <w:r w:rsidRPr="72504E2E" w:rsidR="00B4677F">
              <w:rPr>
                <w:rFonts w:ascii="Calibri" w:hAnsi="Calibri" w:eastAsia="Times New Roman" w:cs="Calibri"/>
                <w:color w:val="000000" w:themeColor="text1" w:themeTint="FF" w:themeShade="FF"/>
              </w:rPr>
              <w:t>) mathematics</w:t>
            </w:r>
            <w:r w:rsidRPr="72504E2E" w:rsidR="48AC27FD">
              <w:rPr>
                <w:rFonts w:ascii="Calibri" w:hAnsi="Calibri" w:eastAsia="Times New Roman" w:cs="Calibri"/>
                <w:color w:val="000000" w:themeColor="text1" w:themeTint="FF" w:themeShade="FF"/>
              </w:rPr>
              <w:t>\</w:t>
            </w:r>
            <w:r w:rsidRPr="72504E2E" w:rsidR="00B4677F">
              <w:rPr>
                <w:rFonts w:ascii="Calibri" w:hAnsi="Calibri" w:eastAsia="Times New Roman" w:cs="Calibri"/>
                <w:color w:val="000000" w:themeColor="text1" w:themeTint="FF" w:themeShade="FF"/>
              </w:rPr>
              <w:t>). Combining the completion rate with indicator 4.1.1 provides information on the percentage of children or young people in a cohort who achieve a minimum level of proficiency, and not only on the percentage of children in school who achieve minimum proficiency.</w:t>
            </w:r>
          </w:p>
          <w:p w:rsidR="00927593" w:rsidP="00337A95" w:rsidRDefault="00927593" w14:paraId="4DBB697B" w14:textId="77777777">
            <w:pPr>
              <w:spacing w:after="0" w:line="240" w:lineRule="auto"/>
              <w:rPr>
                <w:rFonts w:ascii="Calibri" w:hAnsi="Calibri" w:eastAsia="Times New Roman" w:cs="Calibri"/>
                <w:color w:val="000000"/>
              </w:rPr>
            </w:pPr>
          </w:p>
          <w:p w:rsidRPr="00C71FAD" w:rsidR="00C71FAD" w:rsidP="2230FAB8" w:rsidRDefault="00C71FAD" w14:paraId="711B12AF" w14:textId="2B8A770E">
            <w:pPr>
              <w:spacing w:after="0" w:line="240" w:lineRule="auto"/>
              <w:rPr>
                <w:rFonts w:ascii="Calibri" w:hAnsi="Calibri" w:eastAsia="Times New Roman" w:cs="Calibri"/>
                <w:b w:val="0"/>
                <w:bCs w:val="0"/>
                <w:color w:val="000000"/>
              </w:rPr>
            </w:pPr>
            <w:r w:rsidRPr="2230FAB8" w:rsidR="7EE63462">
              <w:rPr>
                <w:rFonts w:ascii="Calibri" w:hAnsi="Calibri" w:eastAsia="Times New Roman" w:cs="Calibri"/>
                <w:b w:val="0"/>
                <w:bCs w:val="0"/>
                <w:color w:val="000000" w:themeColor="text1" w:themeTint="FF" w:themeShade="FF"/>
              </w:rPr>
              <w:t>**</w:t>
            </w:r>
            <w:r w:rsidRPr="2230FAB8" w:rsidR="00C71FAD">
              <w:rPr>
                <w:rFonts w:ascii="Calibri" w:hAnsi="Calibri" w:eastAsia="Times New Roman" w:cs="Calibri"/>
                <w:b w:val="0"/>
                <w:bCs w:val="0"/>
                <w:color w:val="000000" w:themeColor="text1" w:themeTint="FF" w:themeShade="FF"/>
              </w:rPr>
              <w:t>Comment and limitations</w:t>
            </w:r>
            <w:r w:rsidRPr="2230FAB8" w:rsidR="206161EE">
              <w:rPr>
                <w:rFonts w:ascii="Calibri" w:hAnsi="Calibri" w:eastAsia="Times New Roman" w:cs="Calibri"/>
                <w:b w:val="0"/>
                <w:bCs w:val="0"/>
                <w:color w:val="000000" w:themeColor="text1" w:themeTint="FF" w:themeShade="FF"/>
              </w:rPr>
              <w:t>**</w:t>
            </w:r>
          </w:p>
          <w:p w:rsidR="00E07C35" w:rsidP="00337A95" w:rsidRDefault="00C71FAD" w14:paraId="672C32E1" w14:textId="77777777">
            <w:pPr>
              <w:spacing w:after="0" w:line="240" w:lineRule="auto"/>
              <w:rPr>
                <w:rFonts w:ascii="Calibri" w:hAnsi="Calibri" w:eastAsia="Times New Roman" w:cs="Calibri"/>
                <w:color w:val="000000"/>
              </w:rPr>
            </w:pPr>
            <w:r w:rsidRPr="00C71FAD">
              <w:rPr>
                <w:rFonts w:ascii="Calibri" w:hAnsi="Calibri" w:eastAsia="Times New Roman" w:cs="Calibri"/>
                <w:color w:val="000000"/>
              </w:rPr>
              <w:lastRenderedPageBreak/>
              <w:t>Three common issues affect the indicator. First, the age group 3-5 years above the official age of entry into the last grade for a given level of education was selected for the calculation of the completion rate to allow for some delayed entry or repetition. In countries where entry can occur very late or where repetition is common, some children or adolescents in the age group examined may still attend school and the eventual rate of completion may therefore be underestimated.</w:t>
            </w:r>
            <w:r>
              <w:rPr>
                <w:rFonts w:ascii="Calibri" w:hAnsi="Calibri" w:eastAsia="Times New Roman" w:cs="Calibri"/>
                <w:color w:val="000000"/>
              </w:rPr>
              <w:t xml:space="preserve"> </w:t>
            </w:r>
            <w:r w:rsidRPr="00C71FAD">
              <w:rPr>
                <w:rFonts w:ascii="Calibri" w:hAnsi="Calibri" w:eastAsia="Times New Roman" w:cs="Calibri"/>
                <w:color w:val="000000"/>
              </w:rPr>
              <w:t>Second, as the indicator is</w:t>
            </w:r>
            <w:r w:rsidR="00E07C35">
              <w:rPr>
                <w:rFonts w:ascii="Calibri" w:hAnsi="Calibri" w:eastAsia="Times New Roman" w:cs="Calibri"/>
                <w:color w:val="000000"/>
              </w:rPr>
              <w:t xml:space="preserve"> </w:t>
            </w:r>
            <w:r w:rsidRPr="00E07C35" w:rsidR="00E07C35">
              <w:rPr>
                <w:rFonts w:ascii="Calibri" w:hAnsi="Calibri" w:eastAsia="Times New Roman" w:cs="Calibri"/>
                <w:color w:val="000000"/>
              </w:rPr>
              <w:t xml:space="preserve">calculated from household survey data, itis subject to time lag in the availability of data. Third, when multiple surveys are available, they may provide conflicting information due to the possible presence of sampling and non-sampling errors in survey data. </w:t>
            </w:r>
          </w:p>
          <w:p w:rsidR="00E07C35" w:rsidP="00337A95" w:rsidRDefault="00E07C35" w14:paraId="55C387D7" w14:textId="77777777">
            <w:pPr>
              <w:spacing w:after="0" w:line="240" w:lineRule="auto"/>
              <w:rPr>
                <w:rFonts w:ascii="Calibri" w:hAnsi="Calibri" w:eastAsia="Times New Roman" w:cs="Calibri"/>
                <w:color w:val="000000"/>
              </w:rPr>
            </w:pPr>
          </w:p>
          <w:p w:rsidR="00927593" w:rsidP="00337A95" w:rsidRDefault="00E07C35" w14:paraId="5D423E22" w14:textId="08B2D6C7">
            <w:pPr>
              <w:spacing w:after="0" w:line="240" w:lineRule="auto"/>
              <w:rPr>
                <w:rFonts w:ascii="Calibri" w:hAnsi="Calibri" w:eastAsia="Times New Roman" w:cs="Calibri"/>
                <w:color w:val="000000"/>
              </w:rPr>
            </w:pPr>
            <w:r w:rsidRPr="2230FAB8" w:rsidR="00E07C35">
              <w:rPr>
                <w:rFonts w:ascii="Calibri" w:hAnsi="Calibri" w:eastAsia="Times New Roman" w:cs="Calibri"/>
                <w:color w:val="000000" w:themeColor="text1" w:themeTint="FF" w:themeShade="FF"/>
              </w:rPr>
              <w:t xml:space="preserve">Responding to a request by the Technical Cooperation Group </w:t>
            </w:r>
            <w:r w:rsidRPr="2230FAB8" w:rsidR="75297B6F">
              <w:rPr>
                <w:rFonts w:ascii="Calibri" w:hAnsi="Calibri" w:eastAsia="Times New Roman" w:cs="Calibri"/>
                <w:color w:val="000000" w:themeColor="text1" w:themeTint="FF" w:themeShade="FF"/>
              </w:rPr>
              <w:t>\</w:t>
            </w:r>
            <w:r w:rsidRPr="2230FAB8" w:rsidR="00E07C35">
              <w:rPr>
                <w:rFonts w:ascii="Calibri" w:hAnsi="Calibri" w:eastAsia="Times New Roman" w:cs="Calibri"/>
                <w:color w:val="000000" w:themeColor="text1" w:themeTint="FF" w:themeShade="FF"/>
              </w:rPr>
              <w:t>(TCG</w:t>
            </w:r>
            <w:r w:rsidRPr="2230FAB8" w:rsidR="6E508237">
              <w:rPr>
                <w:rFonts w:ascii="Calibri" w:hAnsi="Calibri" w:eastAsia="Times New Roman" w:cs="Calibri"/>
                <w:color w:val="000000" w:themeColor="text1" w:themeTint="FF" w:themeShade="FF"/>
              </w:rPr>
              <w:t>\</w:t>
            </w:r>
            <w:r w:rsidRPr="2230FAB8" w:rsidR="00E07C35">
              <w:rPr>
                <w:rFonts w:ascii="Calibri" w:hAnsi="Calibri" w:eastAsia="Times New Roman" w:cs="Calibri"/>
                <w:color w:val="000000" w:themeColor="text1" w:themeTint="FF" w:themeShade="FF"/>
              </w:rPr>
              <w:t>) on the Indicators for SDG 4 -Education 2030,</w:t>
            </w:r>
            <w:r w:rsidRPr="2230FAB8" w:rsidR="00182349">
              <w:rPr>
                <w:rFonts w:ascii="Calibri" w:hAnsi="Calibri" w:eastAsia="Times New Roman" w:cs="Calibri"/>
                <w:color w:val="000000" w:themeColor="text1" w:themeTint="FF" w:themeShade="FF"/>
              </w:rPr>
              <w:t xml:space="preserve"> </w:t>
            </w:r>
            <w:r w:rsidRPr="2230FAB8" w:rsidR="00E07C35">
              <w:rPr>
                <w:rFonts w:ascii="Calibri" w:hAnsi="Calibri" w:eastAsia="Times New Roman" w:cs="Calibri"/>
                <w:color w:val="000000" w:themeColor="text1" w:themeTint="FF" w:themeShade="FF"/>
              </w:rPr>
              <w:t>a refinement of the methodology to model completion rate estimates</w:t>
            </w:r>
            <w:r w:rsidRPr="2230FAB8" w:rsidR="00077405">
              <w:rPr>
                <w:rFonts w:ascii="Calibri" w:hAnsi="Calibri" w:eastAsia="Times New Roman" w:cs="Calibri"/>
                <w:color w:val="000000" w:themeColor="text1" w:themeTint="FF" w:themeShade="FF"/>
              </w:rPr>
              <w:t xml:space="preserve"> </w:t>
            </w:r>
            <w:r w:rsidRPr="2230FAB8" w:rsidR="00E07C35">
              <w:rPr>
                <w:rFonts w:ascii="Calibri" w:hAnsi="Calibri" w:eastAsia="Times New Roman" w:cs="Calibri"/>
                <w:color w:val="000000" w:themeColor="text1" w:themeTint="FF" w:themeShade="FF"/>
              </w:rPr>
              <w:t xml:space="preserve">has been developed </w:t>
            </w:r>
            <w:proofErr w:type="gramStart"/>
            <w:r w:rsidRPr="2230FAB8" w:rsidR="5ECE6604">
              <w:rPr>
                <w:rFonts w:ascii="Calibri" w:hAnsi="Calibri" w:eastAsia="Times New Roman" w:cs="Calibri"/>
                <w:color w:val="000000" w:themeColor="text1" w:themeTint="FF" w:themeShade="FF"/>
              </w:rPr>
              <w:t>\</w:t>
            </w:r>
            <w:r w:rsidRPr="2230FAB8" w:rsidR="00E07C35">
              <w:rPr>
                <w:rFonts w:ascii="Calibri" w:hAnsi="Calibri" w:eastAsia="Times New Roman" w:cs="Calibri"/>
                <w:color w:val="000000" w:themeColor="text1" w:themeTint="FF" w:themeShade="FF"/>
              </w:rPr>
              <w:t>(</w:t>
            </w:r>
            <w:proofErr w:type="gramEnd"/>
            <w:r w:rsidRPr="2230FAB8" w:rsidR="00E07C35">
              <w:rPr>
                <w:rFonts w:ascii="Calibri" w:hAnsi="Calibri" w:eastAsia="Times New Roman" w:cs="Calibri"/>
                <w:color w:val="000000" w:themeColor="text1" w:themeTint="FF" w:themeShade="FF"/>
              </w:rPr>
              <w:t>Barakat et al. 2021</w:t>
            </w:r>
            <w:r w:rsidRPr="2230FAB8" w:rsidR="2E789E1C">
              <w:rPr>
                <w:rFonts w:ascii="Calibri" w:hAnsi="Calibri" w:eastAsia="Times New Roman" w:cs="Calibri"/>
                <w:color w:val="000000" w:themeColor="text1" w:themeTint="FF" w:themeShade="FF"/>
              </w:rPr>
              <w:t>\</w:t>
            </w:r>
            <w:r w:rsidRPr="2230FAB8" w:rsidR="00E07C35">
              <w:rPr>
                <w:rFonts w:ascii="Calibri" w:hAnsi="Calibri" w:eastAsia="Times New Roman" w:cs="Calibri"/>
                <w:color w:val="000000" w:themeColor="text1" w:themeTint="FF" w:themeShade="FF"/>
              </w:rPr>
              <w:t xml:space="preserve">), following an approach </w:t>
            </w:r>
            <w:proofErr w:type="gramStart"/>
            <w:r w:rsidRPr="2230FAB8" w:rsidR="00E07C35">
              <w:rPr>
                <w:rFonts w:ascii="Calibri" w:hAnsi="Calibri" w:eastAsia="Times New Roman" w:cs="Calibri"/>
                <w:color w:val="000000" w:themeColor="text1" w:themeTint="FF" w:themeShade="FF"/>
              </w:rPr>
              <w:t>similar</w:t>
            </w:r>
            <w:r w:rsidRPr="2230FAB8" w:rsidR="00077405">
              <w:rPr>
                <w:rFonts w:ascii="Calibri" w:hAnsi="Calibri" w:eastAsia="Times New Roman" w:cs="Calibri"/>
                <w:color w:val="000000" w:themeColor="text1" w:themeTint="FF" w:themeShade="FF"/>
              </w:rPr>
              <w:t xml:space="preserve"> </w:t>
            </w:r>
            <w:r w:rsidRPr="2230FAB8" w:rsidR="00E07C35">
              <w:rPr>
                <w:rFonts w:ascii="Calibri" w:hAnsi="Calibri" w:eastAsia="Times New Roman" w:cs="Calibri"/>
                <w:color w:val="000000" w:themeColor="text1" w:themeTint="FF" w:themeShade="FF"/>
              </w:rPr>
              <w:t>to</w:t>
            </w:r>
            <w:proofErr w:type="gramEnd"/>
            <w:r w:rsidRPr="2230FAB8" w:rsidR="00E07C35">
              <w:rPr>
                <w:rFonts w:ascii="Calibri" w:hAnsi="Calibri" w:eastAsia="Times New Roman" w:cs="Calibri"/>
                <w:color w:val="000000" w:themeColor="text1" w:themeTint="FF" w:themeShade="FF"/>
              </w:rPr>
              <w:t xml:space="preserve"> that used for the estimation of child mortality rates. The model ensures</w:t>
            </w:r>
            <w:r w:rsidRPr="2230FAB8" w:rsidR="00077405">
              <w:rPr>
                <w:rFonts w:ascii="Calibri" w:hAnsi="Calibri" w:eastAsia="Times New Roman" w:cs="Calibri"/>
                <w:color w:val="000000" w:themeColor="text1" w:themeTint="FF" w:themeShade="FF"/>
              </w:rPr>
              <w:t xml:space="preserve"> </w:t>
            </w:r>
            <w:r w:rsidRPr="2230FAB8" w:rsidR="00E07C35">
              <w:rPr>
                <w:rFonts w:ascii="Calibri" w:hAnsi="Calibri" w:eastAsia="Times New Roman" w:cs="Calibri"/>
                <w:color w:val="000000" w:themeColor="text1" w:themeTint="FF" w:themeShade="FF"/>
              </w:rPr>
              <w:t xml:space="preserve">that these common challenges with household survey data, such as timeliness and sampling or non-sampling errors are addressed to provide annual, </w:t>
            </w:r>
            <w:r w:rsidRPr="2230FAB8" w:rsidR="00E07C35">
              <w:rPr>
                <w:rFonts w:ascii="Calibri" w:hAnsi="Calibri" w:eastAsia="Times New Roman" w:cs="Calibri"/>
                <w:color w:val="000000" w:themeColor="text1" w:themeTint="FF" w:themeShade="FF"/>
              </w:rPr>
              <w:t>up-to-date</w:t>
            </w:r>
            <w:r w:rsidRPr="2230FAB8" w:rsidR="00E07C35">
              <w:rPr>
                <w:rFonts w:ascii="Calibri" w:hAnsi="Calibri" w:eastAsia="Times New Roman" w:cs="Calibri"/>
                <w:color w:val="000000" w:themeColor="text1" w:themeTint="FF" w:themeShade="FF"/>
              </w:rPr>
              <w:t xml:space="preserve"> </w:t>
            </w:r>
            <w:r w:rsidRPr="2230FAB8" w:rsidR="2610E872">
              <w:rPr>
                <w:rFonts w:ascii="Calibri" w:hAnsi="Calibri" w:eastAsia="Times New Roman" w:cs="Calibri"/>
                <w:color w:val="000000" w:themeColor="text1" w:themeTint="FF" w:themeShade="FF"/>
              </w:rPr>
              <w:t>\</w:t>
            </w:r>
            <w:r w:rsidRPr="2230FAB8" w:rsidR="00E07C35">
              <w:rPr>
                <w:rFonts w:ascii="Calibri" w:hAnsi="Calibri" w:eastAsia="Times New Roman" w:cs="Calibri"/>
                <w:color w:val="000000" w:themeColor="text1" w:themeTint="FF" w:themeShade="FF"/>
              </w:rPr>
              <w:t>(through short-term projections</w:t>
            </w:r>
            <w:r w:rsidRPr="2230FAB8" w:rsidR="0A91F415">
              <w:rPr>
                <w:rFonts w:ascii="Calibri" w:hAnsi="Calibri" w:eastAsia="Times New Roman" w:cs="Calibri"/>
                <w:color w:val="000000" w:themeColor="text1" w:themeTint="FF" w:themeShade="FF"/>
              </w:rPr>
              <w:t>\</w:t>
            </w:r>
            <w:r w:rsidRPr="2230FAB8" w:rsidR="00E07C35">
              <w:rPr>
                <w:rFonts w:ascii="Calibri" w:hAnsi="Calibri" w:eastAsia="Times New Roman" w:cs="Calibri"/>
                <w:color w:val="000000" w:themeColor="text1" w:themeTint="FF" w:themeShade="FF"/>
              </w:rPr>
              <w:t>) and more robust data, including for children and youth who complete each level later than 3-5 years above the official age of entry into the last grade.</w:t>
            </w:r>
          </w:p>
          <w:p w:rsidRPr="00D02A76" w:rsidR="00077405" w:rsidP="00337A95" w:rsidRDefault="00077405" w14:paraId="534737BB" w14:textId="2D7E319E">
            <w:pPr>
              <w:spacing w:after="0" w:line="240" w:lineRule="auto"/>
              <w:rPr>
                <w:rFonts w:ascii="Calibri" w:hAnsi="Calibri" w:eastAsia="Times New Roman" w:cs="Calibri"/>
                <w:color w:val="000000"/>
              </w:rPr>
            </w:pPr>
          </w:p>
        </w:tc>
      </w:tr>
      <w:tr w:rsidRPr="00D02A76" w:rsidR="00F22912" w:rsidTr="72504E2E" w14:paraId="338150E7" w14:textId="77777777">
        <w:trPr>
          <w:trHeight w:val="900"/>
        </w:trPr>
        <w:tc>
          <w:tcPr>
            <w:tcW w:w="549" w:type="dxa"/>
            <w:shd w:val="clear" w:color="auto" w:fill="auto"/>
            <w:tcMar/>
            <w:hideMark/>
          </w:tcPr>
          <w:p w:rsidRPr="00D02A76" w:rsidR="00F22912" w:rsidP="19CFFB34" w:rsidRDefault="17CC58E9" w14:paraId="281B78C4" w14:textId="4F5643B4">
            <w:pPr>
              <w:spacing w:after="0" w:line="240" w:lineRule="auto"/>
              <w:jc w:val="right"/>
              <w:rPr>
                <w:rFonts w:ascii="Calibri" w:hAnsi="Calibri" w:eastAsia="Times New Roman" w:cs="Calibri"/>
                <w:color w:val="000000" w:themeColor="text1"/>
              </w:rPr>
            </w:pPr>
            <w:r w:rsidRPr="19CFFB34">
              <w:rPr>
                <w:rFonts w:ascii="Calibri" w:hAnsi="Calibri" w:eastAsia="Times New Roman" w:cs="Calibri"/>
                <w:color w:val="000000" w:themeColor="text1"/>
              </w:rPr>
              <w:lastRenderedPageBreak/>
              <w:t>II.</w:t>
            </w:r>
            <w:r w:rsidR="00787566">
              <w:rPr>
                <w:rFonts w:ascii="Calibri" w:hAnsi="Calibri" w:eastAsia="Times New Roman" w:cs="Calibri"/>
                <w:color w:val="000000" w:themeColor="text1"/>
              </w:rPr>
              <w:t>5</w:t>
            </w:r>
          </w:p>
          <w:p w:rsidRPr="00D02A76" w:rsidR="00F22912" w:rsidP="19CFFB34" w:rsidRDefault="00F22912" w14:paraId="506EA0FF" w14:textId="1E768374">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434CB266"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5</w:t>
            </w:r>
          </w:p>
        </w:tc>
        <w:tc>
          <w:tcPr>
            <w:tcW w:w="2798" w:type="dxa"/>
            <w:shd w:val="clear" w:color="auto" w:fill="auto"/>
            <w:tcMar/>
            <w:hideMark/>
          </w:tcPr>
          <w:p w:rsidRPr="00D02A76" w:rsidR="00F22912" w:rsidP="00337A95" w:rsidRDefault="00F22912" w14:paraId="7064CBC4"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Sources of discrepancies between global and national figures</w:t>
            </w:r>
          </w:p>
        </w:tc>
        <w:tc>
          <w:tcPr>
            <w:tcW w:w="7629" w:type="dxa"/>
            <w:shd w:val="clear" w:color="auto" w:fill="auto"/>
            <w:tcMar/>
          </w:tcPr>
          <w:p w:rsidR="00F22912" w:rsidP="00337A95" w:rsidRDefault="00211E24" w14:paraId="25191242" w14:textId="066E3363">
            <w:pPr>
              <w:spacing w:after="0" w:line="240" w:lineRule="auto"/>
              <w:rPr>
                <w:rFonts w:ascii="Calibri" w:hAnsi="Calibri" w:eastAsia="Times New Roman" w:cs="Calibri"/>
                <w:color w:val="000000"/>
              </w:rPr>
            </w:pPr>
            <w:r w:rsidRPr="2230FAB8" w:rsidR="00211E24">
              <w:rPr>
                <w:rFonts w:ascii="Calibri" w:hAnsi="Calibri" w:eastAsia="Times New Roman" w:cs="Calibri"/>
                <w:color w:val="000000" w:themeColor="text1" w:themeTint="FF" w:themeShade="FF"/>
              </w:rPr>
              <w:t xml:space="preserve">National data are often collected and reported </w:t>
            </w:r>
            <w:r w:rsidRPr="2230FAB8" w:rsidR="00211E24">
              <w:rPr>
                <w:rFonts w:ascii="Calibri" w:hAnsi="Calibri" w:eastAsia="Times New Roman" w:cs="Calibri"/>
                <w:color w:val="000000" w:themeColor="text1" w:themeTint="FF" w:themeShade="FF"/>
              </w:rPr>
              <w:t>in reference to</w:t>
            </w:r>
            <w:r w:rsidRPr="2230FAB8" w:rsidR="00211E24">
              <w:rPr>
                <w:rFonts w:ascii="Calibri" w:hAnsi="Calibri" w:eastAsia="Times New Roman" w:cs="Calibri"/>
                <w:color w:val="000000" w:themeColor="text1" w:themeTint="FF" w:themeShade="FF"/>
              </w:rPr>
              <w:t xml:space="preserve"> national systems of education. The mapping from a national classification to the International Standard Classification of Education </w:t>
            </w:r>
            <w:r w:rsidRPr="2230FAB8" w:rsidR="72EE0B78">
              <w:rPr>
                <w:rFonts w:ascii="Calibri" w:hAnsi="Calibri" w:eastAsia="Times New Roman" w:cs="Calibri"/>
                <w:color w:val="000000" w:themeColor="text1" w:themeTint="FF" w:themeShade="FF"/>
              </w:rPr>
              <w:t>\</w:t>
            </w:r>
            <w:r w:rsidRPr="2230FAB8" w:rsidR="00211E24">
              <w:rPr>
                <w:rFonts w:ascii="Calibri" w:hAnsi="Calibri" w:eastAsia="Times New Roman" w:cs="Calibri"/>
                <w:color w:val="000000" w:themeColor="text1" w:themeTint="FF" w:themeShade="FF"/>
              </w:rPr>
              <w:t>(ISCED</w:t>
            </w:r>
            <w:r w:rsidRPr="2230FAB8" w:rsidR="3CAA9F34">
              <w:rPr>
                <w:rFonts w:ascii="Calibri" w:hAnsi="Calibri" w:eastAsia="Times New Roman" w:cs="Calibri"/>
                <w:color w:val="000000" w:themeColor="text1" w:themeTint="FF" w:themeShade="FF"/>
              </w:rPr>
              <w:t>\</w:t>
            </w:r>
            <w:r w:rsidRPr="2230FAB8" w:rsidR="00211E24">
              <w:rPr>
                <w:rFonts w:ascii="Calibri" w:hAnsi="Calibri" w:eastAsia="Times New Roman" w:cs="Calibri"/>
                <w:color w:val="000000" w:themeColor="text1" w:themeTint="FF" w:themeShade="FF"/>
              </w:rPr>
              <w:t>) is not always straightforward and can cause discrepancies between national and international indicator estimates. Additional discrepancies can arise between single point in time estimates from a single source and model estimates, which use efficiently multiple sources.</w:t>
            </w:r>
          </w:p>
          <w:p w:rsidRPr="00D02A76" w:rsidR="00211E24" w:rsidP="00337A95" w:rsidRDefault="00211E24" w14:paraId="65EA20CD" w14:textId="2A088D14">
            <w:pPr>
              <w:spacing w:after="0" w:line="240" w:lineRule="auto"/>
              <w:rPr>
                <w:rFonts w:ascii="Calibri" w:hAnsi="Calibri" w:eastAsia="Times New Roman" w:cs="Calibri"/>
                <w:color w:val="000000"/>
              </w:rPr>
            </w:pPr>
          </w:p>
        </w:tc>
      </w:tr>
      <w:tr w:rsidRPr="00D02A76" w:rsidR="00F22912" w:rsidTr="72504E2E" w14:paraId="404F90B8" w14:textId="77777777">
        <w:trPr>
          <w:trHeight w:val="3000"/>
        </w:trPr>
        <w:tc>
          <w:tcPr>
            <w:tcW w:w="549" w:type="dxa"/>
            <w:shd w:val="clear" w:color="auto" w:fill="auto"/>
            <w:tcMar/>
            <w:hideMark/>
          </w:tcPr>
          <w:p w:rsidRPr="00D02A76" w:rsidR="00F22912" w:rsidP="19CFFB34" w:rsidRDefault="06986318" w14:paraId="339AB8D4" w14:textId="59250A33">
            <w:pPr>
              <w:spacing w:after="0" w:line="240" w:lineRule="auto"/>
              <w:jc w:val="right"/>
              <w:rPr>
                <w:rFonts w:ascii="Calibri" w:hAnsi="Calibri" w:eastAsia="Times New Roman" w:cs="Calibri"/>
                <w:color w:val="000000" w:themeColor="text1"/>
              </w:rPr>
            </w:pPr>
            <w:r w:rsidRPr="19CFFB34">
              <w:rPr>
                <w:rFonts w:ascii="Calibri" w:hAnsi="Calibri" w:eastAsia="Times New Roman" w:cs="Calibri"/>
                <w:color w:val="000000" w:themeColor="text1"/>
              </w:rPr>
              <w:lastRenderedPageBreak/>
              <w:t>II.</w:t>
            </w:r>
            <w:r w:rsidR="00787566">
              <w:rPr>
                <w:rFonts w:ascii="Calibri" w:hAnsi="Calibri" w:eastAsia="Times New Roman" w:cs="Calibri"/>
                <w:color w:val="000000" w:themeColor="text1"/>
              </w:rPr>
              <w:t>5</w:t>
            </w:r>
          </w:p>
          <w:p w:rsidRPr="00D02A76" w:rsidR="00F22912" w:rsidP="19CFFB34" w:rsidRDefault="00F22912" w14:paraId="03098404" w14:textId="1A272ABF">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4B87AFAA"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6</w:t>
            </w:r>
          </w:p>
        </w:tc>
        <w:tc>
          <w:tcPr>
            <w:tcW w:w="2798" w:type="dxa"/>
            <w:shd w:val="clear" w:color="auto" w:fill="auto"/>
            <w:tcMar/>
            <w:hideMark/>
          </w:tcPr>
          <w:p w:rsidRPr="00D02A76" w:rsidR="00F22912" w:rsidP="00337A95" w:rsidRDefault="00F22912" w14:paraId="2F6ADF41"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Process of obtaining data</w:t>
            </w:r>
          </w:p>
        </w:tc>
        <w:tc>
          <w:tcPr>
            <w:tcW w:w="7629" w:type="dxa"/>
            <w:shd w:val="clear" w:color="auto" w:fill="auto"/>
            <w:tcMar/>
          </w:tcPr>
          <w:p w:rsidR="00306AE0" w:rsidP="00761B58" w:rsidRDefault="00306AE0" w14:paraId="48CC201A" w14:textId="77777777">
            <w:pPr>
              <w:spacing w:after="0" w:line="240" w:lineRule="auto"/>
              <w:rPr>
                <w:rFonts w:ascii="Calibri" w:hAnsi="Calibri" w:eastAsia="Times New Roman" w:cs="Calibri"/>
                <w:color w:val="000000"/>
              </w:rPr>
            </w:pPr>
            <w:r w:rsidRPr="00306AE0">
              <w:rPr>
                <w:rFonts w:ascii="Calibri" w:hAnsi="Calibri" w:eastAsia="Times New Roman" w:cs="Calibri"/>
                <w:color w:val="000000"/>
              </w:rPr>
              <w:t>The data can be obtained from population censuses and household surveys that collect information on the highest level of education and/or grade completed by children and young people in a household. Typical questions in a survey to collect data on educational attainment are:</w:t>
            </w:r>
          </w:p>
          <w:p w:rsidR="00306AE0" w:rsidP="00306AE0" w:rsidRDefault="00306AE0" w14:paraId="26CA777A" w14:textId="77777777">
            <w:pPr>
              <w:pStyle w:val="ListParagraph"/>
              <w:numPr>
                <w:ilvl w:val="0"/>
                <w:numId w:val="3"/>
              </w:numPr>
              <w:spacing w:after="0" w:line="240" w:lineRule="auto"/>
              <w:rPr>
                <w:rFonts w:ascii="Calibri" w:hAnsi="Calibri" w:eastAsia="Times New Roman" w:cs="Calibri"/>
                <w:color w:val="000000"/>
              </w:rPr>
            </w:pPr>
            <w:r w:rsidRPr="00306AE0">
              <w:rPr>
                <w:rFonts w:ascii="Calibri" w:hAnsi="Calibri" w:eastAsia="Times New Roman" w:cs="Calibri"/>
                <w:color w:val="000000"/>
              </w:rPr>
              <w:t>What is the highest level of education [name of household member] has attended?</w:t>
            </w:r>
          </w:p>
          <w:p w:rsidR="00306AE0" w:rsidP="00306AE0" w:rsidRDefault="00306AE0" w14:paraId="4BD3847B" w14:textId="77777777">
            <w:pPr>
              <w:pStyle w:val="ListParagraph"/>
              <w:numPr>
                <w:ilvl w:val="0"/>
                <w:numId w:val="3"/>
              </w:numPr>
              <w:spacing w:after="0" w:line="240" w:lineRule="auto"/>
              <w:rPr>
                <w:rFonts w:ascii="Calibri" w:hAnsi="Calibri" w:eastAsia="Times New Roman" w:cs="Calibri"/>
                <w:color w:val="000000"/>
              </w:rPr>
            </w:pPr>
            <w:r w:rsidRPr="00306AE0">
              <w:rPr>
                <w:rFonts w:ascii="Calibri" w:hAnsi="Calibri" w:eastAsia="Times New Roman" w:cs="Calibri"/>
                <w:color w:val="000000"/>
              </w:rPr>
              <w:t>What is the highest grade of education [name of household member] has completed at that level?</w:t>
            </w:r>
          </w:p>
          <w:p w:rsidR="00306AE0" w:rsidP="00306AE0" w:rsidRDefault="00306AE0" w14:paraId="481C2DB2" w14:textId="77777777">
            <w:pPr>
              <w:pStyle w:val="ListParagraph"/>
              <w:spacing w:after="0" w:line="240" w:lineRule="auto"/>
              <w:ind w:left="0"/>
              <w:rPr>
                <w:rFonts w:ascii="Calibri" w:hAnsi="Calibri" w:eastAsia="Times New Roman" w:cs="Calibri"/>
                <w:color w:val="000000"/>
              </w:rPr>
            </w:pPr>
          </w:p>
          <w:p w:rsidR="00F22912" w:rsidP="00306AE0" w:rsidRDefault="00306AE0" w14:paraId="0D828F60" w14:textId="07453E24">
            <w:pPr>
              <w:pStyle w:val="ListParagraph"/>
              <w:spacing w:after="0" w:line="240" w:lineRule="auto"/>
              <w:ind w:left="0"/>
              <w:rPr>
                <w:rFonts w:ascii="Calibri" w:hAnsi="Calibri" w:eastAsia="Times New Roman" w:cs="Calibri"/>
                <w:color w:val="000000"/>
              </w:rPr>
            </w:pPr>
            <w:r w:rsidRPr="2230FAB8" w:rsidR="00306AE0">
              <w:rPr>
                <w:rFonts w:ascii="Calibri" w:hAnsi="Calibri" w:eastAsia="Times New Roman" w:cs="Calibri"/>
                <w:color w:val="000000" w:themeColor="text1" w:themeTint="FF" w:themeShade="FF"/>
              </w:rPr>
              <w:t>Sources  include</w:t>
            </w:r>
            <w:r w:rsidRPr="2230FAB8" w:rsidR="00306AE0">
              <w:rPr>
                <w:rFonts w:ascii="Calibri" w:hAnsi="Calibri" w:eastAsia="Times New Roman" w:cs="Calibri"/>
                <w:color w:val="000000" w:themeColor="text1" w:themeTint="FF" w:themeShade="FF"/>
              </w:rPr>
              <w:t xml:space="preserve">  publicly  available  data  from  Demographic  and  Health  Surveys  </w:t>
            </w:r>
            <w:r w:rsidRPr="2230FAB8" w:rsidR="3EAEFAA5">
              <w:rPr>
                <w:rFonts w:ascii="Calibri" w:hAnsi="Calibri" w:eastAsia="Times New Roman" w:cs="Calibri"/>
                <w:color w:val="000000" w:themeColor="text1" w:themeTint="FF" w:themeShade="FF"/>
              </w:rPr>
              <w:t>\</w:t>
            </w:r>
            <w:r w:rsidRPr="2230FAB8" w:rsidR="00306AE0">
              <w:rPr>
                <w:rFonts w:ascii="Calibri" w:hAnsi="Calibri" w:eastAsia="Times New Roman" w:cs="Calibri"/>
                <w:color w:val="000000" w:themeColor="text1" w:themeTint="FF" w:themeShade="FF"/>
              </w:rPr>
              <w:t>(DHS</w:t>
            </w:r>
            <w:r w:rsidRPr="2230FAB8" w:rsidR="0198D32A">
              <w:rPr>
                <w:rFonts w:ascii="Calibri" w:hAnsi="Calibri" w:eastAsia="Times New Roman" w:cs="Calibri"/>
                <w:color w:val="000000" w:themeColor="text1" w:themeTint="FF" w:themeShade="FF"/>
              </w:rPr>
              <w:t>\</w:t>
            </w:r>
            <w:r w:rsidRPr="2230FAB8" w:rsidR="00306AE0">
              <w:rPr>
                <w:rFonts w:ascii="Calibri" w:hAnsi="Calibri" w:eastAsia="Times New Roman" w:cs="Calibri"/>
                <w:color w:val="000000" w:themeColor="text1" w:themeTint="FF" w:themeShade="FF"/>
              </w:rPr>
              <w:t xml:space="preserve">),  Multiple  Indicator Cluster Surveys </w:t>
            </w:r>
            <w:r w:rsidRPr="2230FAB8" w:rsidR="24349976">
              <w:rPr>
                <w:rFonts w:ascii="Calibri" w:hAnsi="Calibri" w:eastAsia="Times New Roman" w:cs="Calibri"/>
                <w:color w:val="000000" w:themeColor="text1" w:themeTint="FF" w:themeShade="FF"/>
              </w:rPr>
              <w:t>\</w:t>
            </w:r>
            <w:r w:rsidRPr="2230FAB8" w:rsidR="00306AE0">
              <w:rPr>
                <w:rFonts w:ascii="Calibri" w:hAnsi="Calibri" w:eastAsia="Times New Roman" w:cs="Calibri"/>
                <w:color w:val="000000" w:themeColor="text1" w:themeTint="FF" w:themeShade="FF"/>
              </w:rPr>
              <w:t>(MICS</w:t>
            </w:r>
            <w:r w:rsidRPr="2230FAB8" w:rsidR="345EF1BD">
              <w:rPr>
                <w:rFonts w:ascii="Calibri" w:hAnsi="Calibri" w:eastAsia="Times New Roman" w:cs="Calibri"/>
                <w:color w:val="000000" w:themeColor="text1" w:themeTint="FF" w:themeShade="FF"/>
              </w:rPr>
              <w:t>\</w:t>
            </w:r>
            <w:r w:rsidRPr="2230FAB8" w:rsidR="00306AE0">
              <w:rPr>
                <w:rFonts w:ascii="Calibri" w:hAnsi="Calibri" w:eastAsia="Times New Roman" w:cs="Calibri"/>
                <w:color w:val="000000" w:themeColor="text1" w:themeTint="FF" w:themeShade="FF"/>
              </w:rPr>
              <w:t xml:space="preserve">), European Union Statistics on Income and Living Condition </w:t>
            </w:r>
            <w:r w:rsidRPr="2230FAB8" w:rsidR="62A23B61">
              <w:rPr>
                <w:rFonts w:ascii="Calibri" w:hAnsi="Calibri" w:eastAsia="Times New Roman" w:cs="Calibri"/>
                <w:color w:val="000000" w:themeColor="text1" w:themeTint="FF" w:themeShade="FF"/>
              </w:rPr>
              <w:t>\</w:t>
            </w:r>
            <w:r w:rsidRPr="2230FAB8" w:rsidR="00306AE0">
              <w:rPr>
                <w:rFonts w:ascii="Calibri" w:hAnsi="Calibri" w:eastAsia="Times New Roman" w:cs="Calibri"/>
                <w:color w:val="000000" w:themeColor="text1" w:themeTint="FF" w:themeShade="FF"/>
              </w:rPr>
              <w:t>(EU-SILC</w:t>
            </w:r>
            <w:r w:rsidRPr="2230FAB8" w:rsidR="48C3B289">
              <w:rPr>
                <w:rFonts w:ascii="Calibri" w:hAnsi="Calibri" w:eastAsia="Times New Roman" w:cs="Calibri"/>
                <w:color w:val="000000" w:themeColor="text1" w:themeTint="FF" w:themeShade="FF"/>
              </w:rPr>
              <w:t>\</w:t>
            </w:r>
            <w:r w:rsidRPr="2230FAB8" w:rsidR="00306AE0">
              <w:rPr>
                <w:rFonts w:ascii="Calibri" w:hAnsi="Calibri" w:eastAsia="Times New Roman" w:cs="Calibri"/>
                <w:color w:val="000000" w:themeColor="text1" w:themeTint="FF" w:themeShade="FF"/>
              </w:rPr>
              <w:t xml:space="preserve">), the Integrated Public Use Microdata Series </w:t>
            </w:r>
            <w:r w:rsidRPr="2230FAB8" w:rsidR="739AA931">
              <w:rPr>
                <w:rFonts w:ascii="Calibri" w:hAnsi="Calibri" w:eastAsia="Times New Roman" w:cs="Calibri"/>
                <w:color w:val="000000" w:themeColor="text1" w:themeTint="FF" w:themeShade="FF"/>
              </w:rPr>
              <w:t>\</w:t>
            </w:r>
            <w:r w:rsidRPr="2230FAB8" w:rsidR="00306AE0">
              <w:rPr>
                <w:rFonts w:ascii="Calibri" w:hAnsi="Calibri" w:eastAsia="Times New Roman" w:cs="Calibri"/>
                <w:color w:val="000000" w:themeColor="text1" w:themeTint="FF" w:themeShade="FF"/>
              </w:rPr>
              <w:t>(IPUMS</w:t>
            </w:r>
            <w:r w:rsidRPr="2230FAB8" w:rsidR="0BBEA68E">
              <w:rPr>
                <w:rFonts w:ascii="Calibri" w:hAnsi="Calibri" w:eastAsia="Times New Roman" w:cs="Calibri"/>
                <w:color w:val="000000" w:themeColor="text1" w:themeTint="FF" w:themeShade="FF"/>
              </w:rPr>
              <w:t>\</w:t>
            </w:r>
            <w:r w:rsidRPr="2230FAB8" w:rsidR="00306AE0">
              <w:rPr>
                <w:rFonts w:ascii="Calibri" w:hAnsi="Calibri" w:eastAsia="Times New Roman" w:cs="Calibri"/>
                <w:color w:val="000000" w:themeColor="text1" w:themeTint="FF" w:themeShade="FF"/>
              </w:rPr>
              <w:t>), and national household surveys and censuses.</w:t>
            </w:r>
          </w:p>
          <w:p w:rsidR="002B48F1" w:rsidP="00306AE0" w:rsidRDefault="002B48F1" w14:paraId="294A935E" w14:textId="77777777">
            <w:pPr>
              <w:pStyle w:val="ListParagraph"/>
              <w:spacing w:after="0" w:line="240" w:lineRule="auto"/>
              <w:ind w:left="0"/>
              <w:rPr>
                <w:rFonts w:ascii="Calibri" w:hAnsi="Calibri" w:eastAsia="Times New Roman" w:cs="Calibri"/>
                <w:color w:val="000000"/>
              </w:rPr>
            </w:pPr>
          </w:p>
          <w:p w:rsidR="002B48F1" w:rsidP="00306AE0" w:rsidRDefault="002B48F1" w14:paraId="2B32BB01" w14:textId="77777777">
            <w:pPr>
              <w:pStyle w:val="ListParagraph"/>
              <w:spacing w:after="0" w:line="240" w:lineRule="auto"/>
              <w:ind w:left="0"/>
              <w:rPr>
                <w:rFonts w:ascii="Calibri" w:hAnsi="Calibri" w:eastAsia="Times New Roman" w:cs="Calibri"/>
                <w:color w:val="000000"/>
              </w:rPr>
            </w:pPr>
            <w:r w:rsidRPr="002B48F1">
              <w:rPr>
                <w:rFonts w:ascii="Calibri" w:hAnsi="Calibri" w:eastAsia="Times New Roman" w:cs="Calibri"/>
                <w:color w:val="000000"/>
              </w:rPr>
              <w:t xml:space="preserve">Data from all </w:t>
            </w:r>
            <w:proofErr w:type="gramStart"/>
            <w:r w:rsidRPr="002B48F1">
              <w:rPr>
                <w:rFonts w:ascii="Calibri" w:hAnsi="Calibri" w:eastAsia="Times New Roman" w:cs="Calibri"/>
                <w:color w:val="000000"/>
              </w:rPr>
              <w:t>publicly  available</w:t>
            </w:r>
            <w:proofErr w:type="gramEnd"/>
            <w:r w:rsidRPr="002B48F1">
              <w:rPr>
                <w:rFonts w:ascii="Calibri" w:hAnsi="Calibri" w:eastAsia="Times New Roman" w:cs="Calibri"/>
                <w:color w:val="000000"/>
              </w:rPr>
              <w:t xml:space="preserve">  household  surveys  and  censuses  with  the  required  information  are compiled  and  used  to  calculate  the  completion  rate.  </w:t>
            </w:r>
            <w:proofErr w:type="gramStart"/>
            <w:r w:rsidRPr="002B48F1">
              <w:rPr>
                <w:rFonts w:ascii="Calibri" w:hAnsi="Calibri" w:eastAsia="Times New Roman" w:cs="Calibri"/>
                <w:color w:val="000000"/>
              </w:rPr>
              <w:t>For  international</w:t>
            </w:r>
            <w:proofErr w:type="gramEnd"/>
            <w:r w:rsidRPr="002B48F1">
              <w:rPr>
                <w:rFonts w:ascii="Calibri" w:hAnsi="Calibri" w:eastAsia="Times New Roman" w:cs="Calibri"/>
                <w:color w:val="000000"/>
              </w:rPr>
              <w:t xml:space="preserve">  comparability,  national  data  are mapped to the ISCED before indicator calculation.</w:t>
            </w:r>
            <w:r w:rsidR="00D871FD">
              <w:rPr>
                <w:rFonts w:ascii="Calibri" w:hAnsi="Calibri" w:eastAsia="Times New Roman" w:cs="Calibri"/>
                <w:color w:val="000000"/>
              </w:rPr>
              <w:t xml:space="preserve"> </w:t>
            </w:r>
            <w:proofErr w:type="gramStart"/>
            <w:r w:rsidRPr="002B48F1">
              <w:rPr>
                <w:rFonts w:ascii="Calibri" w:hAnsi="Calibri" w:eastAsia="Times New Roman" w:cs="Calibri"/>
                <w:color w:val="000000"/>
              </w:rPr>
              <w:t>Indicator  values</w:t>
            </w:r>
            <w:proofErr w:type="gramEnd"/>
            <w:r w:rsidRPr="002B48F1">
              <w:rPr>
                <w:rFonts w:ascii="Calibri" w:hAnsi="Calibri" w:eastAsia="Times New Roman" w:cs="Calibri"/>
                <w:color w:val="000000"/>
              </w:rPr>
              <w:t xml:space="preserve">  intended  for  dissemination  and  addition  to  the  global  SDG  Indicators  Database  are submitted by the UNESCO Institute for Statistics to National Statistical Offices, Ministries of Education or other relevant agencies in individual countries for their review and feedback.</w:t>
            </w:r>
          </w:p>
          <w:p w:rsidRPr="00306AE0" w:rsidR="00030C2C" w:rsidP="00306AE0" w:rsidRDefault="00030C2C" w14:paraId="320399EE" w14:textId="18345878">
            <w:pPr>
              <w:pStyle w:val="ListParagraph"/>
              <w:spacing w:after="0" w:line="240" w:lineRule="auto"/>
              <w:ind w:left="0"/>
              <w:rPr>
                <w:rFonts w:ascii="Calibri" w:hAnsi="Calibri" w:eastAsia="Times New Roman" w:cs="Calibri"/>
                <w:color w:val="000000"/>
              </w:rPr>
            </w:pPr>
          </w:p>
        </w:tc>
      </w:tr>
      <w:tr w:rsidRPr="00D02A76" w:rsidR="00F22912" w:rsidTr="72504E2E" w14:paraId="108F07FE" w14:textId="77777777">
        <w:trPr>
          <w:trHeight w:val="3600"/>
        </w:trPr>
        <w:tc>
          <w:tcPr>
            <w:tcW w:w="549" w:type="dxa"/>
            <w:shd w:val="clear" w:color="auto" w:fill="auto"/>
            <w:tcMar/>
            <w:hideMark/>
          </w:tcPr>
          <w:p w:rsidRPr="00D02A76" w:rsidR="00F22912" w:rsidP="19CFFB34" w:rsidRDefault="1310DF4E" w14:paraId="0294DE0D" w14:textId="4A13582C">
            <w:pPr>
              <w:spacing w:after="0" w:line="240" w:lineRule="auto"/>
              <w:jc w:val="right"/>
              <w:rPr>
                <w:rFonts w:ascii="Calibri" w:hAnsi="Calibri" w:eastAsia="Times New Roman" w:cs="Calibri"/>
                <w:color w:val="000000" w:themeColor="text1"/>
              </w:rPr>
            </w:pPr>
            <w:r w:rsidRPr="19CFFB34">
              <w:rPr>
                <w:rFonts w:ascii="Calibri" w:hAnsi="Calibri" w:eastAsia="Times New Roman" w:cs="Calibri"/>
                <w:color w:val="000000" w:themeColor="text1"/>
              </w:rPr>
              <w:lastRenderedPageBreak/>
              <w:t>II.</w:t>
            </w:r>
            <w:r w:rsidR="00787566">
              <w:rPr>
                <w:rFonts w:ascii="Calibri" w:hAnsi="Calibri" w:eastAsia="Times New Roman" w:cs="Calibri"/>
                <w:color w:val="000000" w:themeColor="text1"/>
              </w:rPr>
              <w:t>5</w:t>
            </w:r>
          </w:p>
          <w:p w:rsidRPr="00D02A76" w:rsidR="00F22912" w:rsidP="19CFFB34" w:rsidRDefault="00F22912" w14:paraId="476FAE72" w14:textId="1BE0FED5">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442B4E0D"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7</w:t>
            </w:r>
          </w:p>
        </w:tc>
        <w:tc>
          <w:tcPr>
            <w:tcW w:w="2798" w:type="dxa"/>
            <w:shd w:val="clear" w:color="auto" w:fill="auto"/>
            <w:tcMar/>
            <w:hideMark/>
          </w:tcPr>
          <w:p w:rsidRPr="00D02A76" w:rsidR="00F22912" w:rsidP="00337A95" w:rsidRDefault="00F22912" w14:paraId="4C5E1C7E"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Treatment of missing values</w:t>
            </w:r>
          </w:p>
        </w:tc>
        <w:tc>
          <w:tcPr>
            <w:tcW w:w="7629" w:type="dxa"/>
            <w:shd w:val="clear" w:color="auto" w:fill="auto"/>
            <w:tcMar/>
          </w:tcPr>
          <w:p w:rsidRPr="00D02A76" w:rsidR="00F22912" w:rsidP="00337A95" w:rsidRDefault="001A3C2A" w14:paraId="5177EA76" w14:textId="3F83C8A8">
            <w:pPr>
              <w:spacing w:after="0" w:line="240" w:lineRule="auto"/>
              <w:rPr>
                <w:rFonts w:ascii="Calibri" w:hAnsi="Calibri" w:eastAsia="Times New Roman" w:cs="Calibri"/>
                <w:color w:val="000000"/>
              </w:rPr>
            </w:pPr>
            <w:r w:rsidRPr="001A3C2A">
              <w:rPr>
                <w:rFonts w:ascii="Calibri" w:hAnsi="Calibri" w:eastAsia="Times New Roman" w:cs="Calibri"/>
                <w:color w:val="000000"/>
              </w:rPr>
              <w:t>The completion rate can be calculated from older cohorts who are outside of the age bracket specified in the definition of the indicator to obtain estimates for different years. Gaps in national time series can be imputed using the</w:t>
            </w:r>
            <w:r>
              <w:rPr>
                <w:rFonts w:ascii="Calibri" w:hAnsi="Calibri" w:eastAsia="Times New Roman" w:cs="Calibri"/>
                <w:color w:val="000000"/>
              </w:rPr>
              <w:t xml:space="preserve"> </w:t>
            </w:r>
            <w:proofErr w:type="gramStart"/>
            <w:r w:rsidRPr="001A3C2A">
              <w:rPr>
                <w:rFonts w:ascii="Calibri" w:hAnsi="Calibri" w:eastAsia="Times New Roman" w:cs="Calibri"/>
                <w:color w:val="000000"/>
              </w:rPr>
              <w:t>aforementioned model-based</w:t>
            </w:r>
            <w:proofErr w:type="gramEnd"/>
            <w:r w:rsidRPr="001A3C2A">
              <w:rPr>
                <w:rFonts w:ascii="Calibri" w:hAnsi="Calibri" w:eastAsia="Times New Roman" w:cs="Calibri"/>
                <w:color w:val="000000"/>
              </w:rPr>
              <w:t xml:space="preserve"> to estimate the completion rate.</w:t>
            </w:r>
          </w:p>
        </w:tc>
      </w:tr>
      <w:tr w:rsidRPr="00D02A76" w:rsidR="00F22912" w:rsidTr="72504E2E" w14:paraId="04F0883B" w14:textId="77777777">
        <w:trPr>
          <w:trHeight w:val="900"/>
        </w:trPr>
        <w:tc>
          <w:tcPr>
            <w:tcW w:w="549" w:type="dxa"/>
            <w:shd w:val="clear" w:color="auto" w:fill="auto"/>
            <w:tcMar/>
            <w:hideMark/>
          </w:tcPr>
          <w:p w:rsidRPr="00D02A76" w:rsidR="00F22912" w:rsidP="19CFFB34" w:rsidRDefault="5AB9236C" w14:paraId="7EF661A9" w14:textId="6D1F15D7">
            <w:pPr>
              <w:spacing w:after="0" w:line="240" w:lineRule="auto"/>
              <w:jc w:val="right"/>
              <w:rPr>
                <w:rFonts w:ascii="Calibri" w:hAnsi="Calibri" w:eastAsia="Times New Roman" w:cs="Calibri"/>
                <w:color w:val="000000" w:themeColor="text1"/>
              </w:rPr>
            </w:pPr>
            <w:r w:rsidRPr="19CFFB34">
              <w:rPr>
                <w:rFonts w:ascii="Calibri" w:hAnsi="Calibri" w:eastAsia="Times New Roman" w:cs="Calibri"/>
                <w:color w:val="000000" w:themeColor="text1"/>
              </w:rPr>
              <w:t>II.</w:t>
            </w:r>
            <w:r w:rsidR="00787566">
              <w:rPr>
                <w:rFonts w:ascii="Calibri" w:hAnsi="Calibri" w:eastAsia="Times New Roman" w:cs="Calibri"/>
                <w:color w:val="000000" w:themeColor="text1"/>
              </w:rPr>
              <w:t>5</w:t>
            </w:r>
          </w:p>
          <w:p w:rsidRPr="00D02A76" w:rsidR="00F22912" w:rsidP="19CFFB34" w:rsidRDefault="00F22912" w14:paraId="5A32515F" w14:textId="632DE36B">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6211D7FB"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8</w:t>
            </w:r>
          </w:p>
        </w:tc>
        <w:tc>
          <w:tcPr>
            <w:tcW w:w="2798" w:type="dxa"/>
            <w:shd w:val="clear" w:color="auto" w:fill="auto"/>
            <w:tcMar/>
            <w:hideMark/>
          </w:tcPr>
          <w:p w:rsidRPr="00D02A76" w:rsidR="00F22912" w:rsidP="00337A95" w:rsidRDefault="00F22912" w14:paraId="6197AA99"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Data availability and assessment of countries’ capacity</w:t>
            </w:r>
          </w:p>
        </w:tc>
        <w:tc>
          <w:tcPr>
            <w:tcW w:w="7629" w:type="dxa"/>
            <w:shd w:val="clear" w:color="auto" w:fill="auto"/>
            <w:tcMar/>
          </w:tcPr>
          <w:p w:rsidRPr="00D02A76" w:rsidR="00F22912" w:rsidP="00337A95" w:rsidRDefault="00F22912" w14:paraId="12789770" w14:textId="72F73797">
            <w:pPr>
              <w:spacing w:after="0" w:line="240" w:lineRule="auto"/>
              <w:rPr>
                <w:rFonts w:ascii="Calibri" w:hAnsi="Calibri" w:eastAsia="Times New Roman" w:cs="Calibri"/>
                <w:color w:val="000000"/>
              </w:rPr>
            </w:pPr>
          </w:p>
        </w:tc>
      </w:tr>
      <w:tr w:rsidRPr="00D02A76" w:rsidR="00F22912" w:rsidTr="72504E2E" w14:paraId="7AC3EB4F" w14:textId="77777777">
        <w:trPr>
          <w:trHeight w:val="300"/>
        </w:trPr>
        <w:tc>
          <w:tcPr>
            <w:tcW w:w="549" w:type="dxa"/>
            <w:shd w:val="clear" w:color="auto" w:fill="auto"/>
            <w:tcMar/>
            <w:hideMark/>
          </w:tcPr>
          <w:p w:rsidRPr="00D02A76" w:rsidR="00F22912" w:rsidP="19CFFB34" w:rsidRDefault="63DFBC95" w14:paraId="34510F09" w14:textId="7865E3FB">
            <w:pPr>
              <w:spacing w:after="0" w:line="240" w:lineRule="auto"/>
              <w:jc w:val="right"/>
              <w:rPr>
                <w:rFonts w:ascii="Calibri" w:hAnsi="Calibri" w:eastAsia="Times New Roman" w:cs="Calibri"/>
                <w:color w:val="000000" w:themeColor="text1"/>
              </w:rPr>
            </w:pPr>
            <w:r w:rsidRPr="19CFFB34">
              <w:rPr>
                <w:rFonts w:ascii="Calibri" w:hAnsi="Calibri" w:eastAsia="Times New Roman" w:cs="Calibri"/>
                <w:color w:val="000000" w:themeColor="text1"/>
              </w:rPr>
              <w:t>II.</w:t>
            </w:r>
            <w:r w:rsidR="00787566">
              <w:rPr>
                <w:rFonts w:ascii="Calibri" w:hAnsi="Calibri" w:eastAsia="Times New Roman" w:cs="Calibri"/>
                <w:color w:val="000000" w:themeColor="text1"/>
              </w:rPr>
              <w:t>5</w:t>
            </w:r>
          </w:p>
          <w:p w:rsidRPr="00D02A76" w:rsidR="00F22912" w:rsidP="19CFFB34" w:rsidRDefault="00F22912" w14:paraId="1AA6E0A1" w14:textId="34CF31F6">
            <w:pPr>
              <w:spacing w:after="0" w:line="240" w:lineRule="auto"/>
              <w:jc w:val="right"/>
              <w:rPr>
                <w:rFonts w:ascii="Calibri" w:hAnsi="Calibri" w:eastAsia="Times New Roman" w:cs="Calibri"/>
                <w:color w:val="000000"/>
              </w:rPr>
            </w:pPr>
          </w:p>
        </w:tc>
        <w:tc>
          <w:tcPr>
            <w:tcW w:w="589" w:type="dxa"/>
            <w:shd w:val="clear" w:color="auto" w:fill="auto"/>
            <w:tcMar/>
            <w:hideMark/>
          </w:tcPr>
          <w:p w:rsidRPr="00D02A76" w:rsidR="00F22912" w:rsidP="00337A95" w:rsidRDefault="00F22912" w14:paraId="31F95D7F"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9</w:t>
            </w:r>
          </w:p>
        </w:tc>
        <w:tc>
          <w:tcPr>
            <w:tcW w:w="2798" w:type="dxa"/>
            <w:shd w:val="clear" w:color="auto" w:fill="auto"/>
            <w:tcMar/>
            <w:hideMark/>
          </w:tcPr>
          <w:p w:rsidRPr="00D02A76" w:rsidR="00F22912" w:rsidP="00337A95" w:rsidRDefault="00F22912" w14:paraId="468490AD"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Expected time of release</w:t>
            </w:r>
          </w:p>
        </w:tc>
        <w:tc>
          <w:tcPr>
            <w:tcW w:w="7629" w:type="dxa"/>
            <w:shd w:val="clear" w:color="auto" w:fill="auto"/>
            <w:tcMar/>
          </w:tcPr>
          <w:p w:rsidRPr="00D02A76" w:rsidR="00F22912" w:rsidP="00337A95" w:rsidRDefault="00F22912" w14:paraId="66AF17E2" w14:textId="53D6D005">
            <w:pPr>
              <w:spacing w:after="0" w:line="240" w:lineRule="auto"/>
              <w:rPr>
                <w:rFonts w:ascii="Calibri" w:hAnsi="Calibri" w:eastAsia="Times New Roman" w:cs="Calibri"/>
                <w:color w:val="000000"/>
              </w:rPr>
            </w:pPr>
          </w:p>
        </w:tc>
      </w:tr>
      <w:tr w:rsidRPr="00D02A76" w:rsidR="00D6407F" w:rsidTr="72504E2E" w14:paraId="759AEE09" w14:textId="77777777">
        <w:trPr>
          <w:trHeight w:val="300"/>
        </w:trPr>
        <w:tc>
          <w:tcPr>
            <w:tcW w:w="549" w:type="dxa"/>
            <w:shd w:val="clear" w:color="auto" w:fill="auto"/>
            <w:tcMar/>
          </w:tcPr>
          <w:p w:rsidRPr="00D02A76" w:rsidR="00D6407F" w:rsidP="19CFFB34" w:rsidRDefault="591C2B30" w14:paraId="7221D92D" w14:textId="1E6E3F9D">
            <w:pPr>
              <w:spacing w:after="0" w:line="240" w:lineRule="auto"/>
              <w:jc w:val="right"/>
              <w:rPr>
                <w:rFonts w:ascii="Calibri" w:hAnsi="Calibri" w:eastAsia="Times New Roman" w:cs="Calibri"/>
                <w:color w:val="000000" w:themeColor="text1"/>
              </w:rPr>
            </w:pPr>
            <w:r w:rsidRPr="19CFFB34">
              <w:rPr>
                <w:rFonts w:ascii="Calibri" w:hAnsi="Calibri" w:eastAsia="Times New Roman" w:cs="Calibri"/>
                <w:color w:val="000000" w:themeColor="text1"/>
              </w:rPr>
              <w:t>II.</w:t>
            </w:r>
            <w:r w:rsidR="00787566">
              <w:rPr>
                <w:rFonts w:ascii="Calibri" w:hAnsi="Calibri" w:eastAsia="Times New Roman" w:cs="Calibri"/>
                <w:color w:val="000000" w:themeColor="text1"/>
              </w:rPr>
              <w:t>5</w:t>
            </w:r>
          </w:p>
          <w:p w:rsidRPr="00D02A76" w:rsidR="00D6407F" w:rsidP="19CFFB34" w:rsidRDefault="00D6407F" w14:paraId="68790531" w14:textId="65935722">
            <w:pPr>
              <w:spacing w:after="0" w:line="240" w:lineRule="auto"/>
              <w:jc w:val="right"/>
              <w:rPr>
                <w:rFonts w:ascii="Calibri" w:hAnsi="Calibri" w:eastAsia="Times New Roman" w:cs="Calibri"/>
                <w:color w:val="000000"/>
              </w:rPr>
            </w:pPr>
          </w:p>
        </w:tc>
        <w:tc>
          <w:tcPr>
            <w:tcW w:w="589" w:type="dxa"/>
            <w:shd w:val="clear" w:color="auto" w:fill="auto"/>
            <w:tcMar/>
          </w:tcPr>
          <w:p w:rsidRPr="00D02A76" w:rsidR="00D6407F" w:rsidP="00337A95" w:rsidRDefault="00D6407F" w14:paraId="0FAD0EC2" w14:textId="12F60419">
            <w:pPr>
              <w:spacing w:after="0" w:line="240" w:lineRule="auto"/>
              <w:jc w:val="right"/>
              <w:rPr>
                <w:rFonts w:ascii="Calibri" w:hAnsi="Calibri" w:eastAsia="Times New Roman" w:cs="Calibri"/>
                <w:color w:val="000000"/>
              </w:rPr>
            </w:pPr>
            <w:r>
              <w:rPr>
                <w:rFonts w:ascii="Calibri" w:hAnsi="Calibri" w:eastAsia="Times New Roman" w:cs="Calibri"/>
                <w:color w:val="000000"/>
              </w:rPr>
              <w:t>10</w:t>
            </w:r>
          </w:p>
        </w:tc>
        <w:tc>
          <w:tcPr>
            <w:tcW w:w="2798" w:type="dxa"/>
            <w:shd w:val="clear" w:color="auto" w:fill="auto"/>
            <w:tcMar/>
          </w:tcPr>
          <w:p w:rsidRPr="00D02A76" w:rsidR="00D6407F" w:rsidP="00337A95" w:rsidRDefault="00D6407F" w14:paraId="7D1BD0A2" w14:textId="4A0D713C">
            <w:pPr>
              <w:spacing w:after="0" w:line="240" w:lineRule="auto"/>
              <w:rPr>
                <w:rFonts w:ascii="Calibri" w:hAnsi="Calibri" w:eastAsia="Times New Roman" w:cs="Calibri"/>
                <w:color w:val="000000"/>
              </w:rPr>
            </w:pPr>
            <w:r>
              <w:rPr>
                <w:rFonts w:ascii="Calibri" w:hAnsi="Calibri" w:eastAsia="Times New Roman" w:cs="Calibri"/>
                <w:color w:val="000000"/>
              </w:rPr>
              <w:t>Data source</w:t>
            </w:r>
          </w:p>
        </w:tc>
        <w:tc>
          <w:tcPr>
            <w:tcW w:w="7629" w:type="dxa"/>
            <w:shd w:val="clear" w:color="auto" w:fill="auto"/>
            <w:tcMar/>
          </w:tcPr>
          <w:p w:rsidRPr="006D6FEF" w:rsidR="006D6FEF" w:rsidP="006D6FEF" w:rsidRDefault="006D6FEF" w14:paraId="70324554" w14:textId="5777D8BB">
            <w:pPr>
              <w:spacing w:after="0" w:line="240" w:lineRule="auto"/>
              <w:rPr>
                <w:rFonts w:ascii="Calibri" w:hAnsi="Calibri" w:eastAsia="Times New Roman" w:cs="Calibri"/>
              </w:rPr>
            </w:pPr>
            <w:r w:rsidRPr="006D6FEF">
              <w:rPr>
                <w:rFonts w:ascii="Calibri" w:hAnsi="Calibri" w:eastAsia="Times New Roman" w:cs="Calibri"/>
              </w:rPr>
              <w:t xml:space="preserve">Data and metadata were extracted from </w:t>
            </w:r>
            <w:r w:rsidRPr="00B46FBB" w:rsidR="00B46FBB">
              <w:rPr>
                <w:rFonts w:ascii="Calibri" w:hAnsi="Calibri" w:eastAsia="Times New Roman" w:cs="Calibri"/>
              </w:rPr>
              <w:t>Global SDG Indicators Database</w:t>
            </w:r>
            <w:r w:rsidRPr="006D6FEF">
              <w:rPr>
                <w:rFonts w:ascii="Calibri" w:hAnsi="Calibri" w:eastAsia="Times New Roman" w:cs="Calibri"/>
              </w:rPr>
              <w:t xml:space="preserve"> on </w:t>
            </w:r>
            <w:r w:rsidR="004809F6">
              <w:rPr>
                <w:rFonts w:ascii="Calibri" w:hAnsi="Calibri" w:eastAsia="Times New Roman" w:cs="Calibri"/>
              </w:rPr>
              <w:t>27</w:t>
            </w:r>
            <w:r w:rsidRPr="006D6FEF">
              <w:rPr>
                <w:rFonts w:ascii="Calibri" w:hAnsi="Calibri" w:eastAsia="Times New Roman" w:cs="Calibri"/>
              </w:rPr>
              <w:t xml:space="preserve"> </w:t>
            </w:r>
            <w:r w:rsidR="004809F6">
              <w:rPr>
                <w:rFonts w:ascii="Calibri" w:hAnsi="Calibri" w:eastAsia="Times New Roman" w:cs="Calibri"/>
              </w:rPr>
              <w:t>July</w:t>
            </w:r>
            <w:r w:rsidRPr="006D6FEF">
              <w:rPr>
                <w:rFonts w:ascii="Calibri" w:hAnsi="Calibri" w:eastAsia="Times New Roman" w:cs="Calibri"/>
              </w:rPr>
              <w:t xml:space="preserve"> 2021. </w:t>
            </w:r>
          </w:p>
          <w:p w:rsidR="006D6FEF" w:rsidP="006D6FEF" w:rsidRDefault="006D6FEF" w14:paraId="539AA0AC" w14:textId="015B30A5">
            <w:pPr>
              <w:spacing w:after="0" w:line="240" w:lineRule="auto"/>
              <w:rPr>
                <w:rFonts w:ascii="Calibri" w:hAnsi="Calibri" w:eastAsia="Times New Roman" w:cs="Calibri"/>
              </w:rPr>
            </w:pPr>
          </w:p>
          <w:p w:rsidRPr="00F50320" w:rsidR="00F50320" w:rsidP="00F50320" w:rsidRDefault="00F50320" w14:paraId="488A781C" w14:textId="77777777">
            <w:pPr>
              <w:spacing w:after="0" w:line="240" w:lineRule="auto"/>
              <w:rPr>
                <w:rFonts w:ascii="Calibri" w:hAnsi="Calibri" w:eastAsia="Times New Roman" w:cs="Calibri"/>
              </w:rPr>
            </w:pPr>
            <w:r w:rsidRPr="00F50320">
              <w:rPr>
                <w:rFonts w:ascii="Calibri" w:hAnsi="Calibri" w:eastAsia="Times New Roman" w:cs="Calibri"/>
              </w:rPr>
              <w:t xml:space="preserve">For more information, please go to the following:  </w:t>
            </w:r>
          </w:p>
          <w:p w:rsidR="00F50320" w:rsidP="00F50320" w:rsidRDefault="00933421" w14:paraId="29091B9A" w14:textId="32456B59">
            <w:pPr>
              <w:pStyle w:val="ListParagraph"/>
              <w:numPr>
                <w:ilvl w:val="0"/>
                <w:numId w:val="4"/>
              </w:numPr>
              <w:spacing w:after="0" w:line="240" w:lineRule="auto"/>
              <w:rPr>
                <w:rFonts w:ascii="Calibri" w:hAnsi="Calibri" w:eastAsia="Times New Roman" w:cs="Calibri"/>
              </w:rPr>
            </w:pPr>
            <w:r w:rsidRPr="2230FAB8" w:rsidR="52407E11">
              <w:rPr>
                <w:rFonts w:ascii="Calibri" w:hAnsi="Calibri" w:eastAsia="Times New Roman" w:cs="Calibri"/>
              </w:rPr>
              <w:t>[</w:t>
            </w:r>
            <w:hyperlink r:id="Ra1865e87f9a04dda">
              <w:r w:rsidRPr="2230FAB8" w:rsidR="00F50320">
                <w:rPr>
                  <w:rStyle w:val="Hyperlink"/>
                  <w:rFonts w:ascii="Calibri" w:hAnsi="Calibri" w:eastAsia="Times New Roman" w:cs="Calibri"/>
                </w:rPr>
                <w:t>https://unstats.un.org/sdgs/indicators/database/</w:t>
              </w:r>
              <w:r w:rsidRPr="2230FAB8" w:rsidR="52407E11">
                <w:rPr>
                  <w:rStyle w:val="Hyperlink"/>
                  <w:rFonts w:ascii="Calibri" w:hAnsi="Calibri" w:eastAsia="Times New Roman" w:cs="Calibri"/>
                </w:rPr>
                <w:t>](</w:t>
              </w:r>
            </w:hyperlink>
            <w:hyperlink r:id="Rcc4a0a7debe644ca">
              <w:r w:rsidRPr="2230FAB8" w:rsidR="52407E11">
                <w:rPr>
                  <w:rStyle w:val="Hyperlink"/>
                  <w:rFonts w:ascii="Calibri" w:hAnsi="Calibri" w:eastAsia="Times New Roman" w:cs="Calibri"/>
                </w:rPr>
                <w:t>https://unstats.un.org/sdgs/indicators/database/)</w:t>
              </w:r>
            </w:hyperlink>
          </w:p>
          <w:p w:rsidRPr="00F50320" w:rsidR="00F50320" w:rsidP="00F50320" w:rsidRDefault="00F50320" w14:paraId="2265E5BD" w14:textId="57592563">
            <w:pPr>
              <w:pStyle w:val="ListParagraph"/>
              <w:numPr>
                <w:ilvl w:val="0"/>
                <w:numId w:val="4"/>
              </w:numPr>
              <w:spacing w:after="0" w:line="240" w:lineRule="auto"/>
              <w:rPr>
                <w:rFonts w:ascii="Calibri" w:hAnsi="Calibri" w:eastAsia="Times New Roman" w:cs="Calibri"/>
              </w:rPr>
            </w:pPr>
            <w:r w:rsidRPr="2230FAB8" w:rsidR="52407E11">
              <w:rPr>
                <w:rFonts w:ascii="Calibri" w:hAnsi="Calibri" w:eastAsia="Times New Roman" w:cs="Calibri"/>
              </w:rPr>
              <w:t>[</w:t>
            </w:r>
            <w:r w:rsidRPr="2230FAB8" w:rsidR="00F50320">
              <w:rPr>
                <w:rFonts w:ascii="Calibri" w:hAnsi="Calibri" w:eastAsia="Times New Roman" w:cs="Calibri"/>
              </w:rPr>
              <w:t>https://unstats.un.org/sdgs/metadata/files/Metadata-0</w:t>
            </w:r>
            <w:r w:rsidRPr="2230FAB8" w:rsidR="00F50320">
              <w:rPr>
                <w:rFonts w:ascii="Calibri" w:hAnsi="Calibri" w:eastAsia="Times New Roman" w:cs="Calibri"/>
              </w:rPr>
              <w:t>4</w:t>
            </w:r>
            <w:r w:rsidRPr="2230FAB8" w:rsidR="00F50320">
              <w:rPr>
                <w:rFonts w:ascii="Calibri" w:hAnsi="Calibri" w:eastAsia="Times New Roman" w:cs="Calibri"/>
              </w:rPr>
              <w:t>-0</w:t>
            </w:r>
            <w:r w:rsidRPr="2230FAB8" w:rsidR="00F50320">
              <w:rPr>
                <w:rFonts w:ascii="Calibri" w:hAnsi="Calibri" w:eastAsia="Times New Roman" w:cs="Calibri"/>
              </w:rPr>
              <w:t>1</w:t>
            </w:r>
            <w:r w:rsidRPr="2230FAB8" w:rsidR="00F50320">
              <w:rPr>
                <w:rFonts w:ascii="Calibri" w:hAnsi="Calibri" w:eastAsia="Times New Roman" w:cs="Calibri"/>
              </w:rPr>
              <w:t>-0</w:t>
            </w:r>
            <w:r w:rsidRPr="2230FAB8" w:rsidR="00CC229A">
              <w:rPr>
                <w:rFonts w:ascii="Calibri" w:hAnsi="Calibri" w:eastAsia="Times New Roman" w:cs="Calibri"/>
              </w:rPr>
              <w:t>2</w:t>
            </w:r>
            <w:r w:rsidRPr="2230FAB8" w:rsidR="00F50320">
              <w:rPr>
                <w:rFonts w:ascii="Calibri" w:hAnsi="Calibri" w:eastAsia="Times New Roman" w:cs="Calibri"/>
              </w:rPr>
              <w:t>.pdf</w:t>
            </w:r>
            <w:r w:rsidRPr="2230FAB8" w:rsidR="7F2D802B">
              <w:rPr>
                <w:rFonts w:ascii="Calibri" w:hAnsi="Calibri" w:eastAsia="Times New Roman" w:cs="Calibri"/>
              </w:rPr>
              <w:t>](https://unstats.un.org/sdgs/metadata/files/Metadata-04-01-02.pdf)</w:t>
            </w:r>
          </w:p>
          <w:p w:rsidRPr="00D02A76" w:rsidR="00D6407F" w:rsidP="006D6FEF" w:rsidRDefault="00D6407F" w14:paraId="2F1FE4D8" w14:textId="2D121D4C">
            <w:pPr>
              <w:spacing w:after="0" w:line="240" w:lineRule="auto"/>
              <w:rPr>
                <w:rFonts w:ascii="Calibri" w:hAnsi="Calibri" w:eastAsia="Times New Roman" w:cs="Calibri"/>
              </w:rPr>
            </w:pPr>
          </w:p>
        </w:tc>
      </w:tr>
    </w:tbl>
    <w:p w:rsidR="00C75328" w:rsidRDefault="00C75328" w14:paraId="49273048" w14:textId="77777777"/>
    <w:sectPr w:rsidR="00C75328" w:rsidSect="00F229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667DB" w:rsidP="00787566" w:rsidRDefault="00A667DB" w14:paraId="437DBE91" w14:textId="77777777">
      <w:pPr>
        <w:spacing w:after="0" w:line="240" w:lineRule="auto"/>
      </w:pPr>
      <w:r>
        <w:separator/>
      </w:r>
    </w:p>
  </w:endnote>
  <w:endnote w:type="continuationSeparator" w:id="0">
    <w:p w:rsidR="00A667DB" w:rsidP="00787566" w:rsidRDefault="00A667DB" w14:paraId="2E85E1A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667DB" w:rsidP="00787566" w:rsidRDefault="00A667DB" w14:paraId="10725A0B" w14:textId="77777777">
      <w:pPr>
        <w:spacing w:after="0" w:line="240" w:lineRule="auto"/>
      </w:pPr>
      <w:r>
        <w:separator/>
      </w:r>
    </w:p>
  </w:footnote>
  <w:footnote w:type="continuationSeparator" w:id="0">
    <w:p w:rsidR="00A667DB" w:rsidP="00787566" w:rsidRDefault="00A667DB" w14:paraId="0BF9DBD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E05615"/>
    <w:multiLevelType w:val="hybridMultilevel"/>
    <w:tmpl w:val="48A449A2"/>
    <w:lvl w:ilvl="0" w:tplc="2D8E2D20">
      <w:start w:val="1"/>
      <w:numFmt w:val="bullet"/>
      <w:lvlText w:val="-"/>
      <w:lvlJc w:val="left"/>
      <w:pPr>
        <w:ind w:left="720" w:hanging="360"/>
      </w:pPr>
      <w:rPr>
        <w:rFonts w:hint="default" w:ascii="Calibri" w:hAnsi="Calibri"/>
      </w:rPr>
    </w:lvl>
    <w:lvl w:ilvl="1" w:tplc="6EF082DE">
      <w:start w:val="1"/>
      <w:numFmt w:val="bullet"/>
      <w:lvlText w:val="o"/>
      <w:lvlJc w:val="left"/>
      <w:pPr>
        <w:ind w:left="1440" w:hanging="360"/>
      </w:pPr>
      <w:rPr>
        <w:rFonts w:hint="default" w:ascii="Courier New" w:hAnsi="Courier New"/>
      </w:rPr>
    </w:lvl>
    <w:lvl w:ilvl="2" w:tplc="230E30C0">
      <w:start w:val="1"/>
      <w:numFmt w:val="bullet"/>
      <w:lvlText w:val=""/>
      <w:lvlJc w:val="left"/>
      <w:pPr>
        <w:ind w:left="2160" w:hanging="360"/>
      </w:pPr>
      <w:rPr>
        <w:rFonts w:hint="default" w:ascii="Wingdings" w:hAnsi="Wingdings"/>
      </w:rPr>
    </w:lvl>
    <w:lvl w:ilvl="3" w:tplc="7B62E48E">
      <w:start w:val="1"/>
      <w:numFmt w:val="bullet"/>
      <w:lvlText w:val=""/>
      <w:lvlJc w:val="left"/>
      <w:pPr>
        <w:ind w:left="2880" w:hanging="360"/>
      </w:pPr>
      <w:rPr>
        <w:rFonts w:hint="default" w:ascii="Symbol" w:hAnsi="Symbol"/>
      </w:rPr>
    </w:lvl>
    <w:lvl w:ilvl="4" w:tplc="AAE46C6C">
      <w:start w:val="1"/>
      <w:numFmt w:val="bullet"/>
      <w:lvlText w:val="o"/>
      <w:lvlJc w:val="left"/>
      <w:pPr>
        <w:ind w:left="3600" w:hanging="360"/>
      </w:pPr>
      <w:rPr>
        <w:rFonts w:hint="default" w:ascii="Courier New" w:hAnsi="Courier New"/>
      </w:rPr>
    </w:lvl>
    <w:lvl w:ilvl="5" w:tplc="E7EA8582">
      <w:start w:val="1"/>
      <w:numFmt w:val="bullet"/>
      <w:lvlText w:val=""/>
      <w:lvlJc w:val="left"/>
      <w:pPr>
        <w:ind w:left="4320" w:hanging="360"/>
      </w:pPr>
      <w:rPr>
        <w:rFonts w:hint="default" w:ascii="Wingdings" w:hAnsi="Wingdings"/>
      </w:rPr>
    </w:lvl>
    <w:lvl w:ilvl="6" w:tplc="5FEC50F6">
      <w:start w:val="1"/>
      <w:numFmt w:val="bullet"/>
      <w:lvlText w:val=""/>
      <w:lvlJc w:val="left"/>
      <w:pPr>
        <w:ind w:left="5040" w:hanging="360"/>
      </w:pPr>
      <w:rPr>
        <w:rFonts w:hint="default" w:ascii="Symbol" w:hAnsi="Symbol"/>
      </w:rPr>
    </w:lvl>
    <w:lvl w:ilvl="7" w:tplc="53E84734">
      <w:start w:val="1"/>
      <w:numFmt w:val="bullet"/>
      <w:lvlText w:val="o"/>
      <w:lvlJc w:val="left"/>
      <w:pPr>
        <w:ind w:left="5760" w:hanging="360"/>
      </w:pPr>
      <w:rPr>
        <w:rFonts w:hint="default" w:ascii="Courier New" w:hAnsi="Courier New"/>
      </w:rPr>
    </w:lvl>
    <w:lvl w:ilvl="8" w:tplc="1FB23DAA">
      <w:start w:val="1"/>
      <w:numFmt w:val="bullet"/>
      <w:lvlText w:val=""/>
      <w:lvlJc w:val="left"/>
      <w:pPr>
        <w:ind w:left="6480" w:hanging="360"/>
      </w:pPr>
      <w:rPr>
        <w:rFonts w:hint="default" w:ascii="Wingdings" w:hAnsi="Wingdings"/>
      </w:rPr>
    </w:lvl>
  </w:abstractNum>
  <w:abstractNum w:abstractNumId="1" w15:restartNumberingAfterBreak="0">
    <w:nsid w:val="4A7B23AB"/>
    <w:multiLevelType w:val="hybridMultilevel"/>
    <w:tmpl w:val="1BE8E326"/>
    <w:lvl w:ilvl="0" w:tplc="EF16B7D0">
      <w:start w:val="1"/>
      <w:numFmt w:val="bullet"/>
      <w:lvlText w:val="-"/>
      <w:lvlJc w:val="left"/>
      <w:pPr>
        <w:ind w:left="720" w:hanging="360"/>
      </w:pPr>
      <w:rPr>
        <w:rFonts w:hint="default" w:ascii="Calibri" w:hAnsi="Calibri"/>
      </w:rPr>
    </w:lvl>
    <w:lvl w:ilvl="1" w:tplc="2B301392">
      <w:start w:val="1"/>
      <w:numFmt w:val="bullet"/>
      <w:lvlText w:val="o"/>
      <w:lvlJc w:val="left"/>
      <w:pPr>
        <w:ind w:left="1440" w:hanging="360"/>
      </w:pPr>
      <w:rPr>
        <w:rFonts w:hint="default" w:ascii="Courier New" w:hAnsi="Courier New"/>
      </w:rPr>
    </w:lvl>
    <w:lvl w:ilvl="2" w:tplc="3EA468BE">
      <w:start w:val="1"/>
      <w:numFmt w:val="bullet"/>
      <w:lvlText w:val=""/>
      <w:lvlJc w:val="left"/>
      <w:pPr>
        <w:ind w:left="2160" w:hanging="360"/>
      </w:pPr>
      <w:rPr>
        <w:rFonts w:hint="default" w:ascii="Wingdings" w:hAnsi="Wingdings"/>
      </w:rPr>
    </w:lvl>
    <w:lvl w:ilvl="3" w:tplc="9C141446">
      <w:start w:val="1"/>
      <w:numFmt w:val="bullet"/>
      <w:lvlText w:val=""/>
      <w:lvlJc w:val="left"/>
      <w:pPr>
        <w:ind w:left="2880" w:hanging="360"/>
      </w:pPr>
      <w:rPr>
        <w:rFonts w:hint="default" w:ascii="Symbol" w:hAnsi="Symbol"/>
      </w:rPr>
    </w:lvl>
    <w:lvl w:ilvl="4" w:tplc="1EA4EAF0">
      <w:start w:val="1"/>
      <w:numFmt w:val="bullet"/>
      <w:lvlText w:val="o"/>
      <w:lvlJc w:val="left"/>
      <w:pPr>
        <w:ind w:left="3600" w:hanging="360"/>
      </w:pPr>
      <w:rPr>
        <w:rFonts w:hint="default" w:ascii="Courier New" w:hAnsi="Courier New"/>
      </w:rPr>
    </w:lvl>
    <w:lvl w:ilvl="5" w:tplc="B17C825C">
      <w:start w:val="1"/>
      <w:numFmt w:val="bullet"/>
      <w:lvlText w:val=""/>
      <w:lvlJc w:val="left"/>
      <w:pPr>
        <w:ind w:left="4320" w:hanging="360"/>
      </w:pPr>
      <w:rPr>
        <w:rFonts w:hint="default" w:ascii="Wingdings" w:hAnsi="Wingdings"/>
      </w:rPr>
    </w:lvl>
    <w:lvl w:ilvl="6" w:tplc="87263C92">
      <w:start w:val="1"/>
      <w:numFmt w:val="bullet"/>
      <w:lvlText w:val=""/>
      <w:lvlJc w:val="left"/>
      <w:pPr>
        <w:ind w:left="5040" w:hanging="360"/>
      </w:pPr>
      <w:rPr>
        <w:rFonts w:hint="default" w:ascii="Symbol" w:hAnsi="Symbol"/>
      </w:rPr>
    </w:lvl>
    <w:lvl w:ilvl="7" w:tplc="36DAD15E">
      <w:start w:val="1"/>
      <w:numFmt w:val="bullet"/>
      <w:lvlText w:val="o"/>
      <w:lvlJc w:val="left"/>
      <w:pPr>
        <w:ind w:left="5760" w:hanging="360"/>
      </w:pPr>
      <w:rPr>
        <w:rFonts w:hint="default" w:ascii="Courier New" w:hAnsi="Courier New"/>
      </w:rPr>
    </w:lvl>
    <w:lvl w:ilvl="8" w:tplc="8DC64B68">
      <w:start w:val="1"/>
      <w:numFmt w:val="bullet"/>
      <w:lvlText w:val=""/>
      <w:lvlJc w:val="left"/>
      <w:pPr>
        <w:ind w:left="6480" w:hanging="360"/>
      </w:pPr>
      <w:rPr>
        <w:rFonts w:hint="default" w:ascii="Wingdings" w:hAnsi="Wingdings"/>
      </w:rPr>
    </w:lvl>
  </w:abstractNum>
  <w:abstractNum w:abstractNumId="2" w15:restartNumberingAfterBreak="0">
    <w:nsid w:val="5C451718"/>
    <w:multiLevelType w:val="hybridMultilevel"/>
    <w:tmpl w:val="B52ABFB0"/>
    <w:lvl w:ilvl="0" w:tplc="2B4C5A76">
      <w:start w:val="13"/>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A0D3340"/>
    <w:multiLevelType w:val="hybridMultilevel"/>
    <w:tmpl w:val="C69CECF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7E"/>
    <w:rsid w:val="00003798"/>
    <w:rsid w:val="000225C9"/>
    <w:rsid w:val="00030C2C"/>
    <w:rsid w:val="00047736"/>
    <w:rsid w:val="00073F30"/>
    <w:rsid w:val="00077405"/>
    <w:rsid w:val="000863B6"/>
    <w:rsid w:val="00090209"/>
    <w:rsid w:val="000A18F0"/>
    <w:rsid w:val="00182349"/>
    <w:rsid w:val="001A094D"/>
    <w:rsid w:val="001A3C2A"/>
    <w:rsid w:val="00205EC1"/>
    <w:rsid w:val="00211E24"/>
    <w:rsid w:val="00225ABA"/>
    <w:rsid w:val="00232EFB"/>
    <w:rsid w:val="002B48F1"/>
    <w:rsid w:val="00306AE0"/>
    <w:rsid w:val="00321393"/>
    <w:rsid w:val="00370639"/>
    <w:rsid w:val="003A7CF6"/>
    <w:rsid w:val="003D26C9"/>
    <w:rsid w:val="0043627E"/>
    <w:rsid w:val="004809F6"/>
    <w:rsid w:val="004913BC"/>
    <w:rsid w:val="0050145F"/>
    <w:rsid w:val="00522078"/>
    <w:rsid w:val="00556B0B"/>
    <w:rsid w:val="005677C9"/>
    <w:rsid w:val="00573D82"/>
    <w:rsid w:val="005D51CE"/>
    <w:rsid w:val="005D7D1C"/>
    <w:rsid w:val="00633FC6"/>
    <w:rsid w:val="006B68AF"/>
    <w:rsid w:val="006D6FEF"/>
    <w:rsid w:val="00705C5A"/>
    <w:rsid w:val="00706ABC"/>
    <w:rsid w:val="00710F87"/>
    <w:rsid w:val="00727FA3"/>
    <w:rsid w:val="007356D7"/>
    <w:rsid w:val="00735A84"/>
    <w:rsid w:val="00761B58"/>
    <w:rsid w:val="00787566"/>
    <w:rsid w:val="007D4EEA"/>
    <w:rsid w:val="007F2B7E"/>
    <w:rsid w:val="00822E79"/>
    <w:rsid w:val="00852102"/>
    <w:rsid w:val="00852ECC"/>
    <w:rsid w:val="00855DF5"/>
    <w:rsid w:val="008608EB"/>
    <w:rsid w:val="00872279"/>
    <w:rsid w:val="00927593"/>
    <w:rsid w:val="00933421"/>
    <w:rsid w:val="0097563A"/>
    <w:rsid w:val="009E2E27"/>
    <w:rsid w:val="00A02D14"/>
    <w:rsid w:val="00A12325"/>
    <w:rsid w:val="00A667DB"/>
    <w:rsid w:val="00AF6319"/>
    <w:rsid w:val="00B37051"/>
    <w:rsid w:val="00B4677F"/>
    <w:rsid w:val="00B46FBB"/>
    <w:rsid w:val="00B61075"/>
    <w:rsid w:val="00B66B47"/>
    <w:rsid w:val="00B938E3"/>
    <w:rsid w:val="00BA00FC"/>
    <w:rsid w:val="00BF5372"/>
    <w:rsid w:val="00C704BC"/>
    <w:rsid w:val="00C70B95"/>
    <w:rsid w:val="00C71FAD"/>
    <w:rsid w:val="00C75328"/>
    <w:rsid w:val="00C75BBA"/>
    <w:rsid w:val="00CC229A"/>
    <w:rsid w:val="00D31952"/>
    <w:rsid w:val="00D6407F"/>
    <w:rsid w:val="00D871FD"/>
    <w:rsid w:val="00DB547E"/>
    <w:rsid w:val="00E07C35"/>
    <w:rsid w:val="00E71787"/>
    <w:rsid w:val="00EC2A0E"/>
    <w:rsid w:val="00EE23C3"/>
    <w:rsid w:val="00EF1935"/>
    <w:rsid w:val="00F22912"/>
    <w:rsid w:val="00F32C83"/>
    <w:rsid w:val="00F50320"/>
    <w:rsid w:val="00F70CFC"/>
    <w:rsid w:val="00FD3202"/>
    <w:rsid w:val="00FE1B84"/>
    <w:rsid w:val="012A188E"/>
    <w:rsid w:val="0198D32A"/>
    <w:rsid w:val="0418E580"/>
    <w:rsid w:val="06986318"/>
    <w:rsid w:val="0760D754"/>
    <w:rsid w:val="0805609C"/>
    <w:rsid w:val="08CA1608"/>
    <w:rsid w:val="0A08D3D7"/>
    <w:rsid w:val="0A91F415"/>
    <w:rsid w:val="0BA34E76"/>
    <w:rsid w:val="0BBEA68E"/>
    <w:rsid w:val="0C80B2AB"/>
    <w:rsid w:val="0CB92A24"/>
    <w:rsid w:val="0D0B228B"/>
    <w:rsid w:val="115C2017"/>
    <w:rsid w:val="1310DF4E"/>
    <w:rsid w:val="17CC58E9"/>
    <w:rsid w:val="19CFFB34"/>
    <w:rsid w:val="1A86A2A8"/>
    <w:rsid w:val="201DD94A"/>
    <w:rsid w:val="206161EE"/>
    <w:rsid w:val="20952A57"/>
    <w:rsid w:val="20FC517B"/>
    <w:rsid w:val="2230FAB8"/>
    <w:rsid w:val="24349976"/>
    <w:rsid w:val="24B80ED1"/>
    <w:rsid w:val="2610E872"/>
    <w:rsid w:val="273271D1"/>
    <w:rsid w:val="2A749470"/>
    <w:rsid w:val="2BD29C17"/>
    <w:rsid w:val="2E66C205"/>
    <w:rsid w:val="2E789E1C"/>
    <w:rsid w:val="2F8D8949"/>
    <w:rsid w:val="302E54A2"/>
    <w:rsid w:val="3410B2BB"/>
    <w:rsid w:val="345EF1BD"/>
    <w:rsid w:val="398FA269"/>
    <w:rsid w:val="3C868EDA"/>
    <w:rsid w:val="3CAA9F34"/>
    <w:rsid w:val="3CEC1DC0"/>
    <w:rsid w:val="3EAEFAA5"/>
    <w:rsid w:val="407EF785"/>
    <w:rsid w:val="4232DF18"/>
    <w:rsid w:val="45FCA090"/>
    <w:rsid w:val="48AC27FD"/>
    <w:rsid w:val="48C3B289"/>
    <w:rsid w:val="503234E6"/>
    <w:rsid w:val="50BA5760"/>
    <w:rsid w:val="51048619"/>
    <w:rsid w:val="51F1753E"/>
    <w:rsid w:val="52407E11"/>
    <w:rsid w:val="54D89636"/>
    <w:rsid w:val="55D85319"/>
    <w:rsid w:val="581036F8"/>
    <w:rsid w:val="591C2B30"/>
    <w:rsid w:val="5A2ADE41"/>
    <w:rsid w:val="5AA5843C"/>
    <w:rsid w:val="5AB9236C"/>
    <w:rsid w:val="5B5D4A12"/>
    <w:rsid w:val="5D09839F"/>
    <w:rsid w:val="5ECE6604"/>
    <w:rsid w:val="61781DC9"/>
    <w:rsid w:val="62A23B61"/>
    <w:rsid w:val="6341BA1E"/>
    <w:rsid w:val="63DFBC95"/>
    <w:rsid w:val="66438651"/>
    <w:rsid w:val="695B466F"/>
    <w:rsid w:val="698144D9"/>
    <w:rsid w:val="6E508237"/>
    <w:rsid w:val="6F29DF25"/>
    <w:rsid w:val="6F7036DC"/>
    <w:rsid w:val="6FC1DCD3"/>
    <w:rsid w:val="6FFD11C9"/>
    <w:rsid w:val="72504E2E"/>
    <w:rsid w:val="72EE0B78"/>
    <w:rsid w:val="739AA931"/>
    <w:rsid w:val="75297B6F"/>
    <w:rsid w:val="76FA9E5B"/>
    <w:rsid w:val="7EE63462"/>
    <w:rsid w:val="7F2D802B"/>
    <w:rsid w:val="7F8E48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4DE85C"/>
  <w15:chartTrackingRefBased/>
  <w15:docId w15:val="{F7C4EDA5-BCE5-4C87-9813-A97EDB30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547E"/>
    <w:rPr>
      <w:rFonts w:eastAsiaTheme="minorHAnsi"/>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AF6319"/>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43627E"/>
    <w:rPr>
      <w:color w:val="605E5C"/>
      <w:shd w:val="clear" w:color="auto" w:fill="E1DFDD"/>
    </w:rPr>
  </w:style>
  <w:style w:type="character" w:styleId="PlaceholderText">
    <w:name w:val="Placeholder Text"/>
    <w:basedOn w:val="DefaultParagraphFont"/>
    <w:uiPriority w:val="99"/>
    <w:semiHidden/>
    <w:rsid w:val="00205EC1"/>
    <w:rPr>
      <w:color w:val="808080"/>
    </w:rPr>
  </w:style>
  <w:style w:type="paragraph" w:styleId="Header">
    <w:name w:val="header"/>
    <w:basedOn w:val="Normal"/>
    <w:link w:val="HeaderChar"/>
    <w:uiPriority w:val="99"/>
    <w:unhideWhenUsed/>
    <w:rsid w:val="00787566"/>
    <w:pPr>
      <w:tabs>
        <w:tab w:val="center" w:pos="4680"/>
        <w:tab w:val="right" w:pos="9360"/>
      </w:tabs>
      <w:spacing w:after="0" w:line="240" w:lineRule="auto"/>
    </w:pPr>
  </w:style>
  <w:style w:type="character" w:styleId="HeaderChar" w:customStyle="1">
    <w:name w:val="Header Char"/>
    <w:basedOn w:val="DefaultParagraphFont"/>
    <w:link w:val="Header"/>
    <w:uiPriority w:val="99"/>
    <w:rsid w:val="00787566"/>
    <w:rPr>
      <w:rFonts w:eastAsiaTheme="minorHAnsi"/>
      <w:lang w:eastAsia="en-US"/>
    </w:rPr>
  </w:style>
  <w:style w:type="paragraph" w:styleId="Footer">
    <w:name w:val="footer"/>
    <w:basedOn w:val="Normal"/>
    <w:link w:val="FooterChar"/>
    <w:uiPriority w:val="99"/>
    <w:unhideWhenUsed/>
    <w:rsid w:val="00787566"/>
    <w:pPr>
      <w:tabs>
        <w:tab w:val="center" w:pos="4680"/>
        <w:tab w:val="right" w:pos="9360"/>
      </w:tabs>
      <w:spacing w:after="0" w:line="240" w:lineRule="auto"/>
    </w:pPr>
  </w:style>
  <w:style w:type="character" w:styleId="FooterChar" w:customStyle="1">
    <w:name w:val="Footer Char"/>
    <w:basedOn w:val="DefaultParagraphFont"/>
    <w:link w:val="Footer"/>
    <w:uiPriority w:val="99"/>
    <w:rsid w:val="00787566"/>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unstats.un.org/sdgs/indicators/database/](" TargetMode="External" Id="Ra1865e87f9a04dda" /><Relationship Type="http://schemas.openxmlformats.org/officeDocument/2006/relationships/hyperlink" Target="https://unstats.un.org/sdgs/indicators/database/](" TargetMode="External" Id="Rcc4a0a7debe644c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4B28CE-2C9C-4227-A880-31DE5951AEF0}">
  <ds:schemaRefs>
    <ds:schemaRef ds:uri="http://schemas.microsoft.com/office/2006/metadata/properties"/>
    <ds:schemaRef ds:uri="http://schemas.microsoft.com/office/infopath/2007/PartnerControls"/>
    <ds:schemaRef ds:uri="3d137487-0b15-4ad9-abee-bf6b36a5a6e0"/>
  </ds:schemaRefs>
</ds:datastoreItem>
</file>

<file path=customXml/itemProps2.xml><?xml version="1.0" encoding="utf-8"?>
<ds:datastoreItem xmlns:ds="http://schemas.openxmlformats.org/officeDocument/2006/customXml" ds:itemID="{CFF375D6-FF4F-4A91-9AB3-DC33FAB0215B}">
  <ds:schemaRefs>
    <ds:schemaRef ds:uri="http://schemas.microsoft.com/sharepoint/v3/contenttype/forms"/>
  </ds:schemaRefs>
</ds:datastoreItem>
</file>

<file path=customXml/itemProps3.xml><?xml version="1.0" encoding="utf-8"?>
<ds:datastoreItem xmlns:ds="http://schemas.openxmlformats.org/officeDocument/2006/customXml" ds:itemID="{7069C281-7310-4B81-9EC1-AD3113D69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37487-0b15-4ad9-abee-bf6b36a5a6e0"/>
    <ds:schemaRef ds:uri="81cf108f-c583-47b3-8493-b6de3c823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Lingyan Hu</dc:creator>
  <keywords/>
  <dc:description/>
  <lastModifiedBy>Lingyan Hu</lastModifiedBy>
  <revision>67</revision>
  <dcterms:created xsi:type="dcterms:W3CDTF">2021-08-16T13:42:00.0000000Z</dcterms:created>
  <dcterms:modified xsi:type="dcterms:W3CDTF">2021-09-09T17:46:02.4382342Z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