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2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bottom w:w="15" w:type="dxa"/>
        </w:tblCellMar>
        <w:tblLook w:val="04A0" w:firstRow="1" w:lastRow="0" w:firstColumn="1" w:lastColumn="0" w:noHBand="0" w:noVBand="1"/>
      </w:tblPr>
      <w:tblGrid>
        <w:gridCol w:w="1632"/>
        <w:gridCol w:w="1021"/>
        <w:gridCol w:w="3019"/>
        <w:gridCol w:w="8551"/>
      </w:tblGrid>
      <w:tr w:rsidRPr="00D62F7E" w:rsidR="0046368A" w:rsidTr="3A98057D" w14:paraId="654227CF" w14:textId="77777777">
        <w:trPr>
          <w:trHeight w:val="250"/>
        </w:trPr>
        <w:tc>
          <w:tcPr>
            <w:tcW w:w="1632" w:type="dxa"/>
            <w:tcMar/>
          </w:tcPr>
          <w:p w:rsidR="0046368A" w:rsidP="00337A95" w:rsidRDefault="00265DC2" w14:paraId="2E5A0BBE" w14:textId="0DA78AFE">
            <w:pPr>
              <w:tabs>
                <w:tab w:val="left" w:pos="2375"/>
              </w:tabs>
              <w:rPr>
                <w:rFonts w:ascii="Calibri" w:hAnsi="Calibri" w:cs="Calibri"/>
              </w:rPr>
            </w:pPr>
            <w:r w:rsidRPr="00265DC2">
              <w:rPr>
                <w:rFonts w:ascii="Calibri" w:hAnsi="Calibri" w:cs="Calibri"/>
              </w:rPr>
              <w:t>INDICATOR_</w:t>
            </w:r>
            <w:r w:rsidR="009557B0">
              <w:rPr>
                <w:rFonts w:ascii="Calibri" w:hAnsi="Calibri" w:cs="Calibri"/>
              </w:rPr>
              <w:t>NUM</w:t>
            </w:r>
          </w:p>
        </w:tc>
        <w:tc>
          <w:tcPr>
            <w:tcW w:w="1021" w:type="dxa"/>
            <w:tcMar/>
          </w:tcPr>
          <w:p w:rsidR="0046368A" w:rsidP="00337A95" w:rsidRDefault="00F44F6C" w14:paraId="4F814426" w14:textId="1182629C">
            <w:pPr>
              <w:tabs>
                <w:tab w:val="left" w:pos="2375"/>
              </w:tabs>
              <w:rPr>
                <w:rFonts w:ascii="Calibri" w:hAnsi="Calibri" w:cs="Calibri"/>
              </w:rPr>
            </w:pPr>
            <w:r w:rsidRPr="00F44F6C">
              <w:rPr>
                <w:rFonts w:ascii="Calibri" w:hAnsi="Calibri" w:cs="Calibri"/>
              </w:rPr>
              <w:t>METADATA_CATEGORY</w:t>
            </w:r>
          </w:p>
        </w:tc>
        <w:tc>
          <w:tcPr>
            <w:tcW w:w="3019" w:type="dxa"/>
            <w:noWrap/>
            <w:tcMar/>
          </w:tcPr>
          <w:p w:rsidRPr="00BA7B91" w:rsidR="0046368A" w:rsidP="00337A95" w:rsidRDefault="00DC7F44" w14:paraId="2D2054A0" w14:textId="00C33338">
            <w:pPr>
              <w:tabs>
                <w:tab w:val="left" w:pos="2375"/>
              </w:tabs>
              <w:rPr>
                <w:rFonts w:ascii="Calibri" w:hAnsi="Calibri" w:cs="Calibri"/>
                <w:b w:val="0"/>
                <w:bCs w:val="0"/>
              </w:rPr>
            </w:pPr>
            <w:r w:rsidRPr="3A98057D" w:rsidR="00DC7F44">
              <w:rPr>
                <w:rFonts w:ascii="Calibri" w:hAnsi="Calibri" w:cs="Calibri"/>
                <w:b w:val="0"/>
                <w:bCs w:val="0"/>
              </w:rPr>
              <w:t>METADATA_CATEGORY_DESC</w:t>
            </w:r>
          </w:p>
        </w:tc>
        <w:tc>
          <w:tcPr>
            <w:tcW w:w="8551" w:type="dxa"/>
            <w:noWrap/>
            <w:tcMar/>
          </w:tcPr>
          <w:p w:rsidRPr="00E3565D" w:rsidR="0046368A" w:rsidP="00337A95" w:rsidRDefault="00BA7B91" w14:paraId="4C5B4A67" w14:textId="2365A5F4">
            <w:pPr>
              <w:tabs>
                <w:tab w:val="left" w:pos="2375"/>
              </w:tabs>
              <w:rPr>
                <w:rFonts w:ascii="Calibri" w:hAnsi="Calibri" w:cs="Calibri"/>
              </w:rPr>
            </w:pPr>
            <w:r w:rsidRPr="00BA7B91">
              <w:rPr>
                <w:rFonts w:ascii="Calibri" w:hAnsi="Calibri" w:cs="Calibri"/>
              </w:rPr>
              <w:t>METADATA_DESCRIPTION</w:t>
            </w:r>
          </w:p>
        </w:tc>
      </w:tr>
      <w:tr w:rsidRPr="00BF1066" w:rsidR="00EA5AB7" w:rsidTr="3A98057D" w14:paraId="48A9B2E1" w14:textId="77777777">
        <w:trPr>
          <w:trHeight w:val="250"/>
        </w:trPr>
        <w:tc>
          <w:tcPr>
            <w:tcW w:w="1632" w:type="dxa"/>
            <w:tcMar/>
          </w:tcPr>
          <w:p w:rsidR="00EA5AB7" w:rsidP="00337A95" w:rsidRDefault="009557B0" w14:paraId="50DF7516" w14:textId="41739B66">
            <w:pPr>
              <w:tabs>
                <w:tab w:val="left" w:pos="2375"/>
              </w:tabs>
              <w:rPr>
                <w:rFonts w:ascii="Calibri" w:hAnsi="Calibri" w:cs="Calibri"/>
              </w:rPr>
            </w:pPr>
            <w:r w:rsidRPr="009557B0">
              <w:rPr>
                <w:rFonts w:ascii="Calibri" w:hAnsi="Calibri" w:cs="Calibri"/>
              </w:rPr>
              <w:t>IV.</w:t>
            </w:r>
            <w:r w:rsidR="00BF1066">
              <w:rPr>
                <w:rFonts w:ascii="Calibri" w:hAnsi="Calibri" w:cs="Calibri"/>
              </w:rPr>
              <w:t>3</w:t>
            </w:r>
          </w:p>
        </w:tc>
        <w:tc>
          <w:tcPr>
            <w:tcW w:w="1021" w:type="dxa"/>
            <w:tcMar/>
          </w:tcPr>
          <w:p w:rsidRPr="00E3565D" w:rsidR="00EA5AB7" w:rsidP="00337A95" w:rsidRDefault="00EA5AB7" w14:paraId="66D5FA3B" w14:textId="4B2B22B6">
            <w:pPr>
              <w:tabs>
                <w:tab w:val="left" w:pos="2375"/>
              </w:tabs>
              <w:rPr>
                <w:rFonts w:ascii="Calibri" w:hAnsi="Calibri" w:cs="Calibri"/>
              </w:rPr>
            </w:pPr>
            <w:r>
              <w:rPr>
                <w:rFonts w:ascii="Calibri" w:hAnsi="Calibri" w:cs="Calibri"/>
              </w:rPr>
              <w:t>1</w:t>
            </w:r>
          </w:p>
        </w:tc>
        <w:tc>
          <w:tcPr>
            <w:tcW w:w="3019" w:type="dxa"/>
            <w:noWrap/>
            <w:tcMar/>
            <w:hideMark/>
          </w:tcPr>
          <w:p w:rsidRPr="00C7034F" w:rsidR="00EA5AB7" w:rsidP="3A98057D" w:rsidRDefault="00EA5AB7" w14:paraId="3FFDA9EE" w14:textId="45A505A2">
            <w:pPr>
              <w:tabs>
                <w:tab w:val="left" w:pos="2375"/>
              </w:tabs>
              <w:rPr>
                <w:rFonts w:ascii="Calibri" w:hAnsi="Calibri" w:cs="Calibri"/>
                <w:b w:val="0"/>
                <w:bCs w:val="0"/>
              </w:rPr>
            </w:pPr>
            <w:r w:rsidRPr="3A98057D" w:rsidR="00EA5AB7">
              <w:rPr>
                <w:rFonts w:ascii="Calibri" w:hAnsi="Calibri" w:cs="Calibri"/>
                <w:b w:val="0"/>
                <w:bCs w:val="0"/>
              </w:rPr>
              <w:t>Contact point in international agency</w:t>
            </w:r>
          </w:p>
        </w:tc>
        <w:tc>
          <w:tcPr>
            <w:tcW w:w="8551" w:type="dxa"/>
            <w:noWrap/>
            <w:tcMar/>
          </w:tcPr>
          <w:p w:rsidRPr="00BF1066" w:rsidR="00BF1066" w:rsidP="00BF1066" w:rsidRDefault="00BF1066" w14:paraId="23071D0A" w14:textId="77777777">
            <w:pPr>
              <w:tabs>
                <w:tab w:val="left" w:pos="2375"/>
              </w:tabs>
              <w:spacing w:after="0"/>
              <w:rPr>
                <w:rFonts w:ascii="Calibri" w:hAnsi="Calibri" w:cs="Calibri"/>
              </w:rPr>
            </w:pPr>
            <w:r w:rsidRPr="00BF1066">
              <w:rPr>
                <w:rFonts w:ascii="Calibri" w:hAnsi="Calibri" w:cs="Calibri"/>
              </w:rPr>
              <w:t xml:space="preserve">Steven </w:t>
            </w:r>
            <w:proofErr w:type="spellStart"/>
            <w:r w:rsidRPr="00BF1066">
              <w:rPr>
                <w:rFonts w:ascii="Calibri" w:hAnsi="Calibri" w:cs="Calibri"/>
              </w:rPr>
              <w:t>Kapsos</w:t>
            </w:r>
            <w:proofErr w:type="spellEnd"/>
          </w:p>
          <w:p w:rsidRPr="00BF1066" w:rsidR="00BF1066" w:rsidP="00BF1066" w:rsidRDefault="00BF1066" w14:paraId="6F3A6ACC" w14:textId="4D58E773">
            <w:pPr>
              <w:tabs>
                <w:tab w:val="left" w:pos="2375"/>
              </w:tabs>
              <w:spacing w:after="0"/>
              <w:rPr>
                <w:rFonts w:ascii="Calibri" w:hAnsi="Calibri" w:cs="Calibri"/>
              </w:rPr>
            </w:pPr>
            <w:r w:rsidRPr="00BF1066">
              <w:rPr>
                <w:rFonts w:ascii="Calibri" w:hAnsi="Calibri" w:cs="Calibri"/>
              </w:rPr>
              <w:t>Head of the Data Production and Analysis Unit</w:t>
            </w:r>
          </w:p>
          <w:p w:rsidRPr="00BF1066" w:rsidR="00BF1066" w:rsidP="00BF1066" w:rsidRDefault="00BF1066" w14:paraId="22B68B64" w14:textId="7B91FE86">
            <w:pPr>
              <w:tabs>
                <w:tab w:val="left" w:pos="2375"/>
              </w:tabs>
              <w:spacing w:after="0"/>
              <w:rPr>
                <w:rFonts w:ascii="Calibri" w:hAnsi="Calibri" w:cs="Calibri"/>
              </w:rPr>
            </w:pPr>
            <w:r w:rsidRPr="00BF1066">
              <w:rPr>
                <w:rFonts w:ascii="Calibri" w:hAnsi="Calibri" w:cs="Calibri"/>
              </w:rPr>
              <w:t>ILO</w:t>
            </w:r>
          </w:p>
          <w:p w:rsidRPr="00BF1066" w:rsidR="00BF1066" w:rsidP="3A98057D" w:rsidRDefault="00BF1066" w14:paraId="2F200C98" w14:textId="4FC06389">
            <w:pPr>
              <w:pStyle w:val="Standard"/>
              <w:tabs>
                <w:tab w:val="left" w:pos="2375"/>
              </w:tabs>
              <w:spacing w:after="0"/>
              <w:rPr>
                <w:rFonts w:ascii="Calibri" w:hAnsi="Calibri" w:cs="Calibri"/>
              </w:rPr>
            </w:pPr>
            <w:r w:rsidRPr="3A98057D" w:rsidR="59D8DA5C">
              <w:rPr>
                <w:rFonts w:ascii="Calibri" w:hAnsi="Calibri" w:cs="Calibri"/>
              </w:rPr>
              <w:t>[</w:t>
            </w:r>
            <w:hyperlink r:id="R043ead969e284a0f">
              <w:r w:rsidRPr="3A98057D" w:rsidR="00BF1066">
                <w:rPr>
                  <w:rStyle w:val="Hyperlink"/>
                  <w:rFonts w:ascii="Calibri" w:hAnsi="Calibri" w:cs="Calibri"/>
                </w:rPr>
                <w:t>kapsos@ilo.org</w:t>
              </w:r>
              <w:r w:rsidRPr="3A98057D" w:rsidR="6EA1FA4C">
                <w:rPr>
                  <w:rStyle w:val="Hyperlink"/>
                  <w:rFonts w:ascii="Calibri" w:hAnsi="Calibri" w:cs="Calibri"/>
                </w:rPr>
                <w:t>](mailto:</w:t>
              </w:r>
            </w:hyperlink>
            <w:hyperlink r:id="Rd9babd66081f4c6a">
              <w:r w:rsidRPr="3A98057D" w:rsidR="6EA1FA4C">
                <w:rPr>
                  <w:rStyle w:val="Hyperlink"/>
                  <w:rFonts w:ascii="Calibri" w:hAnsi="Calibri" w:cs="Calibri"/>
                </w:rPr>
                <w:t>kapsos@ilo.org)</w:t>
              </w:r>
            </w:hyperlink>
            <w:r w:rsidRPr="3A98057D" w:rsidR="00BF1066">
              <w:rPr>
                <w:rFonts w:ascii="Calibri" w:hAnsi="Calibri" w:cs="Calibri"/>
              </w:rPr>
              <w:t xml:space="preserve"> </w:t>
            </w:r>
          </w:p>
          <w:p w:rsidRPr="00BF1066" w:rsidR="00B54149" w:rsidP="3A98057D" w:rsidRDefault="00BF1066" w14:paraId="016CDEBD" w14:textId="630F3E61">
            <w:pPr>
              <w:pStyle w:val="Standard"/>
              <w:tabs>
                <w:tab w:val="left" w:pos="2375"/>
              </w:tabs>
              <w:spacing w:after="0"/>
              <w:rPr>
                <w:rFonts w:ascii="Calibri" w:hAnsi="Calibri" w:cs="Calibri"/>
              </w:rPr>
            </w:pPr>
            <w:r w:rsidRPr="3A98057D" w:rsidR="4A7FF42D">
              <w:rPr>
                <w:rFonts w:ascii="Calibri" w:hAnsi="Calibri" w:cs="Calibri"/>
              </w:rPr>
              <w:t>[</w:t>
            </w:r>
            <w:hyperlink r:id="R2f45aa8d8eef4086">
              <w:r w:rsidRPr="3A98057D" w:rsidR="00BF1066">
                <w:rPr>
                  <w:rStyle w:val="Hyperlink"/>
                  <w:rFonts w:ascii="Calibri" w:hAnsi="Calibri" w:cs="Calibri"/>
                </w:rPr>
                <w:t>www.ilo.org/ilostat</w:t>
              </w:r>
              <w:r w:rsidRPr="3A98057D" w:rsidR="714033BB">
                <w:rPr>
                  <w:rStyle w:val="Hyperlink"/>
                  <w:rFonts w:ascii="Calibri" w:hAnsi="Calibri" w:cs="Calibri"/>
                </w:rPr>
                <w:t>](</w:t>
              </w:r>
            </w:hyperlink>
            <w:hyperlink r:id="R6052ff12fc2041c1">
              <w:r w:rsidRPr="3A98057D" w:rsidR="714033BB">
                <w:rPr>
                  <w:rStyle w:val="Hyperlink"/>
                  <w:rFonts w:ascii="Calibri" w:hAnsi="Calibri" w:cs="Calibri"/>
                </w:rPr>
                <w:t>www.ilo.org/ilostat)</w:t>
              </w:r>
            </w:hyperlink>
            <w:r w:rsidRPr="3A98057D" w:rsidR="00BF1066">
              <w:rPr>
                <w:rFonts w:ascii="Calibri" w:hAnsi="Calibri" w:cs="Calibri"/>
              </w:rPr>
              <w:t xml:space="preserve"> </w:t>
            </w:r>
          </w:p>
        </w:tc>
      </w:tr>
      <w:tr w:rsidRPr="00D62F7E" w:rsidR="00EA5AB7" w:rsidTr="3A98057D" w14:paraId="7F5DEEBE" w14:textId="77777777">
        <w:trPr>
          <w:trHeight w:val="1325"/>
        </w:trPr>
        <w:tc>
          <w:tcPr>
            <w:tcW w:w="1632" w:type="dxa"/>
            <w:tcMar/>
          </w:tcPr>
          <w:p w:rsidR="00EA5AB7" w:rsidP="0C407909" w:rsidRDefault="009557B0" w14:noSpellErr="1" w14:paraId="31CC3A65" w14:textId="41739B66">
            <w:pPr>
              <w:tabs>
                <w:tab w:val="left" w:pos="2375"/>
              </w:tabs>
              <w:rPr>
                <w:rFonts w:ascii="Calibri" w:hAnsi="Calibri" w:cs="Calibri"/>
              </w:rPr>
            </w:pPr>
            <w:r w:rsidRPr="0C407909" w:rsidR="3C44BBDD">
              <w:rPr>
                <w:rFonts w:ascii="Calibri" w:hAnsi="Calibri" w:cs="Calibri"/>
              </w:rPr>
              <w:t>IV.3</w:t>
            </w:r>
          </w:p>
          <w:p w:rsidR="00EA5AB7" w:rsidP="0C407909" w:rsidRDefault="009557B0" w14:paraId="1321C3BC" w14:textId="55DE0ADB">
            <w:pPr>
              <w:pStyle w:val="Standard"/>
              <w:tabs>
                <w:tab w:val="left" w:pos="2375"/>
              </w:tabs>
              <w:rPr>
                <w:rFonts w:ascii="Calibri" w:hAnsi="Calibri" w:cs="Calibri"/>
              </w:rPr>
            </w:pPr>
          </w:p>
        </w:tc>
        <w:tc>
          <w:tcPr>
            <w:tcW w:w="1021" w:type="dxa"/>
            <w:tcMar/>
          </w:tcPr>
          <w:p w:rsidRPr="00E3565D" w:rsidR="00EA5AB7" w:rsidP="00337A95" w:rsidRDefault="00EA5AB7" w14:paraId="6AA92561" w14:textId="2C60A835">
            <w:pPr>
              <w:tabs>
                <w:tab w:val="left" w:pos="2375"/>
              </w:tabs>
              <w:rPr>
                <w:rFonts w:ascii="Calibri" w:hAnsi="Calibri" w:cs="Calibri"/>
              </w:rPr>
            </w:pPr>
            <w:r>
              <w:rPr>
                <w:rFonts w:ascii="Calibri" w:hAnsi="Calibri" w:cs="Calibri"/>
              </w:rPr>
              <w:t>2</w:t>
            </w:r>
          </w:p>
        </w:tc>
        <w:tc>
          <w:tcPr>
            <w:tcW w:w="3019" w:type="dxa"/>
            <w:noWrap/>
            <w:tcMar/>
            <w:hideMark/>
          </w:tcPr>
          <w:p w:rsidRPr="00C7034F" w:rsidR="00EA5AB7" w:rsidP="3A98057D" w:rsidRDefault="00EA5AB7" w14:paraId="314040C0" w14:textId="39ED963B">
            <w:pPr>
              <w:tabs>
                <w:tab w:val="left" w:pos="2375"/>
              </w:tabs>
              <w:rPr>
                <w:rFonts w:ascii="Calibri" w:hAnsi="Calibri" w:cs="Calibri"/>
                <w:b w:val="0"/>
                <w:bCs w:val="0"/>
              </w:rPr>
            </w:pPr>
            <w:r w:rsidRPr="3A98057D" w:rsidR="00EA5AB7">
              <w:rPr>
                <w:rFonts w:ascii="Calibri" w:hAnsi="Calibri" w:cs="Calibri"/>
                <w:b w:val="0"/>
                <w:bCs w:val="0"/>
              </w:rPr>
              <w:t>International agreed definition</w:t>
            </w:r>
          </w:p>
        </w:tc>
        <w:tc>
          <w:tcPr>
            <w:tcW w:w="8551" w:type="dxa"/>
            <w:tcMar/>
          </w:tcPr>
          <w:p w:rsidR="00EA5AB7" w:rsidP="352FA3AC" w:rsidRDefault="00BF1066" w14:paraId="4E365360" w14:textId="7AFFE96E">
            <w:pPr>
              <w:tabs>
                <w:tab w:val="left" w:pos="2375"/>
              </w:tabs>
              <w:rPr>
                <w:rFonts w:ascii="Calibri" w:hAnsi="Calibri" w:cs="Calibri"/>
              </w:rPr>
            </w:pPr>
            <w:r w:rsidRPr="3A98057D" w:rsidR="2AA91E76">
              <w:rPr>
                <w:rFonts w:ascii="Calibri" w:hAnsi="Calibri" w:cs="Calibri"/>
                <w:b w:val="0"/>
                <w:bCs w:val="0"/>
              </w:rPr>
              <w:t>**</w:t>
            </w:r>
            <w:r w:rsidRPr="3A98057D" w:rsidR="00BF1066">
              <w:rPr>
                <w:rFonts w:ascii="Calibri" w:hAnsi="Calibri" w:cs="Calibri"/>
                <w:b w:val="0"/>
                <w:bCs w:val="0"/>
              </w:rPr>
              <w:t>Definition</w:t>
            </w:r>
            <w:r w:rsidRPr="3A98057D" w:rsidR="73D70EB2">
              <w:rPr>
                <w:rFonts w:ascii="Calibri" w:hAnsi="Calibri" w:cs="Calibri"/>
                <w:b w:val="0"/>
                <w:bCs w:val="0"/>
              </w:rPr>
              <w:t>**</w:t>
            </w:r>
            <w:r>
              <w:br/>
            </w:r>
            <w:r w:rsidRPr="3A98057D" w:rsidR="00BF1066">
              <w:rPr>
                <w:rFonts w:ascii="Calibri" w:hAnsi="Calibri" w:cs="Calibri"/>
              </w:rPr>
              <w:t xml:space="preserve">This indicator refers to the proportion of females in the total number of persons employed in managerial positions. It is recommended to use two different measures jointly for this indicator: the share of females in </w:t>
            </w:r>
            <w:r w:rsidRPr="3A98057D" w:rsidR="79519221">
              <w:rPr>
                <w:rFonts w:ascii="Calibri" w:hAnsi="Calibri" w:cs="Calibri"/>
              </w:rPr>
              <w:t>\</w:t>
            </w:r>
            <w:r w:rsidRPr="3A98057D" w:rsidR="00BF1066">
              <w:rPr>
                <w:rFonts w:ascii="Calibri" w:hAnsi="Calibri" w:cs="Calibri"/>
              </w:rPr>
              <w:t>(total</w:t>
            </w:r>
            <w:r w:rsidRPr="3A98057D" w:rsidR="43DF3C54">
              <w:rPr>
                <w:rFonts w:ascii="Calibri" w:hAnsi="Calibri" w:cs="Calibri"/>
              </w:rPr>
              <w:t>\</w:t>
            </w:r>
            <w:r w:rsidRPr="3A98057D" w:rsidR="00BF1066">
              <w:rPr>
                <w:rFonts w:ascii="Calibri" w:hAnsi="Calibri" w:cs="Calibri"/>
              </w:rPr>
              <w:t xml:space="preserve">) management and the share of females in senior and middle management </w:t>
            </w:r>
            <w:r w:rsidRPr="3A98057D" w:rsidR="1F44DF58">
              <w:rPr>
                <w:rFonts w:ascii="Calibri" w:hAnsi="Calibri" w:cs="Calibri"/>
              </w:rPr>
              <w:t>\</w:t>
            </w:r>
            <w:r w:rsidRPr="3A98057D" w:rsidR="00BF1066">
              <w:rPr>
                <w:rFonts w:ascii="Calibri" w:hAnsi="Calibri" w:cs="Calibri"/>
              </w:rPr>
              <w:t>(thus excluding junior management</w:t>
            </w:r>
            <w:r w:rsidRPr="3A98057D" w:rsidR="5FB3318A">
              <w:rPr>
                <w:rFonts w:ascii="Calibri" w:hAnsi="Calibri" w:cs="Calibri"/>
              </w:rPr>
              <w:t>\</w:t>
            </w:r>
            <w:r w:rsidRPr="3A98057D" w:rsidR="00BF1066">
              <w:rPr>
                <w:rFonts w:ascii="Calibri" w:hAnsi="Calibri" w:cs="Calibri"/>
              </w:rPr>
              <w:t xml:space="preserve">).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w:t>
            </w:r>
            <w:r w:rsidRPr="3A98057D" w:rsidR="249767AB">
              <w:rPr>
                <w:rFonts w:ascii="Calibri" w:hAnsi="Calibri" w:cs="Calibri"/>
              </w:rPr>
              <w:t>\</w:t>
            </w:r>
            <w:r w:rsidRPr="3A98057D" w:rsidR="00BF1066">
              <w:rPr>
                <w:rFonts w:ascii="Calibri" w:hAnsi="Calibri" w:cs="Calibri"/>
              </w:rPr>
              <w:t>(total</w:t>
            </w:r>
            <w:r w:rsidRPr="3A98057D" w:rsidR="05B6AA4F">
              <w:rPr>
                <w:rFonts w:ascii="Calibri" w:hAnsi="Calibri" w:cs="Calibri"/>
              </w:rPr>
              <w:t>\</w:t>
            </w:r>
            <w:r w:rsidRPr="3A98057D" w:rsidR="00BF1066">
              <w:rPr>
                <w:rFonts w:ascii="Calibri" w:hAnsi="Calibri" w:cs="Calibri"/>
              </w:rPr>
              <w:t xml:space="preserve">) management would be misleading, in that it would suggest that women hold positions with more decision-making power and responsibilities than they </w:t>
            </w:r>
            <w:proofErr w:type="gramStart"/>
            <w:r w:rsidRPr="3A98057D" w:rsidR="00BF1066">
              <w:rPr>
                <w:rFonts w:ascii="Calibri" w:hAnsi="Calibri" w:cs="Calibri"/>
              </w:rPr>
              <w:t>actually do</w:t>
            </w:r>
            <w:proofErr w:type="gramEnd"/>
            <w:r w:rsidRPr="3A98057D" w:rsidR="00BF1066">
              <w:rPr>
                <w:rFonts w:ascii="Calibri" w:hAnsi="Calibri" w:cs="Calibri"/>
              </w:rPr>
              <w:t>.</w:t>
            </w:r>
          </w:p>
          <w:p w:rsidR="45DD2056" w:rsidP="45DD2056" w:rsidRDefault="45DD2056" w14:paraId="26F39146" w14:textId="023A3282">
            <w:pPr>
              <w:pStyle w:val="Standard"/>
              <w:tabs>
                <w:tab w:val="left" w:leader="none" w:pos="2375"/>
              </w:tabs>
              <w:rPr>
                <w:rFonts w:ascii="Calibri" w:hAnsi="Calibri" w:cs="Calibri"/>
              </w:rPr>
            </w:pPr>
          </w:p>
          <w:p w:rsidRPr="00B746C3" w:rsidR="00BF1066" w:rsidP="352FA3AC" w:rsidRDefault="00BF1066" w14:paraId="0900D0FB" w14:textId="259584DA">
            <w:pPr>
              <w:tabs>
                <w:tab w:val="left" w:pos="2375"/>
              </w:tabs>
              <w:rPr>
                <w:rFonts w:ascii="Calibri" w:hAnsi="Calibri" w:cs="Calibri"/>
              </w:rPr>
            </w:pPr>
            <w:r w:rsidRPr="3A98057D" w:rsidR="7B79628F">
              <w:rPr>
                <w:rFonts w:ascii="Calibri" w:hAnsi="Calibri" w:cs="Calibri"/>
                <w:b w:val="0"/>
                <w:bCs w:val="0"/>
              </w:rPr>
              <w:t>**</w:t>
            </w:r>
            <w:r w:rsidRPr="3A98057D" w:rsidR="00BF1066">
              <w:rPr>
                <w:rFonts w:ascii="Calibri" w:hAnsi="Calibri" w:cs="Calibri"/>
                <w:b w:val="0"/>
                <w:bCs w:val="0"/>
              </w:rPr>
              <w:t>Concepts</w:t>
            </w:r>
            <w:r w:rsidRPr="3A98057D" w:rsidR="790C230C">
              <w:rPr>
                <w:rFonts w:ascii="Calibri" w:hAnsi="Calibri" w:cs="Calibri"/>
                <w:b w:val="0"/>
                <w:bCs w:val="0"/>
              </w:rPr>
              <w:t>**</w:t>
            </w:r>
            <w:r>
              <w:br/>
            </w:r>
            <w:r w:rsidRPr="3A98057D" w:rsidR="00BF1066">
              <w:rPr>
                <w:rFonts w:ascii="Calibri" w:hAnsi="Calibri" w:cs="Calibri"/>
              </w:rPr>
              <w:t xml:space="preserve">Employment comprises all persons of working age who, during a short reference period </w:t>
            </w:r>
            <w:proofErr w:type="gramStart"/>
            <w:r w:rsidRPr="3A98057D" w:rsidR="28233016">
              <w:rPr>
                <w:rFonts w:ascii="Calibri" w:hAnsi="Calibri" w:cs="Calibri"/>
              </w:rPr>
              <w:t>\</w:t>
            </w:r>
            <w:r w:rsidRPr="3A98057D" w:rsidR="00BF1066">
              <w:rPr>
                <w:rFonts w:ascii="Calibri" w:hAnsi="Calibri" w:cs="Calibri"/>
              </w:rPr>
              <w:t>(</w:t>
            </w:r>
            <w:proofErr w:type="gramEnd"/>
            <w:r w:rsidRPr="3A98057D" w:rsidR="00BF1066">
              <w:rPr>
                <w:rFonts w:ascii="Calibri" w:hAnsi="Calibri" w:cs="Calibri"/>
              </w:rPr>
              <w:t>one week</w:t>
            </w:r>
            <w:r w:rsidRPr="3A98057D" w:rsidR="167E44ED">
              <w:rPr>
                <w:rFonts w:ascii="Calibri" w:hAnsi="Calibri" w:cs="Calibri"/>
              </w:rPr>
              <w:t>\</w:t>
            </w:r>
            <w:r w:rsidRPr="3A98057D" w:rsidR="00BF1066">
              <w:rPr>
                <w:rFonts w:ascii="Calibri" w:hAnsi="Calibri" w:cs="Calibri"/>
              </w:rPr>
              <w:t xml:space="preserve">), were engaged in any activity to produce goods or provide services for pay or profit. - Employment in management is determined according to the categories of the latest version of the International Standard Classification of Occupations </w:t>
            </w:r>
            <w:r w:rsidRPr="3A98057D" w:rsidR="2908F276">
              <w:rPr>
                <w:rFonts w:ascii="Calibri" w:hAnsi="Calibri" w:cs="Calibri"/>
              </w:rPr>
              <w:t>\</w:t>
            </w:r>
            <w:r w:rsidRPr="3A98057D" w:rsidR="00BF1066">
              <w:rPr>
                <w:rFonts w:ascii="Calibri" w:hAnsi="Calibri" w:cs="Calibri"/>
              </w:rPr>
              <w:t>(ISCO-08</w:t>
            </w:r>
            <w:r w:rsidRPr="3A98057D" w:rsidR="7B63C321">
              <w:rPr>
                <w:rFonts w:ascii="Calibri" w:hAnsi="Calibri" w:cs="Calibri"/>
              </w:rPr>
              <w:t>\</w:t>
            </w:r>
            <w:r w:rsidRPr="3A98057D" w:rsidR="00BF1066">
              <w:rPr>
                <w:rFonts w:ascii="Calibri" w:hAnsi="Calibri" w:cs="Calibri"/>
              </w:rPr>
              <w:t xml:space="preserve">), which organizes jobs into a clearly defined set of groups based on the tasks and duties undertaken in the job. </w:t>
            </w:r>
            <w:r w:rsidRPr="3A98057D" w:rsidR="00BF1066">
              <w:rPr>
                <w:rFonts w:ascii="Calibri" w:hAnsi="Calibri" w:cs="Calibri"/>
              </w:rPr>
              <w:t>For the purpose of</w:t>
            </w:r>
            <w:r w:rsidRPr="3A98057D" w:rsidR="00BF1066">
              <w:rPr>
                <w:rFonts w:ascii="Calibri" w:hAnsi="Calibri" w:cs="Calibri"/>
              </w:rPr>
              <w:t xml:space="preserve"> this indicator, it is preferable to refer separately to senior and middle management only, and to total management </w:t>
            </w:r>
            <w:proofErr w:type="gramStart"/>
            <w:r w:rsidRPr="3A98057D" w:rsidR="658D08CF">
              <w:rPr>
                <w:rFonts w:ascii="Calibri" w:hAnsi="Calibri" w:cs="Calibri"/>
              </w:rPr>
              <w:t>\</w:t>
            </w:r>
            <w:r w:rsidRPr="3A98057D" w:rsidR="00BF1066">
              <w:rPr>
                <w:rFonts w:ascii="Calibri" w:hAnsi="Calibri" w:cs="Calibri"/>
              </w:rPr>
              <w:t>(</w:t>
            </w:r>
            <w:proofErr w:type="gramEnd"/>
            <w:r w:rsidRPr="3A98057D" w:rsidR="00BF1066">
              <w:rPr>
                <w:rFonts w:ascii="Calibri" w:hAnsi="Calibri" w:cs="Calibri"/>
              </w:rPr>
              <w:t>including junior management</w:t>
            </w:r>
            <w:r w:rsidRPr="3A98057D" w:rsidR="2E683DCF">
              <w:rPr>
                <w:rFonts w:ascii="Calibri" w:hAnsi="Calibri" w:cs="Calibri"/>
              </w:rPr>
              <w:t>\</w:t>
            </w:r>
            <w:r w:rsidRPr="3A98057D" w:rsidR="00BF1066">
              <w:rPr>
                <w:rFonts w:ascii="Calibri" w:hAnsi="Calibri" w:cs="Calibri"/>
              </w:rPr>
              <w:t>). The share of women tends to be higher in junior management than in senior and middle management, so limiting the indicator to a measure including junior management may introduce bias. Senior and middle management correspond to sub-major groups 11, 12 and 13 in ISCO-08 and sub-</w:t>
            </w:r>
            <w:r w:rsidRPr="3A98057D" w:rsidR="00BF1066">
              <w:rPr>
                <w:rFonts w:ascii="Calibri" w:hAnsi="Calibri" w:cs="Calibri"/>
              </w:rPr>
              <w:t xml:space="preserve">major groups 11 and 12 in ISCO-88. If statistics are not available disaggregated at the sub-major group level </w:t>
            </w:r>
            <w:r w:rsidRPr="3A98057D" w:rsidR="7596FE4D">
              <w:rPr>
                <w:rFonts w:ascii="Calibri" w:hAnsi="Calibri" w:cs="Calibri"/>
              </w:rPr>
              <w:t>\</w:t>
            </w:r>
            <w:r w:rsidRPr="3A98057D" w:rsidR="00BF1066">
              <w:rPr>
                <w:rFonts w:ascii="Calibri" w:hAnsi="Calibri" w:cs="Calibri"/>
              </w:rPr>
              <w:t>(two-digit level of ISCO</w:t>
            </w:r>
            <w:r w:rsidRPr="3A98057D" w:rsidR="4E726852">
              <w:rPr>
                <w:rFonts w:ascii="Calibri" w:hAnsi="Calibri" w:cs="Calibri"/>
              </w:rPr>
              <w:t>\</w:t>
            </w:r>
            <w:r w:rsidRPr="3A98057D" w:rsidR="00BF1066">
              <w:rPr>
                <w:rFonts w:ascii="Calibri" w:hAnsi="Calibri" w:cs="Calibri"/>
              </w:rPr>
              <w:t xml:space="preserve">), then major group 1 of ISCO-88 and ISCO-08 can be used as a proxy and the indicator would then refer only to total management </w:t>
            </w:r>
            <w:r w:rsidRPr="3A98057D" w:rsidR="7FDE8FA8">
              <w:rPr>
                <w:rFonts w:ascii="Calibri" w:hAnsi="Calibri" w:cs="Calibri"/>
              </w:rPr>
              <w:t>\</w:t>
            </w:r>
            <w:r w:rsidRPr="3A98057D" w:rsidR="00BF1066">
              <w:rPr>
                <w:rFonts w:ascii="Calibri" w:hAnsi="Calibri" w:cs="Calibri"/>
              </w:rPr>
              <w:t>(</w:t>
            </w:r>
            <w:r w:rsidRPr="3A98057D" w:rsidR="00BF1066">
              <w:rPr>
                <w:rFonts w:ascii="Calibri" w:hAnsi="Calibri" w:cs="Calibri"/>
              </w:rPr>
              <w:t>including junior management</w:t>
            </w:r>
            <w:r w:rsidRPr="3A98057D" w:rsidR="3157B676">
              <w:rPr>
                <w:rFonts w:ascii="Calibri" w:hAnsi="Calibri" w:cs="Calibri"/>
              </w:rPr>
              <w:t>\</w:t>
            </w:r>
            <w:r w:rsidRPr="3A98057D" w:rsidR="00BF1066">
              <w:rPr>
                <w:rFonts w:ascii="Calibri" w:hAnsi="Calibri" w:cs="Calibri"/>
              </w:rPr>
              <w:t>).</w:t>
            </w:r>
          </w:p>
        </w:tc>
      </w:tr>
      <w:tr w:rsidRPr="00D62F7E" w:rsidR="00EA5AB7" w:rsidTr="3A98057D" w14:paraId="2DE24CC4" w14:textId="77777777">
        <w:trPr>
          <w:trHeight w:val="456"/>
        </w:trPr>
        <w:tc>
          <w:tcPr>
            <w:tcW w:w="1632" w:type="dxa"/>
            <w:tcMar/>
          </w:tcPr>
          <w:p w:rsidR="00EA5AB7" w:rsidP="0C407909" w:rsidRDefault="009557B0" w14:noSpellErr="1" w14:paraId="7378322B" w14:textId="41739B66">
            <w:pPr>
              <w:tabs>
                <w:tab w:val="left" w:pos="2375"/>
              </w:tabs>
              <w:rPr>
                <w:rFonts w:ascii="Calibri" w:hAnsi="Calibri" w:cs="Calibri"/>
              </w:rPr>
            </w:pPr>
            <w:r w:rsidRPr="0C407909" w:rsidR="66D47E8F">
              <w:rPr>
                <w:rFonts w:ascii="Calibri" w:hAnsi="Calibri" w:cs="Calibri"/>
              </w:rPr>
              <w:t>IV.3</w:t>
            </w:r>
          </w:p>
          <w:p w:rsidR="00EA5AB7" w:rsidP="0C407909" w:rsidRDefault="009557B0" w14:paraId="3B13D6B9" w14:textId="413EFBFA">
            <w:pPr>
              <w:pStyle w:val="Standard"/>
              <w:tabs>
                <w:tab w:val="left" w:pos="2375"/>
              </w:tabs>
              <w:rPr>
                <w:rFonts w:ascii="Calibri" w:hAnsi="Calibri" w:cs="Calibri"/>
              </w:rPr>
            </w:pPr>
          </w:p>
        </w:tc>
        <w:tc>
          <w:tcPr>
            <w:tcW w:w="1021" w:type="dxa"/>
            <w:tcMar/>
          </w:tcPr>
          <w:p w:rsidRPr="00E3565D" w:rsidR="00EA5AB7" w:rsidP="00337A95" w:rsidRDefault="00EA5AB7" w14:paraId="437CBF44" w14:textId="1B6CE181">
            <w:pPr>
              <w:tabs>
                <w:tab w:val="left" w:pos="2375"/>
              </w:tabs>
              <w:rPr>
                <w:rFonts w:ascii="Calibri" w:hAnsi="Calibri" w:cs="Calibri"/>
              </w:rPr>
            </w:pPr>
            <w:r>
              <w:rPr>
                <w:rFonts w:ascii="Calibri" w:hAnsi="Calibri" w:cs="Calibri"/>
              </w:rPr>
              <w:t>3</w:t>
            </w:r>
          </w:p>
        </w:tc>
        <w:tc>
          <w:tcPr>
            <w:tcW w:w="3019" w:type="dxa"/>
            <w:noWrap/>
            <w:tcMar/>
            <w:hideMark/>
          </w:tcPr>
          <w:p w:rsidRPr="00C7034F" w:rsidR="00EA5AB7" w:rsidP="3A98057D" w:rsidRDefault="00EA5AB7" w14:paraId="519CECC1" w14:textId="760BF32B">
            <w:pPr>
              <w:tabs>
                <w:tab w:val="left" w:pos="2375"/>
              </w:tabs>
              <w:rPr>
                <w:rFonts w:ascii="Calibri" w:hAnsi="Calibri" w:cs="Calibri"/>
                <w:b w:val="0"/>
                <w:bCs w:val="0"/>
              </w:rPr>
            </w:pPr>
            <w:r w:rsidRPr="3A98057D" w:rsidR="00EA5AB7">
              <w:rPr>
                <w:rFonts w:ascii="Calibri" w:hAnsi="Calibri" w:cs="Calibri"/>
                <w:b w:val="0"/>
                <w:bCs w:val="0"/>
              </w:rPr>
              <w:t>Method of computation</w:t>
            </w:r>
          </w:p>
        </w:tc>
        <w:tc>
          <w:tcPr>
            <w:tcW w:w="8551" w:type="dxa"/>
            <w:noWrap/>
            <w:tcMar/>
          </w:tcPr>
          <w:p w:rsidRPr="00AE3261" w:rsidR="00EA5AB7" w:rsidP="3A98057D" w:rsidRDefault="00BF1066" w14:paraId="0F8BD633" w14:textId="373E2E98">
            <w:pPr>
              <w:tabs>
                <w:tab w:val="left" w:pos="2375"/>
              </w:tabs>
              <w:rPr>
                <w:rFonts w:ascii="Calibri" w:hAnsi="Calibri" w:cs="Calibri"/>
                <w:b w:val="0"/>
                <w:bCs w:val="0"/>
              </w:rPr>
            </w:pPr>
            <w:r w:rsidRPr="3A98057D" w:rsidR="2DD54D1B">
              <w:rPr>
                <w:rFonts w:ascii="Calibri" w:hAnsi="Calibri" w:cs="Calibri"/>
                <w:b w:val="0"/>
                <w:bCs w:val="0"/>
              </w:rPr>
              <w:t>**</w:t>
            </w:r>
            <w:r w:rsidRPr="3A98057D" w:rsidR="00BF1066">
              <w:rPr>
                <w:rFonts w:ascii="Calibri" w:hAnsi="Calibri" w:cs="Calibri"/>
                <w:b w:val="0"/>
                <w:bCs w:val="0"/>
              </w:rPr>
              <w:t>Using ISCO-08</w:t>
            </w:r>
            <w:r w:rsidRPr="3A98057D" w:rsidR="07455B72">
              <w:rPr>
                <w:rFonts w:ascii="Calibri" w:hAnsi="Calibri" w:cs="Calibri"/>
                <w:b w:val="0"/>
                <w:bCs w:val="0"/>
              </w:rPr>
              <w:t>**</w:t>
            </w:r>
          </w:p>
          <w:p w:rsidR="45DD2056" w:rsidP="3A98057D" w:rsidRDefault="45DD2056" w14:paraId="36F07778" w14:textId="7A373FC8">
            <w:pPr>
              <w:tabs>
                <w:tab w:val="left" w:leader="none" w:pos="2375"/>
              </w:tabs>
              <w:rPr>
                <w:rFonts w:ascii="Calibri" w:hAnsi="Calibri" w:cs="Calibri"/>
              </w:rPr>
            </w:pPr>
            <w:r w:rsidRPr="3A98057D" w:rsidR="00BF1066">
              <w:rPr>
                <w:rFonts w:ascii="Calibri" w:hAnsi="Calibri" w:cs="Calibri"/>
              </w:rPr>
              <w:t>Proportion of women in senior and middle management</w:t>
            </w:r>
            <w:r w:rsidRPr="3A98057D" w:rsidR="00BF1066">
              <w:rPr>
                <w:rFonts w:ascii="Calibri" w:hAnsi="Calibri" w:cs="Calibri"/>
              </w:rPr>
              <w:t xml:space="preserve"> = {</w:t>
            </w:r>
            <w:proofErr w:type="gramStart"/>
            <w:r w:rsidRPr="3A98057D" w:rsidR="0D27BFB4">
              <w:rPr>
                <w:rFonts w:ascii="Calibri" w:hAnsi="Calibri" w:cs="Calibri"/>
              </w:rPr>
              <w:t>\</w:t>
            </w:r>
            <w:r w:rsidRPr="3A98057D" w:rsidR="00BF1066">
              <w:rPr>
                <w:rFonts w:ascii="Calibri" w:hAnsi="Calibri" w:cs="Calibri"/>
              </w:rPr>
              <w:t>(</w:t>
            </w:r>
            <w:proofErr w:type="gramEnd"/>
            <w:r w:rsidRPr="3A98057D" w:rsidR="00AE3261">
              <w:rPr>
                <w:rFonts w:ascii="Calibri" w:hAnsi="Calibri" w:cs="Calibri"/>
              </w:rPr>
              <w:t>Women employed in ISCO 08 category 1− Women employed in ISCO 08 category 14</w:t>
            </w:r>
            <w:r w:rsidRPr="3A98057D" w:rsidR="6AFF2E3C">
              <w:rPr>
                <w:rFonts w:ascii="Calibri" w:hAnsi="Calibri" w:cs="Calibri"/>
              </w:rPr>
              <w:t>\</w:t>
            </w:r>
            <w:r w:rsidRPr="3A98057D" w:rsidR="00AE3261">
              <w:rPr>
                <w:rFonts w:ascii="Calibri" w:hAnsi="Calibri" w:cs="Calibri"/>
              </w:rPr>
              <w:t>)</w:t>
            </w:r>
            <w:r w:rsidRPr="3A98057D" w:rsidR="00AE3261">
              <w:rPr>
                <w:rFonts w:ascii="Calibri" w:hAnsi="Calibri" w:cs="Calibri"/>
              </w:rPr>
              <w:t xml:space="preserve"> / </w:t>
            </w:r>
            <w:proofErr w:type="gramStart"/>
            <w:r w:rsidRPr="3A98057D" w:rsidR="6C9C150F">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Persons employed in ISCO 08 category 1 − Persons employed in ISCO 08 category 14</w:t>
            </w:r>
            <w:r w:rsidRPr="3A98057D" w:rsidR="3BF5EB44">
              <w:rPr>
                <w:rFonts w:ascii="Calibri" w:hAnsi="Calibri" w:cs="Calibri"/>
              </w:rPr>
              <w:t>\</w:t>
            </w:r>
            <w:r w:rsidRPr="3A98057D" w:rsidR="00AE3261">
              <w:rPr>
                <w:rFonts w:ascii="Calibri" w:hAnsi="Calibri" w:cs="Calibri"/>
              </w:rPr>
              <w:t>)</w:t>
            </w:r>
            <w:r w:rsidRPr="3A98057D" w:rsidR="00AE3261">
              <w:rPr>
                <w:rFonts w:ascii="Calibri" w:hAnsi="Calibri" w:cs="Calibri"/>
              </w:rPr>
              <w:t>} x 100</w:t>
            </w:r>
          </w:p>
          <w:p w:rsidR="3A98057D" w:rsidP="3A98057D" w:rsidRDefault="3A98057D" w14:paraId="7AC62887" w14:textId="656D59E5">
            <w:pPr>
              <w:pStyle w:val="Standard"/>
              <w:tabs>
                <w:tab w:val="left" w:leader="none" w:pos="2375"/>
              </w:tabs>
              <w:rPr>
                <w:rFonts w:ascii="Calibri" w:hAnsi="Calibri" w:cs="Calibri"/>
              </w:rPr>
            </w:pPr>
          </w:p>
          <w:p w:rsidR="00AE3261" w:rsidP="3A98057D" w:rsidRDefault="00AE3261" w14:paraId="1B7CB10F" w14:textId="6D05DBC7">
            <w:pPr>
              <w:tabs>
                <w:tab w:val="left" w:leader="none" w:pos="2375"/>
              </w:tabs>
              <w:spacing w:after="120"/>
              <w:rPr>
                <w:rFonts w:ascii="Calibri" w:hAnsi="Calibri" w:cs="Calibri"/>
              </w:rPr>
            </w:pPr>
            <w:r w:rsidRPr="3A98057D" w:rsidR="00AE3261">
              <w:rPr>
                <w:rFonts w:ascii="Calibri" w:hAnsi="Calibri" w:cs="Calibri"/>
              </w:rPr>
              <w:t xml:space="preserve">Which can be also expressed as: </w:t>
            </w:r>
          </w:p>
          <w:p w:rsidR="00AE3261" w:rsidP="3A98057D" w:rsidRDefault="00AE3261" w14:paraId="6B5E77D4" w14:textId="62CE8FF9">
            <w:pPr>
              <w:tabs>
                <w:tab w:val="left" w:leader="none" w:pos="2375"/>
              </w:tabs>
              <w:spacing w:after="120"/>
              <w:rPr>
                <w:rFonts w:ascii="Calibri" w:hAnsi="Calibri" w:cs="Calibri"/>
              </w:rPr>
            </w:pPr>
            <w:r w:rsidRPr="3A98057D" w:rsidR="00AE3261">
              <w:rPr>
                <w:rFonts w:ascii="Calibri" w:hAnsi="Calibri" w:cs="Calibri"/>
              </w:rPr>
              <w:t>Proportion of women in senior and middle management</w:t>
            </w:r>
            <w:r w:rsidRPr="3A98057D" w:rsidR="00AE3261">
              <w:rPr>
                <w:rFonts w:ascii="Calibri" w:hAnsi="Calibri" w:cs="Calibri"/>
              </w:rPr>
              <w:t xml:space="preserve"> = {</w:t>
            </w:r>
            <w:proofErr w:type="gramStart"/>
            <w:r w:rsidRPr="3A98057D" w:rsidR="6697CE0A">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Women employed in ISCO 08 categories 11+ 12+13</w:t>
            </w:r>
            <w:r w:rsidRPr="3A98057D" w:rsidR="02E8547A">
              <w:rPr>
                <w:rFonts w:ascii="Calibri" w:hAnsi="Calibri" w:cs="Calibri"/>
              </w:rPr>
              <w:t>\</w:t>
            </w:r>
            <w:r w:rsidRPr="3A98057D" w:rsidR="00AE3261">
              <w:rPr>
                <w:rFonts w:ascii="Calibri" w:hAnsi="Calibri" w:cs="Calibri"/>
              </w:rPr>
              <w:t>)</w:t>
            </w:r>
            <w:r w:rsidRPr="3A98057D" w:rsidR="00AE3261">
              <w:rPr>
                <w:rFonts w:ascii="Calibri" w:hAnsi="Calibri" w:cs="Calibri"/>
              </w:rPr>
              <w:t xml:space="preserve"> / </w:t>
            </w:r>
            <w:proofErr w:type="gramStart"/>
            <w:r w:rsidRPr="3A98057D" w:rsidR="20256EBC">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Persons employed in ISCO 08 categories 11+12+13</w:t>
            </w:r>
            <w:r w:rsidRPr="3A98057D" w:rsidR="0DCC3019">
              <w:rPr>
                <w:rFonts w:ascii="Calibri" w:hAnsi="Calibri" w:cs="Calibri"/>
              </w:rPr>
              <w:t>\</w:t>
            </w:r>
            <w:r w:rsidRPr="3A98057D" w:rsidR="00AE3261">
              <w:rPr>
                <w:rFonts w:ascii="Calibri" w:hAnsi="Calibri" w:cs="Calibri"/>
              </w:rPr>
              <w:t>)</w:t>
            </w:r>
            <w:r w:rsidRPr="3A98057D" w:rsidR="00AE3261">
              <w:rPr>
                <w:rFonts w:ascii="Calibri" w:hAnsi="Calibri" w:cs="Calibri"/>
              </w:rPr>
              <w:t>}</w:t>
            </w:r>
            <w:r w:rsidRPr="3A98057D" w:rsidR="00AE3261">
              <w:rPr>
                <w:rFonts w:ascii="Calibri" w:hAnsi="Calibri" w:cs="Calibri"/>
              </w:rPr>
              <w:t xml:space="preserve"> ×100</w:t>
            </w:r>
          </w:p>
          <w:p w:rsidR="3A98057D" w:rsidP="3A98057D" w:rsidRDefault="3A98057D" w14:paraId="53B0201B" w14:textId="3C7F9D98">
            <w:pPr>
              <w:pStyle w:val="Standard"/>
              <w:tabs>
                <w:tab w:val="left" w:leader="none" w:pos="2375"/>
              </w:tabs>
              <w:spacing w:after="120"/>
              <w:rPr>
                <w:rFonts w:ascii="Calibri" w:hAnsi="Calibri" w:cs="Calibri"/>
              </w:rPr>
            </w:pPr>
          </w:p>
          <w:p w:rsidR="00AE3261" w:rsidP="3A98057D" w:rsidRDefault="00AE3261" w14:paraId="11DA3E8D" w14:textId="1964D295">
            <w:pPr>
              <w:tabs>
                <w:tab w:val="left" w:leader="none" w:pos="2375"/>
              </w:tabs>
              <w:spacing w:after="120"/>
              <w:rPr>
                <w:rFonts w:ascii="Calibri" w:hAnsi="Calibri" w:cs="Calibri"/>
              </w:rPr>
            </w:pPr>
            <w:r w:rsidRPr="3A98057D" w:rsidR="00AE3261">
              <w:rPr>
                <w:rFonts w:ascii="Calibri" w:hAnsi="Calibri" w:cs="Calibri"/>
              </w:rPr>
              <w:t xml:space="preserve">And </w:t>
            </w:r>
          </w:p>
          <w:p w:rsidR="00AE3261" w:rsidP="00AE3261" w:rsidRDefault="00AE3261" w14:paraId="66FF3A87" w14:textId="0EDF12D9">
            <w:pPr>
              <w:tabs>
                <w:tab w:val="left" w:pos="2375"/>
              </w:tabs>
              <w:spacing w:after="120"/>
              <w:rPr>
                <w:rFonts w:ascii="Calibri" w:hAnsi="Calibri" w:cs="Calibri"/>
              </w:rPr>
            </w:pPr>
            <w:r w:rsidRPr="3A98057D" w:rsidR="00AE3261">
              <w:rPr>
                <w:rFonts w:ascii="Calibri" w:hAnsi="Calibri" w:cs="Calibri"/>
              </w:rPr>
              <w:t>Proportion of women in management</w:t>
            </w:r>
            <w:r w:rsidRPr="3A98057D" w:rsidR="00AE3261">
              <w:rPr>
                <w:rFonts w:ascii="Calibri" w:hAnsi="Calibri" w:cs="Calibri"/>
              </w:rPr>
              <w:t xml:space="preserve"> </w:t>
            </w:r>
            <w:r w:rsidRPr="3A98057D" w:rsidR="00AE3261">
              <w:rPr>
                <w:rFonts w:ascii="Calibri" w:hAnsi="Calibri" w:cs="Calibri"/>
              </w:rPr>
              <w:t xml:space="preserve">= </w:t>
            </w:r>
            <w:proofErr w:type="gramStart"/>
            <w:r w:rsidRPr="3A98057D" w:rsidR="52333B49">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Women employed in ISCO 08 category 1</w:t>
            </w:r>
            <w:r w:rsidRPr="3A98057D" w:rsidR="00AE3261">
              <w:rPr>
                <w:rFonts w:ascii="Calibri" w:hAnsi="Calibri" w:cs="Calibri"/>
              </w:rPr>
              <w:t xml:space="preserve"> / </w:t>
            </w:r>
            <w:r w:rsidRPr="3A98057D" w:rsidR="00AE3261">
              <w:rPr>
                <w:rFonts w:ascii="Calibri" w:hAnsi="Calibri" w:cs="Calibri"/>
              </w:rPr>
              <w:t>Persons employed in ISCO 08 category 1</w:t>
            </w:r>
            <w:r w:rsidRPr="3A98057D" w:rsidR="1B00CD28">
              <w:rPr>
                <w:rFonts w:ascii="Calibri" w:hAnsi="Calibri" w:cs="Calibri"/>
              </w:rPr>
              <w:t>\</w:t>
            </w:r>
            <w:r w:rsidRPr="3A98057D" w:rsidR="00AE3261">
              <w:rPr>
                <w:rFonts w:ascii="Calibri" w:hAnsi="Calibri" w:cs="Calibri"/>
              </w:rPr>
              <w:t>)</w:t>
            </w:r>
            <w:r w:rsidRPr="3A98057D" w:rsidR="00AE3261">
              <w:rPr>
                <w:rFonts w:ascii="Calibri" w:hAnsi="Calibri" w:cs="Calibri"/>
              </w:rPr>
              <w:t xml:space="preserve"> ×100</w:t>
            </w:r>
          </w:p>
          <w:p w:rsidR="3A98057D" w:rsidP="3A98057D" w:rsidRDefault="3A98057D" w14:paraId="63CAA86A" w14:textId="1101CF64">
            <w:pPr>
              <w:pStyle w:val="Standard"/>
              <w:tabs>
                <w:tab w:val="left" w:leader="none" w:pos="2375"/>
              </w:tabs>
              <w:spacing w:after="120"/>
              <w:rPr>
                <w:rFonts w:ascii="Calibri" w:hAnsi="Calibri" w:cs="Calibri"/>
              </w:rPr>
            </w:pPr>
          </w:p>
          <w:p w:rsidRPr="00AE3261" w:rsidR="00AE3261" w:rsidP="3A98057D" w:rsidRDefault="00AE3261" w14:paraId="7D243EC0" w14:textId="4B1C9E4D">
            <w:pPr>
              <w:tabs>
                <w:tab w:val="left" w:pos="2375"/>
              </w:tabs>
              <w:spacing w:before="240" w:after="120"/>
              <w:rPr>
                <w:rFonts w:ascii="Calibri" w:hAnsi="Calibri" w:cs="Calibri"/>
                <w:b w:val="0"/>
                <w:bCs w:val="0"/>
              </w:rPr>
            </w:pPr>
            <w:r w:rsidRPr="3A98057D" w:rsidR="69C3FCAF">
              <w:rPr>
                <w:rFonts w:ascii="Calibri" w:hAnsi="Calibri" w:cs="Calibri"/>
                <w:b w:val="0"/>
                <w:bCs w:val="0"/>
              </w:rPr>
              <w:t>**</w:t>
            </w:r>
            <w:r w:rsidRPr="3A98057D" w:rsidR="00AE3261">
              <w:rPr>
                <w:rFonts w:ascii="Calibri" w:hAnsi="Calibri" w:cs="Calibri"/>
                <w:b w:val="0"/>
                <w:bCs w:val="0"/>
              </w:rPr>
              <w:t>Using ISCO-</w:t>
            </w:r>
            <w:r w:rsidRPr="3A98057D" w:rsidR="00AE3261">
              <w:rPr>
                <w:rFonts w:ascii="Calibri" w:hAnsi="Calibri" w:cs="Calibri"/>
                <w:b w:val="0"/>
                <w:bCs w:val="0"/>
              </w:rPr>
              <w:t>8</w:t>
            </w:r>
            <w:r w:rsidRPr="3A98057D" w:rsidR="00AE3261">
              <w:rPr>
                <w:rFonts w:ascii="Calibri" w:hAnsi="Calibri" w:cs="Calibri"/>
                <w:b w:val="0"/>
                <w:bCs w:val="0"/>
              </w:rPr>
              <w:t>8</w:t>
            </w:r>
            <w:r w:rsidRPr="3A98057D" w:rsidR="378D9318">
              <w:rPr>
                <w:rFonts w:ascii="Calibri" w:hAnsi="Calibri" w:cs="Calibri"/>
                <w:b w:val="0"/>
                <w:bCs w:val="0"/>
              </w:rPr>
              <w:t>**</w:t>
            </w:r>
          </w:p>
          <w:p w:rsidR="00AE3261" w:rsidP="00AE3261" w:rsidRDefault="00AE3261" w14:paraId="5FF03CE6" w14:textId="7FCCF0EB">
            <w:pPr>
              <w:tabs>
                <w:tab w:val="left" w:pos="2375"/>
              </w:tabs>
              <w:spacing w:after="120"/>
              <w:rPr>
                <w:rFonts w:ascii="Calibri" w:hAnsi="Calibri" w:cs="Calibri"/>
              </w:rPr>
            </w:pPr>
            <w:r w:rsidRPr="3A98057D" w:rsidR="00AE3261">
              <w:rPr>
                <w:rFonts w:ascii="Calibri" w:hAnsi="Calibri" w:cs="Calibri"/>
              </w:rPr>
              <w:t>Proportion of women in senior and middle management</w:t>
            </w:r>
            <w:r w:rsidRPr="3A98057D" w:rsidR="00AE3261">
              <w:rPr>
                <w:rFonts w:ascii="Calibri" w:hAnsi="Calibri" w:cs="Calibri"/>
              </w:rPr>
              <w:t xml:space="preserve"> </w:t>
            </w:r>
            <w:r w:rsidRPr="3A98057D" w:rsidR="00AE3261">
              <w:rPr>
                <w:rFonts w:ascii="Calibri" w:hAnsi="Calibri" w:cs="Calibri"/>
              </w:rPr>
              <w:t xml:space="preserve">= </w:t>
            </w:r>
            <w:r w:rsidRPr="3A98057D" w:rsidR="00AE3261">
              <w:rPr>
                <w:rFonts w:ascii="Calibri" w:hAnsi="Calibri" w:cs="Calibri"/>
              </w:rPr>
              <w:t>{</w:t>
            </w:r>
            <w:proofErr w:type="gramStart"/>
            <w:r w:rsidRPr="3A98057D" w:rsidR="4AE47229">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Women employed in ISCO 88 category 1 – Women employed in ISCO 88 category 13</w:t>
            </w:r>
            <w:r w:rsidRPr="3A98057D" w:rsidR="4447D6EF">
              <w:rPr>
                <w:rFonts w:ascii="Calibri" w:hAnsi="Calibri" w:cs="Calibri"/>
              </w:rPr>
              <w:t>\</w:t>
            </w:r>
            <w:r w:rsidRPr="3A98057D" w:rsidR="00AE3261">
              <w:rPr>
                <w:rFonts w:ascii="Calibri" w:hAnsi="Calibri" w:cs="Calibri"/>
              </w:rPr>
              <w:t>)</w:t>
            </w:r>
            <w:r w:rsidRPr="3A98057D" w:rsidR="00AE3261">
              <w:rPr>
                <w:rFonts w:ascii="Calibri" w:hAnsi="Calibri" w:cs="Calibri"/>
              </w:rPr>
              <w:t xml:space="preserve"> / </w:t>
            </w:r>
            <w:proofErr w:type="gramStart"/>
            <w:r w:rsidRPr="3A98057D" w:rsidR="3185ADE2">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Persons employed in ISCO 88 category 1 − Persons employed in ISCO 88 category 13</w:t>
            </w:r>
            <w:r w:rsidRPr="3A98057D" w:rsidR="5D83AE1F">
              <w:rPr>
                <w:rFonts w:ascii="Calibri" w:hAnsi="Calibri" w:cs="Calibri"/>
              </w:rPr>
              <w:t>\</w:t>
            </w:r>
            <w:r w:rsidRPr="3A98057D" w:rsidR="00AE3261">
              <w:rPr>
                <w:rFonts w:ascii="Calibri" w:hAnsi="Calibri" w:cs="Calibri"/>
              </w:rPr>
              <w:t>)</w:t>
            </w:r>
            <w:r w:rsidRPr="3A98057D" w:rsidR="00AE3261">
              <w:rPr>
                <w:rFonts w:ascii="Calibri" w:hAnsi="Calibri" w:cs="Calibri"/>
              </w:rPr>
              <w:t>}</w:t>
            </w:r>
            <w:r w:rsidRPr="3A98057D" w:rsidR="00AE3261">
              <w:rPr>
                <w:rFonts w:ascii="Calibri" w:hAnsi="Calibri" w:cs="Calibri"/>
              </w:rPr>
              <w:t xml:space="preserve"> ×100 </w:t>
            </w:r>
          </w:p>
          <w:p w:rsidR="3A98057D" w:rsidP="3A98057D" w:rsidRDefault="3A98057D" w14:paraId="6C9235DF" w14:textId="73C30BD7">
            <w:pPr>
              <w:pStyle w:val="Standard"/>
              <w:tabs>
                <w:tab w:val="left" w:leader="none" w:pos="2375"/>
              </w:tabs>
              <w:spacing w:after="120"/>
              <w:rPr>
                <w:rFonts w:ascii="Calibri" w:hAnsi="Calibri" w:cs="Calibri"/>
              </w:rPr>
            </w:pPr>
          </w:p>
          <w:p w:rsidR="00AE3261" w:rsidP="00AE3261" w:rsidRDefault="00AE3261" w14:paraId="7A2884B7" w14:textId="77777777">
            <w:pPr>
              <w:tabs>
                <w:tab w:val="left" w:pos="2375"/>
              </w:tabs>
              <w:spacing w:after="120"/>
              <w:rPr>
                <w:rFonts w:ascii="Calibri" w:hAnsi="Calibri" w:cs="Calibri"/>
              </w:rPr>
            </w:pPr>
            <w:r w:rsidRPr="00AE3261">
              <w:rPr>
                <w:rFonts w:ascii="Calibri" w:hAnsi="Calibri" w:cs="Calibri"/>
              </w:rPr>
              <w:t xml:space="preserve">Which can also be expressed as: </w:t>
            </w:r>
          </w:p>
          <w:p w:rsidR="00AE3261" w:rsidP="00AE3261" w:rsidRDefault="00AE3261" w14:paraId="47C5EF76" w14:textId="72727F86">
            <w:pPr>
              <w:tabs>
                <w:tab w:val="left" w:pos="2375"/>
              </w:tabs>
              <w:spacing w:after="120"/>
              <w:rPr>
                <w:rFonts w:ascii="Calibri" w:hAnsi="Calibri" w:cs="Calibri"/>
              </w:rPr>
            </w:pPr>
            <w:r w:rsidRPr="3A98057D" w:rsidR="00AE3261">
              <w:rPr>
                <w:rFonts w:ascii="Calibri" w:hAnsi="Calibri" w:cs="Calibri"/>
              </w:rPr>
              <w:t>Proportion of women in senior and middle management</w:t>
            </w:r>
            <w:r w:rsidRPr="3A98057D" w:rsidR="00AE3261">
              <w:rPr>
                <w:rFonts w:ascii="Calibri" w:hAnsi="Calibri" w:cs="Calibri"/>
              </w:rPr>
              <w:t xml:space="preserve"> </w:t>
            </w:r>
            <w:r w:rsidRPr="3A98057D" w:rsidR="00AE3261">
              <w:rPr>
                <w:rFonts w:ascii="Calibri" w:hAnsi="Calibri" w:cs="Calibri"/>
              </w:rPr>
              <w:t xml:space="preserve">= </w:t>
            </w:r>
            <w:r w:rsidRPr="3A98057D" w:rsidR="00AE3261">
              <w:rPr>
                <w:rFonts w:ascii="Calibri" w:hAnsi="Calibri" w:cs="Calibri"/>
              </w:rPr>
              <w:t>{</w:t>
            </w:r>
            <w:proofErr w:type="gramStart"/>
            <w:r w:rsidRPr="3A98057D" w:rsidR="26B26C43">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Women employed in ISCO 88 categories 11+12</w:t>
            </w:r>
            <w:r w:rsidRPr="3A98057D" w:rsidR="7B44AA3A">
              <w:rPr>
                <w:rFonts w:ascii="Calibri" w:hAnsi="Calibri" w:cs="Calibri"/>
              </w:rPr>
              <w:t>\</w:t>
            </w:r>
            <w:r w:rsidRPr="3A98057D" w:rsidR="00AE3261">
              <w:rPr>
                <w:rFonts w:ascii="Calibri" w:hAnsi="Calibri" w:cs="Calibri"/>
              </w:rPr>
              <w:t>)</w:t>
            </w:r>
            <w:r w:rsidRPr="3A98057D" w:rsidR="00AE3261">
              <w:rPr>
                <w:rFonts w:ascii="Calibri" w:hAnsi="Calibri" w:cs="Calibri"/>
              </w:rPr>
              <w:t xml:space="preserve"> / </w:t>
            </w:r>
            <w:proofErr w:type="gramStart"/>
            <w:r w:rsidRPr="3A98057D" w:rsidR="510EA7D1">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Persons employed in ISCO 88 categories 11+12</w:t>
            </w:r>
            <w:r w:rsidRPr="3A98057D" w:rsidR="63EC138B">
              <w:rPr>
                <w:rFonts w:ascii="Calibri" w:hAnsi="Calibri" w:cs="Calibri"/>
              </w:rPr>
              <w:t>\</w:t>
            </w:r>
            <w:r w:rsidRPr="3A98057D" w:rsidR="00AE3261">
              <w:rPr>
                <w:rFonts w:ascii="Calibri" w:hAnsi="Calibri" w:cs="Calibri"/>
              </w:rPr>
              <w:t>)</w:t>
            </w:r>
            <w:r w:rsidRPr="3A98057D" w:rsidR="00AE3261">
              <w:rPr>
                <w:rFonts w:ascii="Calibri" w:hAnsi="Calibri" w:cs="Calibri"/>
              </w:rPr>
              <w:t>}</w:t>
            </w:r>
            <w:r w:rsidRPr="3A98057D" w:rsidR="00AE3261">
              <w:rPr>
                <w:rFonts w:ascii="Calibri" w:hAnsi="Calibri" w:cs="Calibri"/>
              </w:rPr>
              <w:t xml:space="preserve"> ×100 </w:t>
            </w:r>
          </w:p>
          <w:p w:rsidR="3A98057D" w:rsidP="3A98057D" w:rsidRDefault="3A98057D" w14:paraId="6052255A" w14:textId="638F05AD">
            <w:pPr>
              <w:pStyle w:val="Standard"/>
              <w:tabs>
                <w:tab w:val="left" w:leader="none" w:pos="2375"/>
              </w:tabs>
              <w:spacing w:after="120"/>
              <w:rPr>
                <w:rFonts w:ascii="Calibri" w:hAnsi="Calibri" w:cs="Calibri"/>
              </w:rPr>
            </w:pPr>
          </w:p>
          <w:p w:rsidR="00AE3261" w:rsidP="00AE3261" w:rsidRDefault="00AE3261" w14:paraId="480C1A4A" w14:textId="77777777">
            <w:pPr>
              <w:tabs>
                <w:tab w:val="left" w:pos="2375"/>
              </w:tabs>
              <w:spacing w:after="120"/>
              <w:rPr>
                <w:rFonts w:ascii="Calibri" w:hAnsi="Calibri" w:cs="Calibri"/>
              </w:rPr>
            </w:pPr>
            <w:r w:rsidRPr="00AE3261">
              <w:rPr>
                <w:rFonts w:ascii="Calibri" w:hAnsi="Calibri" w:cs="Calibri"/>
              </w:rPr>
              <w:t xml:space="preserve">And </w:t>
            </w:r>
          </w:p>
          <w:p w:rsidR="45DD2056" w:rsidP="3A98057D" w:rsidRDefault="45DD2056" w14:paraId="51E400AE" w14:textId="235585E2">
            <w:pPr>
              <w:tabs>
                <w:tab w:val="left" w:leader="none" w:pos="2375"/>
              </w:tabs>
              <w:spacing w:after="120"/>
              <w:rPr>
                <w:rFonts w:ascii="Calibri" w:hAnsi="Calibri" w:cs="Calibri"/>
              </w:rPr>
            </w:pPr>
            <w:r w:rsidRPr="3A98057D" w:rsidR="00AE3261">
              <w:rPr>
                <w:rFonts w:ascii="Calibri" w:hAnsi="Calibri" w:cs="Calibri"/>
              </w:rPr>
              <w:t>Proportion of women in managerial positions</w:t>
            </w:r>
            <w:r w:rsidRPr="3A98057D" w:rsidR="00AE3261">
              <w:rPr>
                <w:rFonts w:ascii="Calibri" w:hAnsi="Calibri" w:cs="Calibri"/>
              </w:rPr>
              <w:t xml:space="preserve"> </w:t>
            </w:r>
            <w:r w:rsidRPr="3A98057D" w:rsidR="00AE3261">
              <w:rPr>
                <w:rFonts w:ascii="Calibri" w:hAnsi="Calibri" w:cs="Calibri"/>
              </w:rPr>
              <w:t xml:space="preserve">= </w:t>
            </w:r>
            <w:proofErr w:type="gramStart"/>
            <w:r w:rsidRPr="3A98057D" w:rsidR="6C6A186A">
              <w:rPr>
                <w:rFonts w:ascii="Calibri" w:hAnsi="Calibri" w:cs="Calibri"/>
              </w:rPr>
              <w:t>\</w:t>
            </w:r>
            <w:r w:rsidRPr="3A98057D" w:rsidR="00AE3261">
              <w:rPr>
                <w:rFonts w:ascii="Calibri" w:hAnsi="Calibri" w:cs="Calibri"/>
              </w:rPr>
              <w:t>(</w:t>
            </w:r>
            <w:proofErr w:type="gramEnd"/>
            <w:r w:rsidRPr="3A98057D" w:rsidR="00AE3261">
              <w:rPr>
                <w:rFonts w:ascii="Calibri" w:hAnsi="Calibri" w:cs="Calibri"/>
              </w:rPr>
              <w:t>Women employed in ISCO 88 category 1</w:t>
            </w:r>
            <w:r w:rsidRPr="3A98057D" w:rsidR="00AE3261">
              <w:rPr>
                <w:rFonts w:ascii="Calibri" w:hAnsi="Calibri" w:cs="Calibri"/>
              </w:rPr>
              <w:t xml:space="preserve"> / </w:t>
            </w:r>
            <w:r w:rsidRPr="3A98057D" w:rsidR="00AE3261">
              <w:rPr>
                <w:rFonts w:ascii="Calibri" w:hAnsi="Calibri" w:cs="Calibri"/>
              </w:rPr>
              <w:t>Persons employed in ISCO 88 category 1</w:t>
            </w:r>
            <w:r w:rsidRPr="3A98057D" w:rsidR="1CAB9CF1">
              <w:rPr>
                <w:rFonts w:ascii="Calibri" w:hAnsi="Calibri" w:cs="Calibri"/>
              </w:rPr>
              <w:t>\</w:t>
            </w:r>
            <w:r w:rsidRPr="3A98057D" w:rsidR="00AE3261">
              <w:rPr>
                <w:rFonts w:ascii="Calibri" w:hAnsi="Calibri" w:cs="Calibri"/>
              </w:rPr>
              <w:t>)</w:t>
            </w:r>
            <w:r w:rsidRPr="3A98057D" w:rsidR="00AE3261">
              <w:rPr>
                <w:rFonts w:ascii="Calibri" w:hAnsi="Calibri" w:cs="Calibri"/>
              </w:rPr>
              <w:t xml:space="preserve"> ×100</w:t>
            </w:r>
          </w:p>
          <w:p w:rsidR="3A98057D" w:rsidP="3A98057D" w:rsidRDefault="3A98057D" w14:paraId="6DF89C02" w14:textId="360256D4">
            <w:pPr>
              <w:pStyle w:val="Standard"/>
              <w:tabs>
                <w:tab w:val="left" w:leader="none" w:pos="2375"/>
              </w:tabs>
              <w:spacing w:after="120"/>
              <w:rPr>
                <w:rFonts w:ascii="Calibri" w:hAnsi="Calibri" w:cs="Calibri"/>
              </w:rPr>
            </w:pPr>
          </w:p>
          <w:p w:rsidRPr="00E3565D" w:rsidR="00AE3261" w:rsidP="352FA3AC" w:rsidRDefault="00AE3261" w14:paraId="0C337A2A" w14:textId="0A3CED09">
            <w:pPr>
              <w:tabs>
                <w:tab w:val="left" w:pos="2375"/>
              </w:tabs>
              <w:rPr>
                <w:rFonts w:ascii="Calibri" w:hAnsi="Calibri" w:cs="Calibri"/>
              </w:rPr>
            </w:pPr>
            <w:r w:rsidRPr="3A98057D" w:rsidR="2868E1E1">
              <w:rPr>
                <w:rFonts w:ascii="Calibri" w:hAnsi="Calibri" w:cs="Calibri"/>
                <w:b w:val="0"/>
                <w:bCs w:val="0"/>
              </w:rPr>
              <w:t>**</w:t>
            </w:r>
            <w:r w:rsidRPr="3A98057D" w:rsidR="00AE3261">
              <w:rPr>
                <w:rFonts w:ascii="Calibri" w:hAnsi="Calibri" w:cs="Calibri"/>
                <w:b w:val="0"/>
                <w:bCs w:val="0"/>
              </w:rPr>
              <w:t>Disaggregation</w:t>
            </w:r>
            <w:r w:rsidRPr="3A98057D" w:rsidR="3C935507">
              <w:rPr>
                <w:rFonts w:ascii="Calibri" w:hAnsi="Calibri" w:cs="Calibri"/>
                <w:b w:val="0"/>
                <w:bCs w:val="0"/>
              </w:rPr>
              <w:t>**</w:t>
            </w:r>
            <w:r w:rsidRPr="3A98057D" w:rsidR="173EB6DF">
              <w:rPr>
                <w:rFonts w:ascii="Calibri" w:hAnsi="Calibri" w:cs="Calibri"/>
                <w:b w:val="0"/>
                <w:bCs w:val="0"/>
              </w:rPr>
              <w:t>: by sex</w:t>
            </w:r>
            <w:r>
              <w:br/>
            </w:r>
            <w:r w:rsidRPr="3A98057D" w:rsidR="00AE3261">
              <w:rPr>
                <w:rFonts w:ascii="Calibri" w:hAnsi="Calibri" w:cs="Calibri"/>
              </w:rPr>
              <w:t xml:space="preserve">This indicator requires no disaggregation per se, although employment statistics by both sex and occupation are needed to calculate it. If statistics are available and the sample size permits, it may be of interest to cross-tabulate this indicator by economic activity </w:t>
            </w:r>
            <w:r w:rsidRPr="3A98057D" w:rsidR="584C22A9">
              <w:rPr>
                <w:rFonts w:ascii="Calibri" w:hAnsi="Calibri" w:cs="Calibri"/>
              </w:rPr>
              <w:t>\</w:t>
            </w:r>
            <w:r w:rsidRPr="3A98057D" w:rsidR="00AE3261">
              <w:rPr>
                <w:rFonts w:ascii="Calibri" w:hAnsi="Calibri" w:cs="Calibri"/>
              </w:rPr>
              <w:t>(ISIC</w:t>
            </w:r>
            <w:r w:rsidRPr="3A98057D" w:rsidR="7012ED60">
              <w:rPr>
                <w:rFonts w:ascii="Calibri" w:hAnsi="Calibri" w:cs="Calibri"/>
              </w:rPr>
              <w:t>\</w:t>
            </w:r>
            <w:r w:rsidRPr="3A98057D" w:rsidR="00AE3261">
              <w:rPr>
                <w:rFonts w:ascii="Calibri" w:hAnsi="Calibri" w:cs="Calibri"/>
              </w:rPr>
              <w:t>) or disaggregate further to observe the share of women across more detailed occupational groups.</w:t>
            </w:r>
          </w:p>
        </w:tc>
      </w:tr>
      <w:tr w:rsidRPr="00D62F7E" w:rsidR="00EA5AB7" w:rsidTr="3A98057D" w14:paraId="36D31487" w14:textId="77777777">
        <w:trPr>
          <w:trHeight w:val="250"/>
        </w:trPr>
        <w:tc>
          <w:tcPr>
            <w:tcW w:w="1632" w:type="dxa"/>
            <w:tcMar/>
          </w:tcPr>
          <w:p w:rsidR="00EA5AB7" w:rsidP="0C407909" w:rsidRDefault="009557B0" w14:noSpellErr="1" w14:paraId="51DE1AD3" w14:textId="41739B66">
            <w:pPr>
              <w:tabs>
                <w:tab w:val="left" w:pos="2375"/>
              </w:tabs>
              <w:rPr>
                <w:rFonts w:ascii="Calibri" w:hAnsi="Calibri" w:cs="Calibri"/>
              </w:rPr>
            </w:pPr>
            <w:r w:rsidRPr="0C407909" w:rsidR="26760FCD">
              <w:rPr>
                <w:rFonts w:ascii="Calibri" w:hAnsi="Calibri" w:cs="Calibri"/>
              </w:rPr>
              <w:t>IV.3</w:t>
            </w:r>
          </w:p>
          <w:p w:rsidR="00EA5AB7" w:rsidP="0C407909" w:rsidRDefault="009557B0" w14:paraId="5001B056" w14:textId="1EEB6B3D">
            <w:pPr>
              <w:pStyle w:val="Standard"/>
              <w:tabs>
                <w:tab w:val="left" w:pos="2375"/>
              </w:tabs>
              <w:rPr>
                <w:rFonts w:ascii="Calibri" w:hAnsi="Calibri" w:cs="Calibri"/>
              </w:rPr>
            </w:pPr>
          </w:p>
        </w:tc>
        <w:tc>
          <w:tcPr>
            <w:tcW w:w="1021" w:type="dxa"/>
            <w:tcMar/>
          </w:tcPr>
          <w:p w:rsidRPr="00E3565D" w:rsidR="00EA5AB7" w:rsidP="00337A95" w:rsidRDefault="00EA5AB7" w14:paraId="774CE402" w14:textId="2799BD58">
            <w:pPr>
              <w:tabs>
                <w:tab w:val="left" w:pos="2375"/>
              </w:tabs>
              <w:rPr>
                <w:rFonts w:ascii="Calibri" w:hAnsi="Calibri" w:cs="Calibri"/>
              </w:rPr>
            </w:pPr>
            <w:r>
              <w:rPr>
                <w:rFonts w:ascii="Calibri" w:hAnsi="Calibri" w:cs="Calibri"/>
              </w:rPr>
              <w:t>4</w:t>
            </w:r>
          </w:p>
        </w:tc>
        <w:tc>
          <w:tcPr>
            <w:tcW w:w="3019" w:type="dxa"/>
            <w:noWrap/>
            <w:tcMar/>
            <w:hideMark/>
          </w:tcPr>
          <w:p w:rsidRPr="00C7034F" w:rsidR="00EA5AB7" w:rsidP="3A98057D" w:rsidRDefault="00EA5AB7" w14:paraId="5DA7B4D2" w14:textId="23C27D47">
            <w:pPr>
              <w:tabs>
                <w:tab w:val="left" w:pos="2375"/>
              </w:tabs>
              <w:rPr>
                <w:rFonts w:ascii="Calibri" w:hAnsi="Calibri" w:cs="Calibri"/>
                <w:b w:val="0"/>
                <w:bCs w:val="0"/>
              </w:rPr>
            </w:pPr>
            <w:r w:rsidRPr="3A98057D" w:rsidR="00EA5AB7">
              <w:rPr>
                <w:rFonts w:ascii="Calibri" w:hAnsi="Calibri" w:cs="Calibri"/>
                <w:b w:val="0"/>
                <w:bCs w:val="0"/>
              </w:rPr>
              <w:t>Importance of the indicator in addressing gender issues and its limitation</w:t>
            </w:r>
          </w:p>
        </w:tc>
        <w:tc>
          <w:tcPr>
            <w:tcW w:w="8551" w:type="dxa"/>
            <w:noWrap/>
            <w:tcMar/>
          </w:tcPr>
          <w:p w:rsidR="00EA5AB7" w:rsidP="352FA3AC" w:rsidRDefault="00BF1066" w14:paraId="5CAFEC65" w14:textId="6D95463B">
            <w:pPr>
              <w:tabs>
                <w:tab w:val="left" w:pos="2375"/>
              </w:tabs>
              <w:rPr>
                <w:rFonts w:ascii="Calibri" w:hAnsi="Calibri" w:cs="Calibri"/>
              </w:rPr>
            </w:pPr>
            <w:r w:rsidRPr="3A98057D" w:rsidR="00BF1066">
              <w:rPr>
                <w:rFonts w:ascii="Calibri" w:hAnsi="Calibri" w:cs="Calibri"/>
              </w:rPr>
              <w:t xml:space="preserve">The indicator provides information on the proportion of women who are employed in decision-making and management roles in government, large enterprises and institutions, thus providing some insight into women’s power in decision making </w:t>
            </w:r>
            <w:r w:rsidRPr="3A98057D" w:rsidR="00BF1066">
              <w:rPr>
                <w:rFonts w:ascii="Calibri" w:hAnsi="Calibri" w:cs="Calibri"/>
              </w:rPr>
              <w:t>and in the economy</w:t>
            </w:r>
            <w:r w:rsidRPr="3A98057D" w:rsidR="00BF1066">
              <w:rPr>
                <w:rFonts w:ascii="Calibri" w:hAnsi="Calibri" w:cs="Calibri"/>
              </w:rPr>
              <w:t xml:space="preserve"> </w:t>
            </w:r>
            <w:r w:rsidRPr="3A98057D" w:rsidR="5F5D7343">
              <w:rPr>
                <w:rFonts w:ascii="Calibri" w:hAnsi="Calibri" w:cs="Calibri"/>
              </w:rPr>
              <w:t>\</w:t>
            </w:r>
            <w:r w:rsidRPr="3A98057D" w:rsidR="00BF1066">
              <w:rPr>
                <w:rFonts w:ascii="Calibri" w:hAnsi="Calibri" w:cs="Calibri"/>
              </w:rPr>
              <w:t>(especially compared to men's power in those areas</w:t>
            </w:r>
            <w:r w:rsidRPr="3A98057D" w:rsidR="540C4C65">
              <w:rPr>
                <w:rFonts w:ascii="Calibri" w:hAnsi="Calibri" w:cs="Calibri"/>
              </w:rPr>
              <w:t>\</w:t>
            </w:r>
            <w:r w:rsidRPr="3A98057D" w:rsidR="00BF1066">
              <w:rPr>
                <w:rFonts w:ascii="Calibri" w:hAnsi="Calibri" w:cs="Calibri"/>
              </w:rPr>
              <w:t>).</w:t>
            </w:r>
          </w:p>
          <w:p w:rsidR="45DD2056" w:rsidP="45DD2056" w:rsidRDefault="45DD2056" w14:paraId="144DCC70" w14:textId="3BA8B611">
            <w:pPr>
              <w:pStyle w:val="Standard"/>
              <w:tabs>
                <w:tab w:val="left" w:leader="none" w:pos="2375"/>
              </w:tabs>
              <w:rPr>
                <w:rFonts w:ascii="Calibri" w:hAnsi="Calibri" w:cs="Calibri"/>
              </w:rPr>
            </w:pPr>
          </w:p>
          <w:p w:rsidRPr="00BF1066" w:rsidR="00BF1066" w:rsidP="352FA3AC" w:rsidRDefault="00BF1066" w14:paraId="05D0D048" w14:textId="3A73E1DC">
            <w:pPr>
              <w:tabs>
                <w:tab w:val="left" w:pos="2375"/>
              </w:tabs>
              <w:rPr>
                <w:rFonts w:ascii="Calibri" w:hAnsi="Calibri" w:cs="Calibri"/>
                <w:b w:val="1"/>
                <w:bCs w:val="1"/>
              </w:rPr>
            </w:pPr>
            <w:r w:rsidRPr="3A98057D" w:rsidR="458F307B">
              <w:rPr>
                <w:rFonts w:ascii="Calibri" w:hAnsi="Calibri" w:cs="Calibri"/>
                <w:b w:val="0"/>
                <w:bCs w:val="0"/>
              </w:rPr>
              <w:t>**</w:t>
            </w:r>
            <w:r w:rsidRPr="3A98057D" w:rsidR="00BF1066">
              <w:rPr>
                <w:rFonts w:ascii="Calibri" w:hAnsi="Calibri" w:cs="Calibri"/>
                <w:b w:val="0"/>
                <w:bCs w:val="0"/>
              </w:rPr>
              <w:t>Comments and limitations</w:t>
            </w:r>
            <w:r w:rsidRPr="3A98057D" w:rsidR="76CCB7BF">
              <w:rPr>
                <w:rFonts w:ascii="Calibri" w:hAnsi="Calibri" w:cs="Calibri"/>
                <w:b w:val="0"/>
                <w:bCs w:val="0"/>
              </w:rPr>
              <w:t>**</w:t>
            </w:r>
            <w:r>
              <w:br/>
            </w:r>
            <w:r w:rsidRPr="3A98057D" w:rsidR="00BF1066">
              <w:rPr>
                <w:rFonts w:ascii="Calibri" w:hAnsi="Calibri" w:cs="Calibri"/>
              </w:rPr>
              <w:t xml:space="preserve">This indicator's main limitation </w:t>
            </w:r>
            <w:r w:rsidRPr="3A98057D" w:rsidR="00BF1066">
              <w:rPr>
                <w:rFonts w:ascii="Calibri" w:hAnsi="Calibri" w:cs="Calibri"/>
              </w:rPr>
              <w:t>is</w:t>
            </w:r>
            <w:r w:rsidRPr="3A98057D" w:rsidR="00BF1066">
              <w:rPr>
                <w:rFonts w:ascii="Calibri" w:hAnsi="Calibri" w:cs="Calibri"/>
              </w:rPr>
              <w:t xml:space="preserve"> that it does not reflect differences in the levels of responsibility of women in these high- and middle-level positions or the characteristics of the enterprises and organizations in which they are employed. Its quality is also heavily dependent on the reliability of the employment statistics by occupation at the ISCO two-digit level.</w:t>
            </w:r>
          </w:p>
        </w:tc>
      </w:tr>
      <w:tr w:rsidRPr="00D62F7E" w:rsidR="00EA5AB7" w:rsidTr="3A98057D" w14:paraId="4EE5E26B" w14:textId="77777777">
        <w:trPr>
          <w:trHeight w:val="250"/>
        </w:trPr>
        <w:tc>
          <w:tcPr>
            <w:tcW w:w="1632" w:type="dxa"/>
            <w:tcMar/>
          </w:tcPr>
          <w:p w:rsidR="00EA5AB7" w:rsidP="0C407909" w:rsidRDefault="009557B0" w14:noSpellErr="1" w14:paraId="22BB297B" w14:textId="41739B66">
            <w:pPr>
              <w:tabs>
                <w:tab w:val="left" w:pos="2375"/>
              </w:tabs>
              <w:rPr>
                <w:rFonts w:ascii="Calibri" w:hAnsi="Calibri" w:cs="Calibri"/>
              </w:rPr>
            </w:pPr>
            <w:r w:rsidRPr="0C407909" w:rsidR="62E1D330">
              <w:rPr>
                <w:rFonts w:ascii="Calibri" w:hAnsi="Calibri" w:cs="Calibri"/>
              </w:rPr>
              <w:t>IV.3</w:t>
            </w:r>
          </w:p>
          <w:p w:rsidR="00EA5AB7" w:rsidP="0C407909" w:rsidRDefault="009557B0" w14:paraId="6F4CCF84" w14:textId="07CF9665">
            <w:pPr>
              <w:pStyle w:val="Standard"/>
              <w:tabs>
                <w:tab w:val="left" w:pos="2375"/>
              </w:tabs>
              <w:rPr>
                <w:rFonts w:ascii="Calibri" w:hAnsi="Calibri" w:cs="Calibri"/>
              </w:rPr>
            </w:pPr>
          </w:p>
        </w:tc>
        <w:tc>
          <w:tcPr>
            <w:tcW w:w="1021" w:type="dxa"/>
            <w:tcMar/>
          </w:tcPr>
          <w:p w:rsidRPr="00E3565D" w:rsidR="00EA5AB7" w:rsidP="00337A95" w:rsidRDefault="00EA5AB7" w14:paraId="70B8C1F8" w14:textId="61AE1AF3">
            <w:pPr>
              <w:tabs>
                <w:tab w:val="left" w:pos="2375"/>
              </w:tabs>
              <w:rPr>
                <w:rFonts w:ascii="Calibri" w:hAnsi="Calibri" w:cs="Calibri"/>
              </w:rPr>
            </w:pPr>
            <w:r>
              <w:rPr>
                <w:rFonts w:ascii="Calibri" w:hAnsi="Calibri" w:cs="Calibri"/>
              </w:rPr>
              <w:t>5</w:t>
            </w:r>
          </w:p>
        </w:tc>
        <w:tc>
          <w:tcPr>
            <w:tcW w:w="3019" w:type="dxa"/>
            <w:noWrap/>
            <w:tcMar/>
            <w:hideMark/>
          </w:tcPr>
          <w:p w:rsidRPr="00C7034F" w:rsidR="00EA5AB7" w:rsidP="3A98057D" w:rsidRDefault="00EA5AB7" w14:paraId="5AC745A0" w14:textId="5BD40B0C">
            <w:pPr>
              <w:tabs>
                <w:tab w:val="left" w:pos="2375"/>
              </w:tabs>
              <w:rPr>
                <w:rFonts w:ascii="Calibri" w:hAnsi="Calibri" w:cs="Calibri"/>
                <w:b w:val="0"/>
                <w:bCs w:val="0"/>
              </w:rPr>
            </w:pPr>
            <w:r w:rsidRPr="3A98057D" w:rsidR="00EA5AB7">
              <w:rPr>
                <w:rFonts w:ascii="Calibri" w:hAnsi="Calibri" w:cs="Calibri"/>
                <w:b w:val="0"/>
                <w:bCs w:val="0"/>
              </w:rPr>
              <w:t>Sources of discrepancies between global and national figures</w:t>
            </w:r>
          </w:p>
        </w:tc>
        <w:tc>
          <w:tcPr>
            <w:tcW w:w="8551" w:type="dxa"/>
            <w:noWrap/>
            <w:tcMar/>
          </w:tcPr>
          <w:p w:rsidRPr="00E3565D" w:rsidR="00EA5AB7" w:rsidP="00337A95" w:rsidRDefault="00EA5AB7" w14:paraId="29C6E903" w14:textId="0B1CBB40">
            <w:pPr>
              <w:tabs>
                <w:tab w:val="left" w:pos="2375"/>
              </w:tabs>
              <w:rPr>
                <w:rFonts w:ascii="Calibri" w:hAnsi="Calibri" w:cs="Calibri"/>
              </w:rPr>
            </w:pPr>
          </w:p>
        </w:tc>
      </w:tr>
      <w:tr w:rsidRPr="00D62F7E" w:rsidR="00EA5AB7" w:rsidTr="3A98057D" w14:paraId="6A220B46" w14:textId="77777777">
        <w:trPr>
          <w:trHeight w:val="250"/>
        </w:trPr>
        <w:tc>
          <w:tcPr>
            <w:tcW w:w="1632" w:type="dxa"/>
            <w:tcMar/>
          </w:tcPr>
          <w:p w:rsidR="00EA5AB7" w:rsidP="0C407909" w:rsidRDefault="009557B0" w14:noSpellErr="1" w14:paraId="796B7ECD" w14:textId="41739B66">
            <w:pPr>
              <w:tabs>
                <w:tab w:val="left" w:pos="2375"/>
              </w:tabs>
              <w:rPr>
                <w:rFonts w:ascii="Calibri" w:hAnsi="Calibri" w:cs="Calibri"/>
              </w:rPr>
            </w:pPr>
            <w:r w:rsidRPr="0C407909" w:rsidR="71CE1C76">
              <w:rPr>
                <w:rFonts w:ascii="Calibri" w:hAnsi="Calibri" w:cs="Calibri"/>
              </w:rPr>
              <w:t>IV.3</w:t>
            </w:r>
          </w:p>
          <w:p w:rsidR="00EA5AB7" w:rsidP="0C407909" w:rsidRDefault="009557B0" w14:paraId="33418B0B" w14:textId="4F53FCA1">
            <w:pPr>
              <w:pStyle w:val="Standard"/>
              <w:tabs>
                <w:tab w:val="left" w:pos="2375"/>
              </w:tabs>
              <w:rPr>
                <w:rFonts w:ascii="Calibri" w:hAnsi="Calibri" w:cs="Calibri"/>
              </w:rPr>
            </w:pPr>
          </w:p>
        </w:tc>
        <w:tc>
          <w:tcPr>
            <w:tcW w:w="1021" w:type="dxa"/>
            <w:tcMar/>
          </w:tcPr>
          <w:p w:rsidRPr="00E3565D" w:rsidR="00EA5AB7" w:rsidP="00337A95" w:rsidRDefault="00EA5AB7" w14:paraId="5270BF15" w14:textId="51BF4EDE">
            <w:pPr>
              <w:tabs>
                <w:tab w:val="left" w:pos="2375"/>
              </w:tabs>
              <w:rPr>
                <w:rFonts w:ascii="Calibri" w:hAnsi="Calibri" w:cs="Calibri"/>
              </w:rPr>
            </w:pPr>
            <w:r>
              <w:rPr>
                <w:rFonts w:ascii="Calibri" w:hAnsi="Calibri" w:cs="Calibri"/>
              </w:rPr>
              <w:t>6</w:t>
            </w:r>
          </w:p>
        </w:tc>
        <w:tc>
          <w:tcPr>
            <w:tcW w:w="3019" w:type="dxa"/>
            <w:noWrap/>
            <w:tcMar/>
            <w:hideMark/>
          </w:tcPr>
          <w:p w:rsidRPr="00C7034F" w:rsidR="00EA5AB7" w:rsidP="3A98057D" w:rsidRDefault="00EA5AB7" w14:paraId="642C03E7" w14:textId="7AF63589">
            <w:pPr>
              <w:tabs>
                <w:tab w:val="left" w:pos="2375"/>
              </w:tabs>
              <w:rPr>
                <w:rFonts w:ascii="Calibri" w:hAnsi="Calibri" w:cs="Calibri"/>
                <w:b w:val="0"/>
                <w:bCs w:val="0"/>
              </w:rPr>
            </w:pPr>
            <w:r w:rsidRPr="3A98057D" w:rsidR="00EA5AB7">
              <w:rPr>
                <w:rFonts w:ascii="Calibri" w:hAnsi="Calibri" w:cs="Calibri"/>
                <w:b w:val="0"/>
                <w:bCs w:val="0"/>
              </w:rPr>
              <w:t>Process of obtaining data</w:t>
            </w:r>
          </w:p>
        </w:tc>
        <w:tc>
          <w:tcPr>
            <w:tcW w:w="8551" w:type="dxa"/>
            <w:noWrap/>
            <w:tcMar/>
          </w:tcPr>
          <w:p w:rsidR="00EA5AB7" w:rsidP="352FA3AC" w:rsidRDefault="00BF1066" w14:paraId="2CBA0573" w14:textId="77777777">
            <w:pPr>
              <w:tabs>
                <w:tab w:val="left" w:pos="2375"/>
              </w:tabs>
              <w:rPr>
                <w:rFonts w:ascii="Calibri" w:hAnsi="Calibri" w:cs="Calibri"/>
              </w:rPr>
            </w:pPr>
            <w:r w:rsidRPr="17211C84" w:rsidR="00BF1066">
              <w:rPr>
                <w:rFonts w:ascii="Calibri" w:hAnsi="Calibri" w:cs="Calibri"/>
              </w:rPr>
              <w:t xml:space="preserve">The recommended source for this indicator is a labour force survey or, if not available, other similar types of household surveys, including a module on employment. In the absence of any labour-related household survey, establishment surveys or administrative records may be used to gather information on the female share of employment by the required ISCO groups. In cases where establishment surveys or administrative records are used, the coverage is likely to be limited to formal enterprises or enterprises of a certain size. Information on the enterprises covered should be provided with the figures. When comparing figures across years, any changes in the versions of ISCO that are used should be </w:t>
            </w:r>
            <w:proofErr w:type="gramStart"/>
            <w:r w:rsidRPr="17211C84" w:rsidR="00BF1066">
              <w:rPr>
                <w:rFonts w:ascii="Calibri" w:hAnsi="Calibri" w:cs="Calibri"/>
              </w:rPr>
              <w:t>taken into account</w:t>
            </w:r>
            <w:proofErr w:type="gramEnd"/>
            <w:r w:rsidRPr="17211C84" w:rsidR="00BF1066">
              <w:rPr>
                <w:rFonts w:ascii="Calibri" w:hAnsi="Calibri" w:cs="Calibri"/>
              </w:rPr>
              <w:t>.</w:t>
            </w:r>
          </w:p>
          <w:p w:rsidR="17211C84" w:rsidP="17211C84" w:rsidRDefault="17211C84" w14:paraId="19153172" w14:textId="786E123A">
            <w:pPr>
              <w:pStyle w:val="Standard"/>
              <w:tabs>
                <w:tab w:val="left" w:leader="none" w:pos="2375"/>
              </w:tabs>
              <w:rPr>
                <w:rFonts w:ascii="Calibri" w:hAnsi="Calibri" w:cs="Calibri"/>
              </w:rPr>
            </w:pPr>
          </w:p>
          <w:p w:rsidRPr="003E1704" w:rsidR="00BF1066" w:rsidP="352FA3AC" w:rsidRDefault="00BF1066" w14:paraId="079E9761" w14:textId="227B549C">
            <w:pPr>
              <w:tabs>
                <w:tab w:val="left" w:pos="2375"/>
              </w:tabs>
              <w:rPr>
                <w:rFonts w:ascii="Calibri" w:hAnsi="Calibri" w:cs="Calibri"/>
              </w:rPr>
            </w:pPr>
            <w:r w:rsidRPr="3A98057D" w:rsidR="00BF1066">
              <w:rPr>
                <w:rFonts w:ascii="Calibri" w:hAnsi="Calibri" w:cs="Calibri"/>
              </w:rPr>
              <w:t xml:space="preserve">The ILO Department of Statistics processes national household survey </w:t>
            </w:r>
            <w:proofErr w:type="spellStart"/>
            <w:r w:rsidRPr="3A98057D" w:rsidR="00BF1066">
              <w:rPr>
                <w:rFonts w:ascii="Calibri" w:hAnsi="Calibri" w:cs="Calibri"/>
              </w:rPr>
              <w:t>microdatasets</w:t>
            </w:r>
            <w:proofErr w:type="spellEnd"/>
            <w:r w:rsidRPr="3A98057D" w:rsidR="00BF1066">
              <w:rPr>
                <w:rFonts w:ascii="Calibri" w:hAnsi="Calibri" w:cs="Calibri"/>
              </w:rPr>
              <w:t xml:space="preserve"> in line with </w:t>
            </w:r>
            <w:proofErr w:type="gramStart"/>
            <w:r w:rsidRPr="3A98057D" w:rsidR="00BF1066">
              <w:rPr>
                <w:rFonts w:ascii="Calibri" w:hAnsi="Calibri" w:cs="Calibri"/>
              </w:rPr>
              <w:t>internationally-agreed</w:t>
            </w:r>
            <w:proofErr w:type="gramEnd"/>
            <w:r w:rsidRPr="3A98057D" w:rsidR="00BF1066">
              <w:rPr>
                <w:rFonts w:ascii="Calibri" w:hAnsi="Calibri" w:cs="Calibri"/>
              </w:rPr>
              <w:t xml:space="preserve">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w:t>
            </w:r>
            <w:r w:rsidRPr="3A98057D" w:rsidR="008F32CD">
              <w:rPr>
                <w:rFonts w:ascii="Calibri" w:hAnsi="Calibri" w:cs="Calibri"/>
              </w:rPr>
              <w:t>\</w:t>
            </w:r>
            <w:r w:rsidRPr="3A98057D" w:rsidR="00BF1066">
              <w:rPr>
                <w:rFonts w:ascii="Calibri" w:hAnsi="Calibri" w:cs="Calibri"/>
              </w:rPr>
              <w:t>(national statistical office, labour ministry, etc.</w:t>
            </w:r>
            <w:r w:rsidRPr="3A98057D" w:rsidR="11EB8DB0">
              <w:rPr>
                <w:rFonts w:ascii="Calibri" w:hAnsi="Calibri" w:cs="Calibri"/>
              </w:rPr>
              <w:t>\</w:t>
            </w:r>
            <w:r w:rsidRPr="3A98057D" w:rsidR="00BF1066">
              <w:rPr>
                <w:rFonts w:ascii="Calibri" w:hAnsi="Calibri" w:cs="Calibri"/>
              </w:rPr>
              <w:t>) requesting the latest annual data and any revisions on numerous labour market topics and indicators, including many SDG indicators.</w:t>
            </w:r>
          </w:p>
        </w:tc>
      </w:tr>
      <w:tr w:rsidRPr="00D62F7E" w:rsidR="00EA5AB7" w:rsidTr="3A98057D" w14:paraId="07B7A885" w14:textId="77777777">
        <w:trPr>
          <w:trHeight w:val="250"/>
        </w:trPr>
        <w:tc>
          <w:tcPr>
            <w:tcW w:w="1632" w:type="dxa"/>
            <w:tcMar/>
          </w:tcPr>
          <w:p w:rsidR="00EA5AB7" w:rsidP="0C407909" w:rsidRDefault="009557B0" w14:noSpellErr="1" w14:paraId="33ED3A1A" w14:textId="41739B66">
            <w:pPr>
              <w:tabs>
                <w:tab w:val="left" w:pos="2375"/>
              </w:tabs>
              <w:rPr>
                <w:rFonts w:ascii="Calibri" w:hAnsi="Calibri" w:cs="Calibri"/>
              </w:rPr>
            </w:pPr>
            <w:r w:rsidRPr="0C407909" w:rsidR="0729E7A2">
              <w:rPr>
                <w:rFonts w:ascii="Calibri" w:hAnsi="Calibri" w:cs="Calibri"/>
              </w:rPr>
              <w:t>IV.3</w:t>
            </w:r>
          </w:p>
          <w:p w:rsidR="00EA5AB7" w:rsidP="0C407909" w:rsidRDefault="009557B0" w14:paraId="1FE5AD8F" w14:textId="6F7D296C">
            <w:pPr>
              <w:pStyle w:val="Standard"/>
              <w:tabs>
                <w:tab w:val="left" w:pos="2375"/>
              </w:tabs>
              <w:rPr>
                <w:rFonts w:ascii="Calibri" w:hAnsi="Calibri" w:cs="Calibri"/>
              </w:rPr>
            </w:pPr>
          </w:p>
        </w:tc>
        <w:tc>
          <w:tcPr>
            <w:tcW w:w="1021" w:type="dxa"/>
            <w:tcMar/>
          </w:tcPr>
          <w:p w:rsidRPr="00E3565D" w:rsidR="00EA5AB7" w:rsidP="00337A95" w:rsidRDefault="00EA5AB7" w14:paraId="473D73AE" w14:textId="3937773A">
            <w:pPr>
              <w:tabs>
                <w:tab w:val="left" w:pos="2375"/>
              </w:tabs>
              <w:rPr>
                <w:rFonts w:ascii="Calibri" w:hAnsi="Calibri" w:cs="Calibri"/>
              </w:rPr>
            </w:pPr>
            <w:r>
              <w:rPr>
                <w:rFonts w:ascii="Calibri" w:hAnsi="Calibri" w:cs="Calibri"/>
              </w:rPr>
              <w:t>7</w:t>
            </w:r>
          </w:p>
        </w:tc>
        <w:tc>
          <w:tcPr>
            <w:tcW w:w="3019" w:type="dxa"/>
            <w:noWrap/>
            <w:tcMar/>
            <w:hideMark/>
          </w:tcPr>
          <w:p w:rsidRPr="00C7034F" w:rsidR="00EA5AB7" w:rsidP="3A98057D" w:rsidRDefault="00EA5AB7" w14:paraId="37176E9F" w14:textId="4A5F5B46">
            <w:pPr>
              <w:tabs>
                <w:tab w:val="left" w:pos="2375"/>
              </w:tabs>
              <w:rPr>
                <w:rFonts w:ascii="Calibri" w:hAnsi="Calibri" w:cs="Calibri"/>
                <w:b w:val="0"/>
                <w:bCs w:val="0"/>
              </w:rPr>
            </w:pPr>
            <w:r w:rsidRPr="3A98057D" w:rsidR="00EA5AB7">
              <w:rPr>
                <w:rFonts w:ascii="Calibri" w:hAnsi="Calibri" w:cs="Calibri"/>
                <w:b w:val="0"/>
                <w:bCs w:val="0"/>
              </w:rPr>
              <w:t>Treatment of missing values</w:t>
            </w:r>
          </w:p>
        </w:tc>
        <w:tc>
          <w:tcPr>
            <w:tcW w:w="8551" w:type="dxa"/>
            <w:noWrap/>
            <w:tcMar/>
          </w:tcPr>
          <w:p w:rsidRPr="00E3565D" w:rsidR="00EA5AB7" w:rsidP="3A98057D" w:rsidRDefault="00AE3261" w14:paraId="18FB9CB6" w14:textId="2B583ED9">
            <w:pPr>
              <w:pStyle w:val="Standard"/>
              <w:tabs>
                <w:tab w:val="left" w:pos="2375"/>
              </w:tabs>
            </w:pPr>
            <w:r w:rsidR="00AE3261">
              <w:rPr/>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For a more detailed methodological description, please refer to the ILO modelled estimates methodological overview, available at </w:t>
            </w:r>
            <w:r w:rsidR="6534CCB2">
              <w:rPr/>
              <w:t>[</w:t>
            </w:r>
            <w:r w:rsidR="00AE3261">
              <w:rPr/>
              <w:t>https://www.ilo.org/ilostat-files/Documents/TEM.pdf</w:t>
            </w:r>
            <w:r w:rsidR="32E596B0">
              <w:rPr/>
              <w:t>](https://www.ilo.org/ilostat-files/Documents/TEM.pdf)</w:t>
            </w:r>
            <w:r w:rsidR="00AE3261">
              <w:rPr/>
              <w:t>.</w:t>
            </w:r>
          </w:p>
        </w:tc>
      </w:tr>
      <w:tr w:rsidRPr="00D62F7E" w:rsidR="00EA5AB7" w:rsidTr="3A98057D" w14:paraId="130A6F7B" w14:textId="77777777">
        <w:trPr>
          <w:trHeight w:val="250"/>
        </w:trPr>
        <w:tc>
          <w:tcPr>
            <w:tcW w:w="1632" w:type="dxa"/>
            <w:tcMar/>
          </w:tcPr>
          <w:p w:rsidR="00EA5AB7" w:rsidP="0C407909" w:rsidRDefault="009557B0" w14:noSpellErr="1" w14:paraId="44F632D3" w14:textId="41739B66">
            <w:pPr>
              <w:tabs>
                <w:tab w:val="left" w:pos="2375"/>
              </w:tabs>
              <w:rPr>
                <w:rFonts w:ascii="Calibri" w:hAnsi="Calibri" w:cs="Calibri"/>
              </w:rPr>
            </w:pPr>
            <w:r w:rsidRPr="0C407909" w:rsidR="3454382D">
              <w:rPr>
                <w:rFonts w:ascii="Calibri" w:hAnsi="Calibri" w:cs="Calibri"/>
              </w:rPr>
              <w:t>IV.3</w:t>
            </w:r>
          </w:p>
          <w:p w:rsidR="00EA5AB7" w:rsidP="0C407909" w:rsidRDefault="009557B0" w14:paraId="3CFA35FF" w14:textId="6B2BECF7">
            <w:pPr>
              <w:pStyle w:val="Standard"/>
              <w:tabs>
                <w:tab w:val="left" w:pos="2375"/>
              </w:tabs>
              <w:rPr>
                <w:rFonts w:ascii="Calibri" w:hAnsi="Calibri" w:cs="Calibri"/>
              </w:rPr>
            </w:pPr>
          </w:p>
        </w:tc>
        <w:tc>
          <w:tcPr>
            <w:tcW w:w="1021" w:type="dxa"/>
            <w:tcMar/>
          </w:tcPr>
          <w:p w:rsidRPr="00E3565D" w:rsidR="00EA5AB7" w:rsidP="00337A95" w:rsidRDefault="00EA5AB7" w14:paraId="5B41D47A" w14:textId="53714F40">
            <w:pPr>
              <w:tabs>
                <w:tab w:val="left" w:pos="2375"/>
              </w:tabs>
              <w:rPr>
                <w:rFonts w:ascii="Calibri" w:hAnsi="Calibri" w:cs="Calibri"/>
              </w:rPr>
            </w:pPr>
            <w:r>
              <w:rPr>
                <w:rFonts w:ascii="Calibri" w:hAnsi="Calibri" w:cs="Calibri"/>
              </w:rPr>
              <w:t>8</w:t>
            </w:r>
          </w:p>
        </w:tc>
        <w:tc>
          <w:tcPr>
            <w:tcW w:w="3019" w:type="dxa"/>
            <w:noWrap/>
            <w:tcMar/>
            <w:hideMark/>
          </w:tcPr>
          <w:p w:rsidRPr="00C7034F" w:rsidR="00EA5AB7" w:rsidP="3A98057D" w:rsidRDefault="00EA5AB7" w14:paraId="2BC8A4D9" w14:textId="1B8BBF97">
            <w:pPr>
              <w:tabs>
                <w:tab w:val="left" w:pos="2375"/>
              </w:tabs>
              <w:rPr>
                <w:rFonts w:ascii="Calibri" w:hAnsi="Calibri" w:cs="Calibri"/>
                <w:b w:val="0"/>
                <w:bCs w:val="0"/>
              </w:rPr>
            </w:pPr>
            <w:r w:rsidRPr="3A98057D" w:rsidR="00EA5AB7">
              <w:rPr>
                <w:rFonts w:ascii="Calibri" w:hAnsi="Calibri" w:cs="Calibri"/>
                <w:b w:val="0"/>
                <w:bCs w:val="0"/>
              </w:rPr>
              <w:t>Data availability and assessment of countries’ capacity</w:t>
            </w:r>
          </w:p>
        </w:tc>
        <w:tc>
          <w:tcPr>
            <w:tcW w:w="8551" w:type="dxa"/>
            <w:noWrap/>
            <w:tcMar/>
          </w:tcPr>
          <w:p w:rsidRPr="00E3565D" w:rsidR="00EA5AB7" w:rsidP="00744B03" w:rsidRDefault="00EA5AB7" w14:paraId="4B68EAF4" w14:textId="415D4BD8">
            <w:pPr>
              <w:tabs>
                <w:tab w:val="left" w:pos="2375"/>
              </w:tabs>
              <w:rPr>
                <w:rFonts w:ascii="Calibri" w:hAnsi="Calibri" w:cs="Calibri"/>
              </w:rPr>
            </w:pPr>
          </w:p>
        </w:tc>
      </w:tr>
      <w:tr w:rsidRPr="00D62F7E" w:rsidR="00EA5AB7" w:rsidTr="3A98057D" w14:paraId="0B6EFA1E" w14:textId="77777777">
        <w:trPr>
          <w:trHeight w:val="250"/>
        </w:trPr>
        <w:tc>
          <w:tcPr>
            <w:tcW w:w="1632" w:type="dxa"/>
            <w:tcMar/>
          </w:tcPr>
          <w:p w:rsidR="00EA5AB7" w:rsidP="0C407909" w:rsidRDefault="009557B0" w14:noSpellErr="1" w14:paraId="3844B94D" w14:textId="41739B66">
            <w:pPr>
              <w:tabs>
                <w:tab w:val="left" w:pos="2375"/>
              </w:tabs>
              <w:rPr>
                <w:rFonts w:ascii="Calibri" w:hAnsi="Calibri" w:cs="Calibri"/>
              </w:rPr>
            </w:pPr>
            <w:r w:rsidRPr="0C407909" w:rsidR="339DB2DE">
              <w:rPr>
                <w:rFonts w:ascii="Calibri" w:hAnsi="Calibri" w:cs="Calibri"/>
              </w:rPr>
              <w:t>IV.3</w:t>
            </w:r>
          </w:p>
          <w:p w:rsidR="00EA5AB7" w:rsidP="0C407909" w:rsidRDefault="009557B0" w14:paraId="739A17AA" w14:textId="162749FA">
            <w:pPr>
              <w:pStyle w:val="Standard"/>
              <w:tabs>
                <w:tab w:val="left" w:pos="2375"/>
              </w:tabs>
              <w:rPr>
                <w:rFonts w:ascii="Calibri" w:hAnsi="Calibri" w:cs="Calibri"/>
              </w:rPr>
            </w:pPr>
          </w:p>
        </w:tc>
        <w:tc>
          <w:tcPr>
            <w:tcW w:w="1021" w:type="dxa"/>
            <w:tcMar/>
          </w:tcPr>
          <w:p w:rsidRPr="00E3565D" w:rsidR="00EA5AB7" w:rsidP="00337A95" w:rsidRDefault="00EA5AB7" w14:paraId="03312716" w14:textId="5A75C882">
            <w:pPr>
              <w:tabs>
                <w:tab w:val="left" w:pos="2375"/>
              </w:tabs>
              <w:rPr>
                <w:rFonts w:ascii="Calibri" w:hAnsi="Calibri" w:cs="Calibri"/>
              </w:rPr>
            </w:pPr>
            <w:r>
              <w:rPr>
                <w:rFonts w:ascii="Calibri" w:hAnsi="Calibri" w:cs="Calibri"/>
              </w:rPr>
              <w:t>9</w:t>
            </w:r>
          </w:p>
        </w:tc>
        <w:tc>
          <w:tcPr>
            <w:tcW w:w="3019" w:type="dxa"/>
            <w:noWrap/>
            <w:tcMar/>
            <w:hideMark/>
          </w:tcPr>
          <w:p w:rsidRPr="00C7034F" w:rsidR="00EA5AB7" w:rsidP="3A98057D" w:rsidRDefault="00EA5AB7" w14:paraId="1263772F" w14:textId="0781373F">
            <w:pPr>
              <w:tabs>
                <w:tab w:val="left" w:pos="2375"/>
              </w:tabs>
              <w:rPr>
                <w:rFonts w:ascii="Calibri" w:hAnsi="Calibri" w:cs="Calibri"/>
                <w:b w:val="0"/>
                <w:bCs w:val="0"/>
              </w:rPr>
            </w:pPr>
            <w:r w:rsidRPr="3A98057D" w:rsidR="00EA5AB7">
              <w:rPr>
                <w:rFonts w:ascii="Calibri" w:hAnsi="Calibri" w:cs="Calibri"/>
                <w:b w:val="0"/>
                <w:bCs w:val="0"/>
              </w:rPr>
              <w:t>Expected time of release</w:t>
            </w:r>
          </w:p>
        </w:tc>
        <w:tc>
          <w:tcPr>
            <w:tcW w:w="8551" w:type="dxa"/>
            <w:noWrap/>
            <w:tcMar/>
          </w:tcPr>
          <w:p w:rsidRPr="00E3565D" w:rsidR="00EA5AB7" w:rsidP="00337A95" w:rsidRDefault="00BF1066" w14:paraId="0CE01414" w14:textId="5AB34A4B">
            <w:pPr>
              <w:tabs>
                <w:tab w:val="left" w:pos="2375"/>
              </w:tabs>
              <w:rPr>
                <w:rFonts w:ascii="Calibri" w:hAnsi="Calibri" w:cs="Calibri"/>
              </w:rPr>
            </w:pPr>
            <w:r>
              <w:rPr>
                <w:rFonts w:ascii="Calibri" w:hAnsi="Calibri" w:cs="Calibri"/>
              </w:rPr>
              <w:t>Data release and collection: continuous.</w:t>
            </w:r>
          </w:p>
        </w:tc>
      </w:tr>
      <w:tr w:rsidRPr="00D62F7E" w:rsidR="00EA5AB7" w:rsidTr="3A98057D" w14:paraId="1B209670" w14:textId="77777777">
        <w:trPr>
          <w:trHeight w:val="1003"/>
        </w:trPr>
        <w:tc>
          <w:tcPr>
            <w:tcW w:w="1632" w:type="dxa"/>
            <w:tcMar/>
          </w:tcPr>
          <w:p w:rsidR="00EA5AB7" w:rsidP="0C407909" w:rsidRDefault="009557B0" w14:noSpellErr="1" w14:paraId="11AAA2CC" w14:textId="41739B66">
            <w:pPr>
              <w:tabs>
                <w:tab w:val="left" w:pos="2375"/>
              </w:tabs>
              <w:rPr>
                <w:rFonts w:ascii="Calibri" w:hAnsi="Calibri" w:cs="Calibri"/>
              </w:rPr>
            </w:pPr>
            <w:r w:rsidRPr="0C407909" w:rsidR="43786210">
              <w:rPr>
                <w:rFonts w:ascii="Calibri" w:hAnsi="Calibri" w:cs="Calibri"/>
              </w:rPr>
              <w:t>IV.3</w:t>
            </w:r>
          </w:p>
          <w:p w:rsidR="00EA5AB7" w:rsidP="00337A95" w:rsidRDefault="009557B0" w14:paraId="57D1B255" w14:textId="1DF9EEE2">
            <w:pPr>
              <w:tabs>
                <w:tab w:val="left" w:pos="2375"/>
              </w:tabs>
              <w:rPr>
                <w:rFonts w:ascii="Calibri" w:hAnsi="Calibri" w:cs="Calibri"/>
              </w:rPr>
            </w:pPr>
          </w:p>
        </w:tc>
        <w:tc>
          <w:tcPr>
            <w:tcW w:w="1021" w:type="dxa"/>
            <w:tcMar/>
          </w:tcPr>
          <w:p w:rsidRPr="00E3565D" w:rsidR="00EA5AB7" w:rsidP="00337A95" w:rsidRDefault="00EA5AB7" w14:paraId="314570A3" w14:textId="59BD8CDC">
            <w:pPr>
              <w:tabs>
                <w:tab w:val="left" w:pos="2375"/>
              </w:tabs>
              <w:rPr>
                <w:rFonts w:ascii="Calibri" w:hAnsi="Calibri" w:cs="Calibri"/>
              </w:rPr>
            </w:pPr>
            <w:r>
              <w:rPr>
                <w:rFonts w:ascii="Calibri" w:hAnsi="Calibri" w:cs="Calibri"/>
              </w:rPr>
              <w:t>10</w:t>
            </w:r>
          </w:p>
        </w:tc>
        <w:tc>
          <w:tcPr>
            <w:tcW w:w="3019" w:type="dxa"/>
            <w:noWrap/>
            <w:tcMar/>
            <w:hideMark/>
          </w:tcPr>
          <w:p w:rsidRPr="00C7034F" w:rsidR="00EA5AB7" w:rsidP="3A98057D" w:rsidRDefault="00EA5AB7" w14:paraId="3B7E02E0" w14:textId="0FB51724">
            <w:pPr>
              <w:tabs>
                <w:tab w:val="left" w:pos="2375"/>
              </w:tabs>
              <w:rPr>
                <w:rFonts w:ascii="Calibri" w:hAnsi="Calibri" w:cs="Calibri"/>
                <w:b w:val="0"/>
                <w:bCs w:val="0"/>
              </w:rPr>
            </w:pPr>
            <w:r w:rsidRPr="3A98057D" w:rsidR="00EA5AB7">
              <w:rPr>
                <w:rFonts w:ascii="Calibri" w:hAnsi="Calibri" w:cs="Calibri"/>
                <w:b w:val="0"/>
                <w:bCs w:val="0"/>
              </w:rPr>
              <w:t>Data source</w:t>
            </w:r>
          </w:p>
        </w:tc>
        <w:tc>
          <w:tcPr>
            <w:tcW w:w="8551" w:type="dxa"/>
            <w:tcMar/>
          </w:tcPr>
          <w:p w:rsidR="00EA5AB7" w:rsidP="004C7C17" w:rsidRDefault="00EA5AB7" w14:paraId="03B6BB77" w14:textId="08923AC5">
            <w:pPr>
              <w:spacing w:after="0" w:line="240" w:lineRule="auto"/>
              <w:rPr>
                <w:rFonts w:ascii="Calibri" w:hAnsi="Calibri" w:cs="Calibri"/>
              </w:rPr>
            </w:pPr>
            <w:r w:rsidRPr="0C407909" w:rsidR="00EA5AB7">
              <w:rPr>
                <w:rFonts w:ascii="Calibri" w:hAnsi="Calibri" w:cs="Calibri"/>
              </w:rPr>
              <w:t xml:space="preserve">Data and metadata were extracted from </w:t>
            </w:r>
            <w:r w:rsidRPr="0C407909" w:rsidR="00EA5AB7">
              <w:rPr>
                <w:rFonts w:ascii="Calibri" w:hAnsi="Calibri" w:cs="Calibri"/>
              </w:rPr>
              <w:t>Global SDG Indicators Database</w:t>
            </w:r>
            <w:r w:rsidRPr="0C407909" w:rsidR="00EA5AB7">
              <w:rPr>
                <w:rFonts w:ascii="Calibri" w:hAnsi="Calibri" w:cs="Calibri"/>
              </w:rPr>
              <w:t xml:space="preserve"> on </w:t>
            </w:r>
            <w:r w:rsidRPr="0C407909" w:rsidR="7E4E8373">
              <w:rPr>
                <w:rFonts w:ascii="Calibri" w:hAnsi="Calibri" w:cs="Calibri"/>
              </w:rPr>
              <w:t>28 May</w:t>
            </w:r>
            <w:r w:rsidRPr="0C407909" w:rsidR="00EA5AB7">
              <w:rPr>
                <w:rFonts w:ascii="Calibri" w:hAnsi="Calibri" w:cs="Calibri"/>
              </w:rPr>
              <w:t xml:space="preserve"> 2021.</w:t>
            </w:r>
          </w:p>
          <w:p w:rsidR="00EA5AB7" w:rsidP="004C7C17" w:rsidRDefault="00EA5AB7" w14:paraId="52F78372" w14:textId="675C9791">
            <w:pPr>
              <w:spacing w:after="0" w:line="240" w:lineRule="auto"/>
              <w:rPr>
                <w:rFonts w:ascii="Calibri" w:hAnsi="Calibri" w:cs="Calibri"/>
              </w:rPr>
            </w:pPr>
          </w:p>
          <w:p w:rsidR="00027E1B" w:rsidP="004C7C17" w:rsidRDefault="00027E1B" w14:paraId="662F920E" w14:textId="25F93654">
            <w:pPr>
              <w:spacing w:after="0" w:line="240" w:lineRule="auto"/>
              <w:rPr>
                <w:rFonts w:ascii="Calibri" w:hAnsi="Calibri" w:cs="Calibri"/>
              </w:rPr>
            </w:pPr>
            <w:r>
              <w:rPr>
                <w:rStyle w:val="normaltextrun"/>
                <w:rFonts w:ascii="Calibri" w:hAnsi="Calibri" w:cs="Calibri"/>
                <w:color w:val="000000"/>
                <w:shd w:val="clear" w:color="auto" w:fill="FFFFFF"/>
              </w:rPr>
              <w:t xml:space="preserve">For </w:t>
            </w:r>
            <w:r w:rsidR="4BCA0BE1">
              <w:rPr>
                <w:rStyle w:val="normaltextrun"/>
                <w:rFonts w:ascii="Calibri" w:hAnsi="Calibri" w:cs="Calibri"/>
                <w:color w:val="000000"/>
                <w:shd w:val="clear" w:color="auto" w:fill="FFFFFF"/>
              </w:rPr>
              <w:t>more</w:t>
            </w:r>
            <w:r>
              <w:rPr>
                <w:rStyle w:val="normaltextrun"/>
                <w:rFonts w:ascii="Calibri" w:hAnsi="Calibri" w:cs="Calibri"/>
                <w:color w:val="000000"/>
                <w:shd w:val="clear" w:color="auto" w:fill="FFFFFF"/>
              </w:rPr>
              <w:t xml:space="preserve"> information, please go to the following:</w:t>
            </w:r>
            <w:r>
              <w:rPr>
                <w:rStyle w:val="eop"/>
                <w:rFonts w:ascii="Calibri" w:hAnsi="Calibri" w:cs="Calibri"/>
                <w:color w:val="000000"/>
                <w:shd w:val="clear" w:color="auto" w:fill="FFFFFF"/>
              </w:rPr>
              <w:t> </w:t>
            </w:r>
          </w:p>
          <w:p w:rsidRPr="00154718" w:rsidR="00EA5AB7" w:rsidP="00154718" w:rsidRDefault="00985060" w14:paraId="1AD763F0" w14:textId="4BEE30E7">
            <w:pPr>
              <w:pStyle w:val="Listenabsatz"/>
              <w:numPr>
                <w:ilvl w:val="0"/>
                <w:numId w:val="5"/>
              </w:numPr>
              <w:spacing w:after="0" w:line="240" w:lineRule="auto"/>
              <w:rPr>
                <w:rFonts w:ascii="Calibri" w:hAnsi="Calibri" w:cs="Calibri"/>
              </w:rPr>
            </w:pPr>
            <w:r w:rsidRPr="3A98057D" w:rsidR="339B0158">
              <w:rPr>
                <w:rFonts w:ascii="Calibri" w:hAnsi="Calibri" w:cs="Calibri"/>
              </w:rPr>
              <w:t>[</w:t>
            </w:r>
            <w:hyperlink r:id="Ra40a0a2a0dc94e02">
              <w:r w:rsidRPr="3A98057D" w:rsidR="00154718">
                <w:rPr>
                  <w:rStyle w:val="Hyperlink"/>
                  <w:rFonts w:ascii="Calibri" w:hAnsi="Calibri" w:cs="Calibri"/>
                </w:rPr>
                <w:t>https://unstats.un.org/sdgs/indicators/database/</w:t>
              </w:r>
              <w:r w:rsidRPr="3A98057D" w:rsidR="6074446B">
                <w:rPr>
                  <w:rStyle w:val="Hyperlink"/>
                  <w:rFonts w:ascii="Calibri" w:hAnsi="Calibri" w:cs="Calibri"/>
                </w:rPr>
                <w:t>](</w:t>
              </w:r>
            </w:hyperlink>
            <w:hyperlink r:id="R7c3b4e04a6424afd">
              <w:r w:rsidRPr="3A98057D" w:rsidR="6074446B">
                <w:rPr>
                  <w:rStyle w:val="Hyperlink"/>
                  <w:rFonts w:ascii="Calibri" w:hAnsi="Calibri" w:cs="Calibri"/>
                </w:rPr>
                <w:t>https://unstats.un.org/sdgs/indicators/database/)</w:t>
              </w:r>
            </w:hyperlink>
          </w:p>
          <w:p w:rsidRPr="00154718" w:rsidR="00EA5AB7" w:rsidP="00154718" w:rsidRDefault="00985060" w14:paraId="2E81E532" w14:textId="6CA709B4">
            <w:pPr>
              <w:pStyle w:val="Listenabsatz"/>
              <w:numPr>
                <w:ilvl w:val="0"/>
                <w:numId w:val="5"/>
              </w:numPr>
              <w:spacing w:after="0" w:line="240" w:lineRule="auto"/>
              <w:rPr>
                <w:rFonts w:ascii="Calibri" w:hAnsi="Calibri" w:cs="Calibri"/>
              </w:rPr>
            </w:pPr>
            <w:r w:rsidRPr="3A98057D" w:rsidR="6074446B">
              <w:rPr>
                <w:rFonts w:ascii="Calibri" w:hAnsi="Calibri" w:cs="Calibri"/>
              </w:rPr>
              <w:t>[</w:t>
            </w:r>
            <w:hyperlink r:id="R18e0c250493b42a2">
              <w:r w:rsidRPr="3A98057D" w:rsidR="446053F8">
                <w:rPr>
                  <w:rStyle w:val="Hyperlink"/>
                  <w:rFonts w:ascii="Calibri" w:hAnsi="Calibri" w:cs="Calibri"/>
                </w:rPr>
                <w:t>https://unstats.un.org/sdgs/metadata/files/Metadata-05-05-02.pdf</w:t>
              </w:r>
              <w:r w:rsidRPr="3A98057D" w:rsidR="53096DCA">
                <w:rPr>
                  <w:rStyle w:val="Hyperlink"/>
                  <w:rFonts w:ascii="Calibri" w:hAnsi="Calibri" w:cs="Calibri"/>
                </w:rPr>
                <w:t>](</w:t>
              </w:r>
            </w:hyperlink>
            <w:hyperlink r:id="Rf93adf9589234238">
              <w:r w:rsidRPr="3A98057D" w:rsidR="32B6443F">
                <w:rPr>
                  <w:rStyle w:val="Hyperlink"/>
                  <w:rFonts w:ascii="Calibri" w:hAnsi="Calibri" w:cs="Calibri"/>
                </w:rPr>
                <w:t>https://unstats.un.org/sdgs/metadata/files/Metadata-05-05-02.pdf)</w:t>
              </w:r>
            </w:hyperlink>
          </w:p>
          <w:p w:rsidRPr="00834A22" w:rsidR="00EA5AB7" w:rsidP="00834A22" w:rsidRDefault="00EA5AB7" w14:paraId="6C412B22" w14:textId="25CC6D17">
            <w:pPr>
              <w:spacing w:after="0" w:line="240" w:lineRule="auto"/>
              <w:rPr>
                <w:rFonts w:ascii="Calibri" w:hAnsi="Calibri" w:cs="Calibri"/>
              </w:rPr>
            </w:pPr>
          </w:p>
        </w:tc>
      </w:tr>
    </w:tbl>
    <w:p w:rsidR="00C75328" w:rsidRDefault="00C75328" w14:paraId="67127F9E" w14:textId="77777777"/>
    <w:sectPr w:rsidR="00C75328" w:rsidSect="00A227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5060" w:rsidP="00CD6958" w:rsidRDefault="00985060" w14:paraId="766360C8" w14:textId="77777777">
      <w:pPr>
        <w:spacing w:after="0" w:line="240" w:lineRule="auto"/>
      </w:pPr>
      <w:r>
        <w:separator/>
      </w:r>
    </w:p>
  </w:endnote>
  <w:endnote w:type="continuationSeparator" w:id="0">
    <w:p w:rsidR="00985060" w:rsidP="00CD6958" w:rsidRDefault="00985060" w14:paraId="4DCDB2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5060" w:rsidP="00CD6958" w:rsidRDefault="00985060" w14:paraId="30755DC9" w14:textId="77777777">
      <w:pPr>
        <w:spacing w:after="0" w:line="240" w:lineRule="auto"/>
      </w:pPr>
      <w:r>
        <w:separator/>
      </w:r>
    </w:p>
  </w:footnote>
  <w:footnote w:type="continuationSeparator" w:id="0">
    <w:p w:rsidR="00985060" w:rsidP="00CD6958" w:rsidRDefault="00985060" w14:paraId="6C8627D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3E"/>
    <w:multiLevelType w:val="hybridMultilevel"/>
    <w:tmpl w:val="40F8F3D4"/>
    <w:lvl w:ilvl="0" w:tplc="7F2A0AD0">
      <w:start w:val="1"/>
      <w:numFmt w:val="bullet"/>
      <w:lvlText w:val="-"/>
      <w:lvlJc w:val="left"/>
      <w:pPr>
        <w:ind w:left="1800" w:hanging="360"/>
      </w:pPr>
      <w:rPr>
        <w:rFonts w:hint="default" w:ascii="Calibri" w:hAnsi="Calibr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377E098D"/>
    <w:multiLevelType w:val="hybridMultilevel"/>
    <w:tmpl w:val="1EDE89B6"/>
    <w:lvl w:ilvl="0" w:tplc="7F2A0AD0">
      <w:start w:val="1"/>
      <w:numFmt w:val="bullet"/>
      <w:lvlText w:val="-"/>
      <w:lvlJc w:val="left"/>
      <w:pPr>
        <w:ind w:left="1440" w:hanging="360"/>
      </w:pPr>
      <w:rPr>
        <w:rFonts w:hint="default" w:ascii="Calibri" w:hAnsi="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3FFE3155"/>
    <w:multiLevelType w:val="hybridMultilevel"/>
    <w:tmpl w:val="251047E4"/>
    <w:lvl w:ilvl="0" w:tplc="9FF26D4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102B8A"/>
    <w:multiLevelType w:val="hybridMultilevel"/>
    <w:tmpl w:val="E2D6C544"/>
    <w:lvl w:ilvl="0" w:tplc="3FB6871C">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A82711"/>
    <w:multiLevelType w:val="hybridMultilevel"/>
    <w:tmpl w:val="DD942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D75CEE"/>
    <w:multiLevelType w:val="hybridMultilevel"/>
    <w:tmpl w:val="CB342808"/>
    <w:lvl w:ilvl="0" w:tplc="9FFE7D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24235"/>
    <w:rsid w:val="00027E1B"/>
    <w:rsid w:val="00116076"/>
    <w:rsid w:val="00137898"/>
    <w:rsid w:val="00154718"/>
    <w:rsid w:val="001721DF"/>
    <w:rsid w:val="00177AD9"/>
    <w:rsid w:val="001D0A27"/>
    <w:rsid w:val="001E7AA6"/>
    <w:rsid w:val="0022337C"/>
    <w:rsid w:val="002631A2"/>
    <w:rsid w:val="00265DC2"/>
    <w:rsid w:val="002734A6"/>
    <w:rsid w:val="002A475E"/>
    <w:rsid w:val="00300492"/>
    <w:rsid w:val="00322A89"/>
    <w:rsid w:val="00337135"/>
    <w:rsid w:val="003B7F44"/>
    <w:rsid w:val="003C2B4B"/>
    <w:rsid w:val="003D02E9"/>
    <w:rsid w:val="003D38D9"/>
    <w:rsid w:val="003E1704"/>
    <w:rsid w:val="00416049"/>
    <w:rsid w:val="0045791F"/>
    <w:rsid w:val="0046368A"/>
    <w:rsid w:val="004C3679"/>
    <w:rsid w:val="004C7C17"/>
    <w:rsid w:val="00507E19"/>
    <w:rsid w:val="00531DD2"/>
    <w:rsid w:val="00574F05"/>
    <w:rsid w:val="006653A8"/>
    <w:rsid w:val="00693A6A"/>
    <w:rsid w:val="00696BB8"/>
    <w:rsid w:val="006A4951"/>
    <w:rsid w:val="007439FD"/>
    <w:rsid w:val="00744B03"/>
    <w:rsid w:val="00766296"/>
    <w:rsid w:val="00767D10"/>
    <w:rsid w:val="00781DE5"/>
    <w:rsid w:val="00792F50"/>
    <w:rsid w:val="007E27F3"/>
    <w:rsid w:val="00834A22"/>
    <w:rsid w:val="00884848"/>
    <w:rsid w:val="00895744"/>
    <w:rsid w:val="008E01C9"/>
    <w:rsid w:val="008F32CD"/>
    <w:rsid w:val="00933A65"/>
    <w:rsid w:val="0095518D"/>
    <w:rsid w:val="009557B0"/>
    <w:rsid w:val="00985060"/>
    <w:rsid w:val="009A0A2F"/>
    <w:rsid w:val="009B0A92"/>
    <w:rsid w:val="009B4CBC"/>
    <w:rsid w:val="009E3840"/>
    <w:rsid w:val="009F0F84"/>
    <w:rsid w:val="00A10DD6"/>
    <w:rsid w:val="00A227D1"/>
    <w:rsid w:val="00A60111"/>
    <w:rsid w:val="00A601EB"/>
    <w:rsid w:val="00A978FF"/>
    <w:rsid w:val="00AC7AC0"/>
    <w:rsid w:val="00AE3261"/>
    <w:rsid w:val="00B13164"/>
    <w:rsid w:val="00B179EE"/>
    <w:rsid w:val="00B54149"/>
    <w:rsid w:val="00B65CBC"/>
    <w:rsid w:val="00B746C3"/>
    <w:rsid w:val="00BA7B91"/>
    <w:rsid w:val="00BF1066"/>
    <w:rsid w:val="00C47589"/>
    <w:rsid w:val="00C60B45"/>
    <w:rsid w:val="00C7034F"/>
    <w:rsid w:val="00C75328"/>
    <w:rsid w:val="00CD10DC"/>
    <w:rsid w:val="00CD6958"/>
    <w:rsid w:val="00D23B78"/>
    <w:rsid w:val="00D2630C"/>
    <w:rsid w:val="00D830FB"/>
    <w:rsid w:val="00D86360"/>
    <w:rsid w:val="00DC7F44"/>
    <w:rsid w:val="00DE00A9"/>
    <w:rsid w:val="00E41BD7"/>
    <w:rsid w:val="00E42A91"/>
    <w:rsid w:val="00E914C7"/>
    <w:rsid w:val="00EA5AB7"/>
    <w:rsid w:val="00F12185"/>
    <w:rsid w:val="00F3255B"/>
    <w:rsid w:val="00F44F6C"/>
    <w:rsid w:val="00F63A6A"/>
    <w:rsid w:val="00F650DE"/>
    <w:rsid w:val="00FD53E1"/>
    <w:rsid w:val="00FE0773"/>
    <w:rsid w:val="0143C6C2"/>
    <w:rsid w:val="02E8547A"/>
    <w:rsid w:val="03843E3B"/>
    <w:rsid w:val="05B6AA4F"/>
    <w:rsid w:val="05C91829"/>
    <w:rsid w:val="0729E7A2"/>
    <w:rsid w:val="07455B72"/>
    <w:rsid w:val="0920AC35"/>
    <w:rsid w:val="09FE61A2"/>
    <w:rsid w:val="0A97AD9A"/>
    <w:rsid w:val="0B160DDB"/>
    <w:rsid w:val="0B8F5020"/>
    <w:rsid w:val="0C407909"/>
    <w:rsid w:val="0D27BFB4"/>
    <w:rsid w:val="0D2B2081"/>
    <w:rsid w:val="0DCC3019"/>
    <w:rsid w:val="10C4233E"/>
    <w:rsid w:val="11EB8DB0"/>
    <w:rsid w:val="1246CB42"/>
    <w:rsid w:val="1378C68E"/>
    <w:rsid w:val="167E44ED"/>
    <w:rsid w:val="17211C84"/>
    <w:rsid w:val="173EB6DF"/>
    <w:rsid w:val="1851E579"/>
    <w:rsid w:val="1B00CD28"/>
    <w:rsid w:val="1BDB6768"/>
    <w:rsid w:val="1CAB9CF1"/>
    <w:rsid w:val="1F3939ED"/>
    <w:rsid w:val="1F44DF58"/>
    <w:rsid w:val="1FB7AF42"/>
    <w:rsid w:val="20256EBC"/>
    <w:rsid w:val="22037A97"/>
    <w:rsid w:val="249767AB"/>
    <w:rsid w:val="26760FCD"/>
    <w:rsid w:val="26B26C43"/>
    <w:rsid w:val="27C2C127"/>
    <w:rsid w:val="28233016"/>
    <w:rsid w:val="2868E1E1"/>
    <w:rsid w:val="2908F276"/>
    <w:rsid w:val="295E9188"/>
    <w:rsid w:val="2AA91E76"/>
    <w:rsid w:val="2DD54D1B"/>
    <w:rsid w:val="2E683DCF"/>
    <w:rsid w:val="3157B676"/>
    <w:rsid w:val="3169A36D"/>
    <w:rsid w:val="3185ADE2"/>
    <w:rsid w:val="32B6443F"/>
    <w:rsid w:val="32E596B0"/>
    <w:rsid w:val="334C19D5"/>
    <w:rsid w:val="339B0158"/>
    <w:rsid w:val="339DB2DE"/>
    <w:rsid w:val="3454382D"/>
    <w:rsid w:val="352FA3AC"/>
    <w:rsid w:val="3552D2BA"/>
    <w:rsid w:val="378D9318"/>
    <w:rsid w:val="37A1F790"/>
    <w:rsid w:val="3A98057D"/>
    <w:rsid w:val="3BF5EB44"/>
    <w:rsid w:val="3C44BBDD"/>
    <w:rsid w:val="3C5E1208"/>
    <w:rsid w:val="3C935507"/>
    <w:rsid w:val="43786210"/>
    <w:rsid w:val="43DF3C54"/>
    <w:rsid w:val="44158163"/>
    <w:rsid w:val="4447D6EF"/>
    <w:rsid w:val="446053F8"/>
    <w:rsid w:val="458F307B"/>
    <w:rsid w:val="459267EB"/>
    <w:rsid w:val="45DD2056"/>
    <w:rsid w:val="4A7FF42D"/>
    <w:rsid w:val="4AE47229"/>
    <w:rsid w:val="4B648A81"/>
    <w:rsid w:val="4BCA0BE1"/>
    <w:rsid w:val="4E726852"/>
    <w:rsid w:val="4EE60BBD"/>
    <w:rsid w:val="4F40D25B"/>
    <w:rsid w:val="4F7CACD4"/>
    <w:rsid w:val="50DCA2BC"/>
    <w:rsid w:val="510EA7D1"/>
    <w:rsid w:val="51B37414"/>
    <w:rsid w:val="52333B49"/>
    <w:rsid w:val="53096DCA"/>
    <w:rsid w:val="540C4C65"/>
    <w:rsid w:val="55F84D7D"/>
    <w:rsid w:val="5709AFD8"/>
    <w:rsid w:val="57941DDE"/>
    <w:rsid w:val="584C22A9"/>
    <w:rsid w:val="58AD081D"/>
    <w:rsid w:val="58E7B4A1"/>
    <w:rsid w:val="59D8DA5C"/>
    <w:rsid w:val="5C1F5563"/>
    <w:rsid w:val="5CF267CF"/>
    <w:rsid w:val="5D83AE1F"/>
    <w:rsid w:val="5E41868C"/>
    <w:rsid w:val="5F5D7343"/>
    <w:rsid w:val="5FB3318A"/>
    <w:rsid w:val="5FE6718B"/>
    <w:rsid w:val="6000C9FB"/>
    <w:rsid w:val="6074446B"/>
    <w:rsid w:val="62E1D330"/>
    <w:rsid w:val="63EC138B"/>
    <w:rsid w:val="650501DE"/>
    <w:rsid w:val="6534CCB2"/>
    <w:rsid w:val="658D08CF"/>
    <w:rsid w:val="6697CE0A"/>
    <w:rsid w:val="66D47E8F"/>
    <w:rsid w:val="69C3FCAF"/>
    <w:rsid w:val="6AFF2E3C"/>
    <w:rsid w:val="6C6A186A"/>
    <w:rsid w:val="6C9C150F"/>
    <w:rsid w:val="6EA1FA4C"/>
    <w:rsid w:val="7012ED60"/>
    <w:rsid w:val="714033BB"/>
    <w:rsid w:val="71CE1C76"/>
    <w:rsid w:val="73D70EB2"/>
    <w:rsid w:val="7596FE4D"/>
    <w:rsid w:val="76CCB7BF"/>
    <w:rsid w:val="7903BD7D"/>
    <w:rsid w:val="790C230C"/>
    <w:rsid w:val="79519221"/>
    <w:rsid w:val="7B44AA3A"/>
    <w:rsid w:val="7B63C321"/>
    <w:rsid w:val="7B79628F"/>
    <w:rsid w:val="7E4E8373"/>
    <w:rsid w:val="7EA8DF91"/>
    <w:rsid w:val="7FDE8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A227D1"/>
    <w:rPr>
      <w:rFonts w:eastAsiaTheme="minorHAnsi"/>
      <w:lang w:val="en-GB" w:eastAsia="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A227D1"/>
    <w:rPr>
      <w:color w:val="0563C1" w:themeColor="hyperlink"/>
      <w:u w:val="single"/>
    </w:rPr>
  </w:style>
  <w:style w:type="character" w:styleId="Kommentarzeichen">
    <w:name w:val="annotation reference"/>
    <w:basedOn w:val="Absatz-Standardschriftart"/>
    <w:uiPriority w:val="99"/>
    <w:semiHidden/>
    <w:unhideWhenUsed/>
    <w:rsid w:val="00A227D1"/>
    <w:rPr>
      <w:sz w:val="16"/>
      <w:szCs w:val="16"/>
    </w:rPr>
  </w:style>
  <w:style w:type="paragraph" w:styleId="Kommentartext">
    <w:name w:val="annotation text"/>
    <w:basedOn w:val="Standard"/>
    <w:link w:val="KommentartextZchn"/>
    <w:uiPriority w:val="99"/>
    <w:unhideWhenUsed/>
    <w:rsid w:val="00A227D1"/>
    <w:pPr>
      <w:spacing w:line="240" w:lineRule="auto"/>
    </w:pPr>
    <w:rPr>
      <w:sz w:val="20"/>
      <w:szCs w:val="20"/>
    </w:rPr>
  </w:style>
  <w:style w:type="character" w:styleId="KommentartextZchn" w:customStyle="1">
    <w:name w:val="Kommentartext Zchn"/>
    <w:basedOn w:val="Absatz-Standardschriftart"/>
    <w:link w:val="Kommentartext"/>
    <w:uiPriority w:val="99"/>
    <w:rsid w:val="00A227D1"/>
    <w:rPr>
      <w:rFonts w:eastAsiaTheme="minorHAnsi"/>
      <w:sz w:val="20"/>
      <w:szCs w:val="20"/>
      <w:lang w:val="en-GB" w:eastAsia="en-US"/>
    </w:rPr>
  </w:style>
  <w:style w:type="character" w:styleId="BesuchterLink">
    <w:name w:val="FollowedHyperlink"/>
    <w:basedOn w:val="Absatz-Standardschriftart"/>
    <w:uiPriority w:val="99"/>
    <w:semiHidden/>
    <w:unhideWhenUsed/>
    <w:rsid w:val="00FE0773"/>
    <w:rPr>
      <w:color w:val="954F72" w:themeColor="followedHyperlink"/>
      <w:u w:val="single"/>
    </w:rPr>
  </w:style>
  <w:style w:type="paragraph" w:styleId="Kopfzeile">
    <w:name w:val="header"/>
    <w:basedOn w:val="Standard"/>
    <w:link w:val="KopfzeileZchn"/>
    <w:uiPriority w:val="99"/>
    <w:unhideWhenUsed/>
    <w:rsid w:val="00CD6958"/>
    <w:pPr>
      <w:tabs>
        <w:tab w:val="center" w:pos="4680"/>
        <w:tab w:val="right" w:pos="9360"/>
      </w:tabs>
      <w:spacing w:after="0" w:line="240" w:lineRule="auto"/>
    </w:pPr>
  </w:style>
  <w:style w:type="character" w:styleId="KopfzeileZchn" w:customStyle="1">
    <w:name w:val="Kopfzeile Zchn"/>
    <w:basedOn w:val="Absatz-Standardschriftart"/>
    <w:link w:val="Kopfzeile"/>
    <w:uiPriority w:val="99"/>
    <w:rsid w:val="00CD6958"/>
    <w:rPr>
      <w:rFonts w:eastAsiaTheme="minorHAnsi"/>
      <w:lang w:val="en-GB" w:eastAsia="en-US"/>
    </w:rPr>
  </w:style>
  <w:style w:type="paragraph" w:styleId="Fuzeile">
    <w:name w:val="footer"/>
    <w:basedOn w:val="Standard"/>
    <w:link w:val="FuzeileZchn"/>
    <w:uiPriority w:val="99"/>
    <w:unhideWhenUsed/>
    <w:rsid w:val="00CD6958"/>
    <w:pPr>
      <w:tabs>
        <w:tab w:val="center" w:pos="4680"/>
        <w:tab w:val="right" w:pos="9360"/>
      </w:tabs>
      <w:spacing w:after="0" w:line="240" w:lineRule="auto"/>
    </w:pPr>
  </w:style>
  <w:style w:type="character" w:styleId="FuzeileZchn" w:customStyle="1">
    <w:name w:val="Fußzeile Zchn"/>
    <w:basedOn w:val="Absatz-Standardschriftart"/>
    <w:link w:val="Fuzeile"/>
    <w:uiPriority w:val="99"/>
    <w:rsid w:val="00CD6958"/>
    <w:rPr>
      <w:rFonts w:eastAsiaTheme="minorHAnsi"/>
      <w:lang w:val="en-GB" w:eastAsia="en-US"/>
    </w:rPr>
  </w:style>
  <w:style w:type="paragraph" w:styleId="Listenabsatz">
    <w:name w:val="List Paragraph"/>
    <w:basedOn w:val="Standard"/>
    <w:uiPriority w:val="34"/>
    <w:qFormat/>
    <w:rsid w:val="00574F05"/>
    <w:pPr>
      <w:ind w:left="720"/>
      <w:contextualSpacing/>
    </w:pPr>
  </w:style>
  <w:style w:type="character" w:styleId="NichtaufgelsteErwhnung">
    <w:name w:val="Unresolved Mention"/>
    <w:basedOn w:val="Absatz-Standardschriftart"/>
    <w:uiPriority w:val="99"/>
    <w:semiHidden/>
    <w:unhideWhenUsed/>
    <w:rsid w:val="00E41BD7"/>
    <w:rPr>
      <w:color w:val="605E5C"/>
      <w:shd w:val="clear" w:color="auto" w:fill="E1DFDD"/>
    </w:rPr>
  </w:style>
  <w:style w:type="character" w:styleId="normaltextrun" w:customStyle="1">
    <w:name w:val="normaltextrun"/>
    <w:basedOn w:val="Absatz-Standardschriftart"/>
    <w:rsid w:val="00027E1B"/>
  </w:style>
  <w:style w:type="character" w:styleId="eop" w:customStyle="1">
    <w:name w:val="eop"/>
    <w:basedOn w:val="Absatz-Standardschriftart"/>
    <w:rsid w:val="0002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kapsos@ilo.org" TargetMode="External" Id="R043ead969e284a0f" /><Relationship Type="http://schemas.openxmlformats.org/officeDocument/2006/relationships/hyperlink" Target="mailto:kapsos@ilo.org" TargetMode="External" Id="Rd9babd66081f4c6a" /><Relationship Type="http://schemas.openxmlformats.org/officeDocument/2006/relationships/hyperlink" Target="http://www.ilo.org/ilostat" TargetMode="External" Id="R2f45aa8d8eef4086" /><Relationship Type="http://schemas.openxmlformats.org/officeDocument/2006/relationships/hyperlink" Target="http://www.ilo.org/ilostat" TargetMode="External" Id="R6052ff12fc2041c1" /><Relationship Type="http://schemas.openxmlformats.org/officeDocument/2006/relationships/hyperlink" Target="https://unstats.un.org/sdgs/indicators/database/](" TargetMode="External" Id="Ra40a0a2a0dc94e02" /><Relationship Type="http://schemas.openxmlformats.org/officeDocument/2006/relationships/hyperlink" Target="https://unstats.un.org/sdgs/indicators/database/](" TargetMode="External" Id="R7c3b4e04a6424afd" /><Relationship Type="http://schemas.openxmlformats.org/officeDocument/2006/relationships/hyperlink" Target="https://unstats.un.org/sdgs/metadata/files/Metadata-05-05-02.pdf](" TargetMode="External" Id="R18e0c250493b42a2" /><Relationship Type="http://schemas.openxmlformats.org/officeDocument/2006/relationships/hyperlink" Target="https://unstats.un.org/sdgs/metadata/files/Metadata-05-05-02.pdf](" TargetMode="External" Id="Rf93adf95892342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0B576FEC-9672-48A5-8C30-6AC75F8714BB}">
  <ds:schemaRefs>
    <ds:schemaRef ds:uri="http://schemas.microsoft.com/sharepoint/v3/contenttype/forms"/>
  </ds:schemaRefs>
</ds:datastoreItem>
</file>

<file path=customXml/itemProps2.xml><?xml version="1.0" encoding="utf-8"?>
<ds:datastoreItem xmlns:ds="http://schemas.openxmlformats.org/officeDocument/2006/customXml" ds:itemID="{12D1603A-933E-46BE-8BE7-347F1D868957}"/>
</file>

<file path=customXml/itemProps3.xml><?xml version="1.0" encoding="utf-8"?>
<ds:datastoreItem xmlns:ds="http://schemas.openxmlformats.org/officeDocument/2006/customXml" ds:itemID="{4CB9D551-A624-4EB1-9DBC-F95A52682520}">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6</revision>
  <dcterms:created xsi:type="dcterms:W3CDTF">2021-08-25T08:46:00.0000000Z</dcterms:created>
  <dcterms:modified xsi:type="dcterms:W3CDTF">2021-09-07T21:42:23.5377598Z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