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Pr="00D02A76" w:rsidR="00B62BB9" w:rsidTr="125D6039" w14:paraId="44DDABDF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Pr="00D02A76" w:rsidR="00B62BB9" w:rsidP="00B62BB9" w:rsidRDefault="00B62BB9" w14:paraId="033B96D6" w14:textId="00C5FF5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F95B08">
              <w:rPr>
                <w:rFonts w:ascii="Calibri" w:hAnsi="Calibri" w:eastAsia="Times New Roman" w:cs="Calibri"/>
                <w:color w:val="000000"/>
              </w:rPr>
              <w:t>INDICATOR_NUM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B62BB9" w:rsidP="00B62BB9" w:rsidRDefault="00B62BB9" w14:paraId="118AC81B" w14:textId="6069DA5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B62BB9">
              <w:rPr>
                <w:rFonts w:ascii="Calibri" w:hAnsi="Calibri" w:eastAsia="Times New Roman" w:cs="Calibri"/>
                <w:color w:val="000000"/>
              </w:rPr>
              <w:t>METADATA_CATEGORY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B62BB9" w:rsidP="00B62BB9" w:rsidRDefault="00B62BB9" w14:paraId="142B7AB2" w14:textId="29ED43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  <w:lang w:val="en-GB"/>
              </w:rPr>
              <w:t>METADATA_CATEGORY_DESC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B62BB9" w:rsidP="00B62BB9" w:rsidRDefault="00B62BB9" w14:paraId="630EABB2" w14:textId="67ADCC6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  <w:lang w:val="en-GB"/>
              </w:rPr>
              <w:t>METADATA_DESCRIPTION</w:t>
            </w:r>
          </w:p>
        </w:tc>
      </w:tr>
      <w:tr w:rsidRPr="00D02A76" w:rsidR="00B62BB9" w:rsidTr="125D6039" w14:paraId="01A29D8C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28F7B16B" w14:textId="0DFCDE1B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52766C06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241B12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B62BB9" w:rsidP="00B62BB9" w:rsidRDefault="00B62BB9" w14:paraId="3DAFD60B" w14:textId="10733E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2C7F7A6C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5682A953" w14:textId="1BFF817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2D8BAF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62D136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00B62BB9" w:rsidRDefault="00CE6BB0" w14:paraId="10EE1184" w14:textId="68147A4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4CE6AD18" w:rsidR="00CE6BB0">
              <w:rPr>
                <w:rFonts w:ascii="Calibri" w:hAnsi="Calibri" w:eastAsia="Times New Roman" w:cs="Calibri"/>
                <w:color w:val="000000" w:themeColor="text1" w:themeTint="FF" w:themeShade="FF"/>
              </w:rPr>
              <w:t>“</w:t>
            </w:r>
            <w:r w:rsidRPr="4CE6AD18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Police Personnel" means personnel in public agencies as </w:t>
            </w:r>
            <w:r w:rsidRPr="4CE6AD18" w:rsidR="410CFEB3">
              <w:rPr>
                <w:rFonts w:ascii="Calibri" w:hAnsi="Calibri" w:eastAsia="Times New Roman" w:cs="Calibri"/>
                <w:color w:val="000000" w:themeColor="text1" w:themeTint="FF" w:themeShade="FF"/>
              </w:rPr>
              <w:t>of</w:t>
            </w:r>
            <w:r w:rsidRPr="4CE6AD18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31 December whose principal functions are the prevention, detection and investigation of crime and the apprehension of alleged offenders. Data refer to 'Female Police Personnel at the national level'</w:t>
            </w:r>
            <w:r w:rsidRPr="4CE6AD18" w:rsidR="00B5575B">
              <w:rPr>
                <w:rFonts w:ascii="Calibri" w:hAnsi="Calibri" w:eastAsia="Times New Roman" w:cs="Calibri"/>
                <w:color w:val="000000" w:themeColor="text1" w:themeTint="FF" w:themeShade="FF"/>
              </w:rPr>
              <w:t>.</w:t>
            </w:r>
          </w:p>
          <w:p w:rsidRPr="00D02A76" w:rsidR="00B5575B" w:rsidP="00B62BB9" w:rsidRDefault="00B5575B" w14:paraId="0F2A6D0D" w14:textId="427B58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71070F53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318844E5" w14:textId="6F4AD07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35E3A62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796A1E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00B62BB9" w:rsidRDefault="00B62BB9" w14:paraId="6A3852A7" w14:textId="6652D82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It is recommended to compute the percentage female as female/</w:t>
            </w:r>
            <w:r w:rsidRPr="125D6039" w:rsidR="49569325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proofErr w:type="spellStart"/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male+female</w:t>
            </w:r>
            <w:proofErr w:type="spellEnd"/>
            <w:r w:rsidRPr="125D6039" w:rsidR="1D6D520E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 rather than female/total, as the sum of </w:t>
            </w:r>
            <w:r w:rsidRPr="125D6039" w:rsidR="30C23863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proofErr w:type="spellStart"/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male+female</w:t>
            </w:r>
            <w:proofErr w:type="spellEnd"/>
            <w:r w:rsidRPr="125D6039" w:rsidR="10587B2E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 in a few cases is smaller than the total </w:t>
            </w:r>
            <w:r w:rsidRPr="125D6039" w:rsidR="72202A06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(there are some police personnel of unknown sex</w:t>
            </w:r>
            <w:r w:rsidRPr="125D6039" w:rsidR="534CBE00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  <w:r w:rsidRPr="125D6039" w:rsidR="00B5575B">
              <w:rPr>
                <w:rFonts w:ascii="Calibri" w:hAnsi="Calibri" w:eastAsia="Times New Roman" w:cs="Calibri"/>
                <w:color w:val="000000" w:themeColor="text1" w:themeTint="FF" w:themeShade="FF"/>
              </w:rPr>
              <w:t>.</w:t>
            </w:r>
          </w:p>
          <w:p w:rsidRPr="00D02A76" w:rsidR="00B5575B" w:rsidP="00B62BB9" w:rsidRDefault="00B5575B" w14:paraId="773248FC" w14:textId="068CFFA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685EE1BA" w14:textId="77777777">
        <w:trPr>
          <w:trHeight w:val="12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36E3DB7D" w14:textId="44FFCB8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5AA58F8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1C80B2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00B62BB9" w:rsidRDefault="00B62BB9" w14:paraId="67E21B3C" w14:textId="79666C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It may be questioned whether the % of female police personnel should be a target of gender equality per se. In most countries the great majority of criminal offenders </w:t>
            </w:r>
            <w:r w:rsidRPr="125D6039" w:rsidR="28E1D8BC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(suspects</w:t>
            </w:r>
            <w:r w:rsidRPr="125D6039" w:rsidR="7F5BAE19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), persons convicted and persons in prisons is male </w:t>
            </w:r>
            <w:r w:rsidRPr="125D6039" w:rsidR="0FBF0220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(over 90 per cent</w:t>
            </w:r>
            <w:r w:rsidRPr="125D6039" w:rsidR="63A670DE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), which may make it less attractive for women to work in this field.</w:t>
            </w:r>
          </w:p>
          <w:p w:rsidRPr="00D02A76" w:rsidR="00CE14FC" w:rsidP="00B62BB9" w:rsidRDefault="00CE14FC" w14:paraId="105AD3A8" w14:textId="342AC55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408C546B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1B067C42" w14:textId="42320786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521E4DC9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6F9B03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00B62BB9" w:rsidRDefault="00B62BB9" w14:paraId="111CECD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Global figures published by UNODC in its reports are based on available data for 100+ countries. The availability of additional country data may change the global picture slightly.</w:t>
            </w:r>
          </w:p>
          <w:p w:rsidRPr="00D02A76" w:rsidR="00143F0E" w:rsidP="00B62BB9" w:rsidRDefault="00143F0E" w14:paraId="28E0D834" w14:textId="3B46404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29E3EC77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628F64E9" w14:textId="783A3360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7070A26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2C12E84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4CE6AD18" w:rsidRDefault="00B62BB9" w14:paraId="33F00E60" w14:textId="734934E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highlight w:val="yellow"/>
              </w:rPr>
            </w:pP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UNODC collects data on crime and criminal justice in its annual United Nations Survey of Crime Trends and Operations of Criminal Justice Systems </w:t>
            </w:r>
            <w:r w:rsidRPr="125D6039" w:rsidR="7F1AE588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(UN-CTS</w:t>
            </w:r>
            <w:r w:rsidRPr="125D6039" w:rsidR="0542C15D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) from Member States.</w:t>
            </w:r>
          </w:p>
          <w:p w:rsidRPr="00D02A76" w:rsidR="00362E28" w:rsidP="00B62BB9" w:rsidRDefault="00362E28" w14:paraId="6C66326D" w14:textId="01FF230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4B6920EB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27F34DED" w14:textId="7063E3B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156F008B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5E748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00B62BB9" w:rsidRDefault="00B62BB9" w14:paraId="31679FE9" w14:textId="6FE61B9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n.a.</w:t>
            </w:r>
            <w:proofErr w:type="spellEnd"/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proofErr w:type="gramStart"/>
            <w:r w:rsidRPr="125D6039" w:rsidR="767FA37D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proofErr w:type="gramEnd"/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in some reports a limited number of missing values may be estimated by extra- or </w:t>
            </w:r>
            <w:r w:rsidRPr="125D6039" w:rsidR="2A5B37C0">
              <w:rPr>
                <w:rFonts w:ascii="Calibri" w:hAnsi="Calibri" w:eastAsia="Times New Roman" w:cs="Calibri"/>
                <w:color w:val="000000" w:themeColor="text1" w:themeTint="FF" w:themeShade="FF"/>
              </w:rPr>
              <w:t>interpolation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to obtain regional or global estimates, but these are not published at the country level</w:t>
            </w:r>
            <w:r w:rsidRPr="125D6039" w:rsidR="33F99E3D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  <w:p w:rsidRPr="00D02A76" w:rsidR="0090466B" w:rsidP="00B62BB9" w:rsidRDefault="0090466B" w14:paraId="36FBB3DB" w14:textId="3349CD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7BEA56A5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1B20C0CC" w14:textId="33AB69D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23D4978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2DC60B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00B62BB9" w:rsidRDefault="00B62BB9" w14:paraId="7D565CF7" w14:textId="6796DAF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Data on police personnel by sex are globally available for a large number of countries </w:t>
            </w:r>
            <w:r w:rsidRPr="125D6039" w:rsidR="01A93BFE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(103</w:t>
            </w:r>
            <w:r w:rsidRPr="125D6039" w:rsidR="03FE2204">
              <w:rPr>
                <w:rFonts w:ascii="Calibri" w:hAnsi="Calibri" w:eastAsia="Times New Roman" w:cs="Calibri"/>
                <w:color w:val="000000" w:themeColor="text1" w:themeTint="FF" w:themeShade="FF"/>
              </w:rPr>
              <w:t>\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) covering around 3/4 of the world population. The capacity of countries to supply these data is generally considered as good.</w:t>
            </w:r>
          </w:p>
          <w:p w:rsidRPr="00D02A76" w:rsidR="0090466B" w:rsidP="00B62BB9" w:rsidRDefault="0090466B" w14:paraId="21C0B289" w14:textId="6F6E80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B62BB9" w:rsidTr="125D6039" w14:paraId="514850C6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B62BB9" w:rsidP="00B62BB9" w:rsidRDefault="007F22DB" w14:paraId="680AE0EA" w14:textId="2A8DDC3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B62BB9" w:rsidP="00B62BB9" w:rsidRDefault="00B62BB9" w14:paraId="72FE58B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B62BB9" w:rsidP="00B62BB9" w:rsidRDefault="00B62BB9" w14:paraId="229D47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="00B62BB9" w:rsidP="125D6039" w:rsidRDefault="00B62BB9" w14:paraId="03D034C0" w14:textId="49BD2535">
            <w:pPr>
              <w:pStyle w:val="Normal"/>
              <w:spacing w:after="0" w:line="240" w:lineRule="auto"/>
              <w:rPr>
                <w:rFonts w:ascii="Calibri" w:hAnsi="Calibri" w:eastAsia="Times New Roman" w:cs="Calibri"/>
              </w:rPr>
            </w:pP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Available data on police personnel are published on the old data portal </w:t>
            </w:r>
            <w:r w:rsidRPr="125D6039" w:rsidR="45E746BB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proofErr w:type="gramStart"/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>https://data.unodc.org/</w:t>
            </w:r>
            <w:r w:rsidRPr="125D6039" w:rsidR="6895E16E">
              <w:rPr>
                <w:rFonts w:ascii="Calibri" w:hAnsi="Calibri" w:eastAsia="Times New Roman" w:cs="Calibri"/>
                <w:color w:val="000000" w:themeColor="text1" w:themeTint="FF" w:themeShade="FF"/>
              </w:rPr>
              <w:t>](</w:t>
            </w:r>
            <w:proofErr w:type="gramEnd"/>
            <w:r w:rsidRPr="125D6039" w:rsidR="6895E16E">
              <w:rPr>
                <w:rFonts w:ascii="Calibri" w:hAnsi="Calibri" w:eastAsia="Times New Roman" w:cs="Calibri"/>
                <w:color w:val="000000" w:themeColor="text1" w:themeTint="FF" w:themeShade="FF"/>
              </w:rPr>
              <w:t>https://data.unodc.org/)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. Updated data from the annual UN-CTS will be published in 2019 on the new data </w:t>
            </w:r>
            <w:r w:rsidRPr="125D6039" w:rsidR="65D3EE4C">
              <w:rPr>
                <w:rFonts w:ascii="Calibri" w:hAnsi="Calibri" w:eastAsia="Times New Roman" w:cs="Calibri"/>
                <w:color w:val="000000" w:themeColor="text1" w:themeTint="FF" w:themeShade="FF"/>
              </w:rPr>
              <w:t>portal</w:t>
            </w:r>
            <w:r w:rsidRPr="125D6039" w:rsidR="00B62BB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of UNODC: </w:t>
            </w:r>
            <w:r w:rsidRPr="125D6039" w:rsidR="54B2B3F0">
              <w:rPr>
                <w:rFonts w:ascii="Calibri" w:hAnsi="Calibri" w:eastAsia="Times New Roman" w:cs="Calibri"/>
                <w:color w:val="000000" w:themeColor="text1" w:themeTint="FF" w:themeShade="FF"/>
              </w:rPr>
              <w:t>[</w:t>
            </w:r>
            <w:hyperlink r:id="Rf5a61b69c86840a1">
              <w:r w:rsidRPr="125D6039" w:rsidR="00331B4B">
                <w:rPr>
                  <w:rStyle w:val="Hyperlink"/>
                  <w:rFonts w:ascii="Calibri" w:hAnsi="Calibri" w:eastAsia="Times New Roman" w:cs="Calibri"/>
                </w:rPr>
                <w:t>https://dataunodc.un.org/</w:t>
              </w:r>
              <w:r w:rsidRPr="125D6039" w:rsidR="70EB6B44">
                <w:rPr>
                  <w:rStyle w:val="Hyperlink"/>
                  <w:rFonts w:ascii="Calibri" w:hAnsi="Calibri" w:eastAsia="Times New Roman" w:cs="Calibri"/>
                </w:rPr>
                <w:t>](</w:t>
              </w:r>
            </w:hyperlink>
            <w:hyperlink r:id="Rf36a45368b81467a">
              <w:r w:rsidRPr="125D6039" w:rsidR="70EB6B44">
                <w:rPr>
                  <w:rStyle w:val="Hyperlink"/>
                  <w:rFonts w:ascii="Calibri" w:hAnsi="Calibri" w:eastAsia="Times New Roman" w:cs="Calibri"/>
                </w:rPr>
                <w:t>https://dataunodc.un.org/).</w:t>
              </w:r>
            </w:hyperlink>
          </w:p>
          <w:p w:rsidRPr="00D02A76" w:rsidR="00331B4B" w:rsidP="00B62BB9" w:rsidRDefault="00331B4B" w14:paraId="06C74BCC" w14:textId="3345476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7F22DB" w:rsidTr="125D6039" w14:paraId="4570CAEE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="007F22DB" w:rsidP="00B62BB9" w:rsidRDefault="007F22DB" w14:paraId="02CFD472" w14:textId="7FD87EAD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IV.4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7F22DB" w:rsidP="00B62BB9" w:rsidRDefault="007F22DB" w14:paraId="7A15D547" w14:textId="783C41A3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7F22DB" w:rsidP="00B62BB9" w:rsidRDefault="007F22DB" w14:paraId="32A40A05" w14:textId="7F2BC5C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7F22DB" w:rsidP="00B62BB9" w:rsidRDefault="00FC6A40" w14:paraId="5A212AB8" w14:textId="0B44648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4CE6AD18" w:rsidR="00FC6A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Data and metadata were received from UNODC </w:t>
            </w:r>
            <w:r w:rsidRPr="4CE6AD18" w:rsidR="465462EE">
              <w:rPr>
                <w:rFonts w:ascii="Calibri" w:hAnsi="Calibri" w:eastAsia="Times New Roman" w:cs="Calibri"/>
                <w:color w:val="000000" w:themeColor="text1" w:themeTint="FF" w:themeShade="FF"/>
              </w:rPr>
              <w:t>on</w:t>
            </w:r>
            <w:r w:rsidRPr="4CE6AD18" w:rsidR="00FC6A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4CE6AD18" w:rsidR="00CE7023">
              <w:rPr>
                <w:rFonts w:ascii="Calibri" w:hAnsi="Calibri" w:eastAsia="Times New Roman" w:cs="Calibri"/>
                <w:color w:val="000000" w:themeColor="text1" w:themeTint="FF" w:themeShade="FF"/>
              </w:rPr>
              <w:t>12 December 2019</w:t>
            </w:r>
          </w:p>
        </w:tc>
      </w:tr>
    </w:tbl>
    <w:p w:rsidR="00AA7654" w:rsidRDefault="00AA7654" w14:paraId="5E4F9DA2" w14:textId="77777777"/>
    <w:sectPr w:rsidR="00AA7654" w:rsidSect="00C22C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66"/>
    <w:rsid w:val="00143F0E"/>
    <w:rsid w:val="00331B4B"/>
    <w:rsid w:val="00362E28"/>
    <w:rsid w:val="007F22DB"/>
    <w:rsid w:val="00827544"/>
    <w:rsid w:val="0090466B"/>
    <w:rsid w:val="00AA7654"/>
    <w:rsid w:val="00B5575B"/>
    <w:rsid w:val="00B62BB9"/>
    <w:rsid w:val="00C22C66"/>
    <w:rsid w:val="00CE14FC"/>
    <w:rsid w:val="00CE6BB0"/>
    <w:rsid w:val="00CE7023"/>
    <w:rsid w:val="00F95B08"/>
    <w:rsid w:val="00FC6A40"/>
    <w:rsid w:val="01A93BFE"/>
    <w:rsid w:val="03FE2204"/>
    <w:rsid w:val="0542C15D"/>
    <w:rsid w:val="06362D38"/>
    <w:rsid w:val="0FBF0220"/>
    <w:rsid w:val="10587B2E"/>
    <w:rsid w:val="125D6039"/>
    <w:rsid w:val="13512D65"/>
    <w:rsid w:val="1D6D520E"/>
    <w:rsid w:val="28E1D8BC"/>
    <w:rsid w:val="29BD601D"/>
    <w:rsid w:val="2A5B37C0"/>
    <w:rsid w:val="2D59E8FA"/>
    <w:rsid w:val="30C23863"/>
    <w:rsid w:val="33F99E3D"/>
    <w:rsid w:val="410CFEB3"/>
    <w:rsid w:val="45E746BB"/>
    <w:rsid w:val="465462EE"/>
    <w:rsid w:val="49569325"/>
    <w:rsid w:val="4CE6AD18"/>
    <w:rsid w:val="534CBE00"/>
    <w:rsid w:val="54B2B3F0"/>
    <w:rsid w:val="5BD620C3"/>
    <w:rsid w:val="5DCC4696"/>
    <w:rsid w:val="63A670DE"/>
    <w:rsid w:val="65D3EE4C"/>
    <w:rsid w:val="6895E16E"/>
    <w:rsid w:val="70EB6B44"/>
    <w:rsid w:val="72202A06"/>
    <w:rsid w:val="767FA37D"/>
    <w:rsid w:val="7F1AE588"/>
    <w:rsid w:val="7F5BA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2D59"/>
  <w15:chartTrackingRefBased/>
  <w15:docId w15:val="{93AE6EDB-5FEF-4EAF-933F-FA27B63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C66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B62BB9"/>
  </w:style>
  <w:style w:type="character" w:styleId="Hyperlink">
    <w:name w:val="Hyperlink"/>
    <w:basedOn w:val="DefaultParagraphFont"/>
    <w:uiPriority w:val="99"/>
    <w:unhideWhenUsed/>
    <w:rsid w:val="0033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yperlink" Target="https://dataunodc.un.org/](" TargetMode="External" Id="Rf5a61b69c86840a1" /><Relationship Type="http://schemas.openxmlformats.org/officeDocument/2006/relationships/hyperlink" Target="https://dataunodc.un.org/](" TargetMode="External" Id="Rf36a45368b8146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CA9B31CE-D5F5-49AE-A2F5-DD60976C4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59FD90-C6B7-4F02-87FF-1F6B64197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07BE3-895C-4574-9AB7-9DB65599B66B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Lingyan Hu</dc:creator>
  <keywords/>
  <dc:description/>
  <lastModifiedBy>Lingyan Hu</lastModifiedBy>
  <revision>17</revision>
  <dcterms:created xsi:type="dcterms:W3CDTF">2021-08-24T14:26:00.0000000Z</dcterms:created>
  <dcterms:modified xsi:type="dcterms:W3CDTF">2021-09-07T21:45:09.4486784Z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