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7629"/>
      </w:tblGrid>
      <w:tr w:rsidRPr="00D02A76" w:rsidR="009E3AC7" w:rsidTr="45C0B3F8" w14:paraId="323706CB" w14:textId="77777777">
        <w:trPr>
          <w:trHeight w:val="600"/>
        </w:trPr>
        <w:tc>
          <w:tcPr>
            <w:tcW w:w="1325" w:type="dxa"/>
            <w:shd w:val="clear" w:color="auto" w:fill="auto"/>
            <w:tcMar/>
          </w:tcPr>
          <w:p w:rsidRPr="00D02A76" w:rsidR="009E3AC7" w:rsidP="005E4026" w:rsidRDefault="00AA63B3" w14:paraId="62F63C94" w14:textId="67FCAEE7">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rPr>
              <w:t>INDICATOR_NUM</w:t>
            </w:r>
          </w:p>
        </w:tc>
        <w:tc>
          <w:tcPr>
            <w:tcW w:w="589" w:type="dxa"/>
            <w:shd w:val="clear" w:color="auto" w:fill="auto"/>
            <w:tcMar/>
          </w:tcPr>
          <w:p w:rsidRPr="00D02A76" w:rsidR="009E3AC7" w:rsidP="005E4026" w:rsidRDefault="00AA63B3" w14:paraId="1B7ED3FB" w14:textId="58F21374">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rPr>
              <w:t>METADATA_CATEGORY</w:t>
            </w:r>
          </w:p>
        </w:tc>
        <w:tc>
          <w:tcPr>
            <w:tcW w:w="2798" w:type="dxa"/>
            <w:shd w:val="clear" w:color="auto" w:fill="auto"/>
            <w:tcMar/>
          </w:tcPr>
          <w:p w:rsidRPr="00D02A76" w:rsidR="009E3AC7" w:rsidP="005E4026" w:rsidRDefault="00893E07" w14:paraId="6B971255" w14:textId="1C926A3A">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METADATA_CATEGORY_DESC</w:t>
            </w:r>
          </w:p>
        </w:tc>
        <w:tc>
          <w:tcPr>
            <w:tcW w:w="7629" w:type="dxa"/>
            <w:shd w:val="clear" w:color="auto" w:fill="auto"/>
            <w:tcMar/>
          </w:tcPr>
          <w:p w:rsidRPr="00D02A76" w:rsidR="009E3AC7" w:rsidP="005E4026" w:rsidRDefault="00893E07" w14:paraId="1DA73207" w14:textId="7D9F806E">
            <w:pPr>
              <w:spacing w:after="0" w:line="240" w:lineRule="auto"/>
              <w:rPr>
                <w:rFonts w:ascii="Calibri" w:hAnsi="Calibri" w:eastAsia="Times New Roman" w:cs="Calibri"/>
                <w:color w:val="000000"/>
              </w:rPr>
            </w:pPr>
            <w:r>
              <w:rPr>
                <w:rStyle w:val="normaltextrun"/>
                <w:rFonts w:ascii="Calibri" w:hAnsi="Calibri" w:cs="Calibri"/>
                <w:color w:val="000000"/>
                <w:bdr w:val="none" w:color="auto" w:sz="0" w:space="0" w:frame="1"/>
                <w:lang w:val="en-GB"/>
              </w:rPr>
              <w:t>METADATA_DESCRIPTION</w:t>
            </w:r>
          </w:p>
        </w:tc>
      </w:tr>
      <w:tr w:rsidRPr="00D02A76" w:rsidR="002804C4" w:rsidTr="45C0B3F8" w14:paraId="0EAD7D07" w14:textId="77777777">
        <w:trPr>
          <w:trHeight w:val="600"/>
        </w:trPr>
        <w:tc>
          <w:tcPr>
            <w:tcW w:w="1325" w:type="dxa"/>
            <w:shd w:val="clear" w:color="auto" w:fill="auto"/>
            <w:tcMar/>
            <w:hideMark/>
          </w:tcPr>
          <w:p w:rsidRPr="00D02A76" w:rsidR="002804C4" w:rsidP="005E4026" w:rsidRDefault="00893E07" w14:paraId="4466598F" w14:textId="6F07217E">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370630E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2804C4" w:rsidP="005E4026" w:rsidRDefault="002804C4" w14:paraId="038E872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Pr="00D02A76" w:rsidR="002804C4" w:rsidP="005E4026" w:rsidRDefault="002804C4" w14:paraId="0DE495DA" w14:textId="6B0EF4BE">
            <w:pPr>
              <w:spacing w:after="0" w:line="240" w:lineRule="auto"/>
              <w:rPr>
                <w:rFonts w:ascii="Calibri" w:hAnsi="Calibri" w:eastAsia="Times New Roman" w:cs="Calibri"/>
                <w:color w:val="000000"/>
              </w:rPr>
            </w:pPr>
          </w:p>
        </w:tc>
      </w:tr>
      <w:tr w:rsidRPr="00D02A76" w:rsidR="002804C4" w:rsidTr="45C0B3F8" w14:paraId="5FE2567D" w14:textId="77777777">
        <w:trPr>
          <w:trHeight w:val="600"/>
        </w:trPr>
        <w:tc>
          <w:tcPr>
            <w:tcW w:w="1325" w:type="dxa"/>
            <w:shd w:val="clear" w:color="auto" w:fill="auto"/>
            <w:tcMar/>
            <w:hideMark/>
          </w:tcPr>
          <w:p w:rsidRPr="00D02A76" w:rsidR="002804C4" w:rsidP="005E4026" w:rsidRDefault="00893E07" w14:paraId="30A22772" w14:textId="7F243677">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6563C31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2804C4" w:rsidP="005E4026" w:rsidRDefault="002804C4" w14:paraId="3F405C7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002804C4" w:rsidP="005E4026" w:rsidRDefault="002804C4" w14:paraId="45F51D71" w14:textId="093DC7E4">
            <w:pPr>
              <w:spacing w:after="0" w:line="240" w:lineRule="auto"/>
              <w:rPr>
                <w:rFonts w:ascii="Calibri" w:hAnsi="Calibri" w:eastAsia="Times New Roman" w:cs="Calibri"/>
                <w:color w:val="000000"/>
              </w:rPr>
            </w:pPr>
            <w:r w:rsidRPr="1E6A3CFC" w:rsidR="002804C4">
              <w:rPr>
                <w:rFonts w:ascii="Calibri" w:hAnsi="Calibri" w:eastAsia="Times New Roman" w:cs="Calibri"/>
                <w:color w:val="000000" w:themeColor="text1" w:themeTint="FF" w:themeShade="FF"/>
              </w:rPr>
              <w:t xml:space="preserve">“Professional Judges or Magistrates” means both full-time and part-time officials as </w:t>
            </w:r>
            <w:r w:rsidRPr="1E6A3CFC" w:rsidR="4B1B6352">
              <w:rPr>
                <w:rFonts w:ascii="Calibri" w:hAnsi="Calibri" w:eastAsia="Times New Roman" w:cs="Calibri"/>
                <w:color w:val="000000" w:themeColor="text1" w:themeTint="FF" w:themeShade="FF"/>
              </w:rPr>
              <w:t>of</w:t>
            </w:r>
            <w:r w:rsidRPr="1E6A3CFC" w:rsidR="002804C4">
              <w:rPr>
                <w:rFonts w:ascii="Calibri" w:hAnsi="Calibri" w:eastAsia="Times New Roman" w:cs="Calibri"/>
                <w:color w:val="000000" w:themeColor="text1" w:themeTint="FF" w:themeShade="FF"/>
              </w:rPr>
              <w:t xml:space="preserve"> 31 December authorized to hear specifically criminal cases, including in appeal courts, and to make dispositions in a court of law. Also includes authorized associate judges and magistrates. Data refer to 'Female Professional Judges or Magistrates at the national level'</w:t>
            </w:r>
            <w:r w:rsidRPr="1E6A3CFC" w:rsidR="00811B74">
              <w:rPr>
                <w:rFonts w:ascii="Calibri" w:hAnsi="Calibri" w:eastAsia="Times New Roman" w:cs="Calibri"/>
                <w:color w:val="000000" w:themeColor="text1" w:themeTint="FF" w:themeShade="FF"/>
              </w:rPr>
              <w:t>.</w:t>
            </w:r>
          </w:p>
          <w:p w:rsidRPr="00D02A76" w:rsidR="008C412A" w:rsidP="005E4026" w:rsidRDefault="008C412A" w14:paraId="23272408" w14:textId="1946A358">
            <w:pPr>
              <w:spacing w:after="0" w:line="240" w:lineRule="auto"/>
              <w:rPr>
                <w:rFonts w:ascii="Calibri" w:hAnsi="Calibri" w:eastAsia="Times New Roman" w:cs="Calibri"/>
                <w:color w:val="000000"/>
              </w:rPr>
            </w:pPr>
          </w:p>
        </w:tc>
      </w:tr>
      <w:tr w:rsidRPr="00D02A76" w:rsidR="002804C4" w:rsidTr="45C0B3F8" w14:paraId="504AB0E8" w14:textId="77777777">
        <w:trPr>
          <w:trHeight w:val="600"/>
        </w:trPr>
        <w:tc>
          <w:tcPr>
            <w:tcW w:w="1325" w:type="dxa"/>
            <w:shd w:val="clear" w:color="auto" w:fill="auto"/>
            <w:tcMar/>
            <w:hideMark/>
          </w:tcPr>
          <w:p w:rsidRPr="00D02A76" w:rsidR="002804C4" w:rsidP="005E4026" w:rsidRDefault="00893E07" w14:paraId="091CE66F" w14:textId="5F109F8A">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68968E2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2804C4" w:rsidP="005E4026" w:rsidRDefault="002804C4" w14:paraId="72D78FC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2804C4" w:rsidP="005E4026" w:rsidRDefault="002804C4" w14:paraId="3B601A69" w14:textId="10CC906E">
            <w:pPr>
              <w:spacing w:after="0" w:line="240" w:lineRule="auto"/>
              <w:rPr>
                <w:rFonts w:ascii="Calibri" w:hAnsi="Calibri" w:eastAsia="Times New Roman" w:cs="Calibri"/>
                <w:color w:val="000000"/>
              </w:rPr>
            </w:pPr>
            <w:r w:rsidRPr="45C0B3F8" w:rsidR="002804C4">
              <w:rPr>
                <w:rFonts w:ascii="Calibri" w:hAnsi="Calibri" w:eastAsia="Times New Roman" w:cs="Calibri"/>
                <w:color w:val="000000" w:themeColor="text1" w:themeTint="FF" w:themeShade="FF"/>
              </w:rPr>
              <w:t>It is recommended to compute the percentage female as female/</w:t>
            </w:r>
            <w:r w:rsidRPr="45C0B3F8" w:rsidR="6684B977">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w:t>
            </w:r>
            <w:proofErr w:type="spellStart"/>
            <w:r w:rsidRPr="45C0B3F8" w:rsidR="002804C4">
              <w:rPr>
                <w:rFonts w:ascii="Calibri" w:hAnsi="Calibri" w:eastAsia="Times New Roman" w:cs="Calibri"/>
                <w:color w:val="000000" w:themeColor="text1" w:themeTint="FF" w:themeShade="FF"/>
              </w:rPr>
              <w:t>male+female</w:t>
            </w:r>
            <w:proofErr w:type="spellEnd"/>
            <w:r w:rsidRPr="45C0B3F8" w:rsidR="5D6E2C8F">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 xml:space="preserve">) rather than female/total, as the sum of </w:t>
            </w:r>
            <w:r w:rsidRPr="45C0B3F8" w:rsidR="4D2C5F66">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w:t>
            </w:r>
            <w:proofErr w:type="spellStart"/>
            <w:r w:rsidRPr="45C0B3F8" w:rsidR="002804C4">
              <w:rPr>
                <w:rFonts w:ascii="Calibri" w:hAnsi="Calibri" w:eastAsia="Times New Roman" w:cs="Calibri"/>
                <w:color w:val="000000" w:themeColor="text1" w:themeTint="FF" w:themeShade="FF"/>
              </w:rPr>
              <w:t>male+female</w:t>
            </w:r>
            <w:proofErr w:type="spellEnd"/>
            <w:r w:rsidRPr="45C0B3F8" w:rsidR="40F35AE8">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 xml:space="preserve">) in some cases is smaller than the total </w:t>
            </w:r>
            <w:r w:rsidRPr="45C0B3F8" w:rsidR="7F7A3F8D">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(there are some judges/magistrates of unknown sex</w:t>
            </w:r>
            <w:r w:rsidRPr="45C0B3F8" w:rsidR="46C54C5B">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w:t>
            </w:r>
          </w:p>
          <w:p w:rsidRPr="00D02A76" w:rsidR="00A6533D" w:rsidP="005E4026" w:rsidRDefault="00A6533D" w14:paraId="52B2E469" w14:textId="07FE21B7">
            <w:pPr>
              <w:spacing w:after="0" w:line="240" w:lineRule="auto"/>
              <w:rPr>
                <w:rFonts w:ascii="Calibri" w:hAnsi="Calibri" w:eastAsia="Times New Roman" w:cs="Calibri"/>
                <w:color w:val="000000"/>
              </w:rPr>
            </w:pPr>
          </w:p>
        </w:tc>
      </w:tr>
      <w:tr w:rsidRPr="00D02A76" w:rsidR="002804C4" w:rsidTr="45C0B3F8" w14:paraId="0107AD5B" w14:textId="77777777">
        <w:trPr>
          <w:trHeight w:val="1200"/>
        </w:trPr>
        <w:tc>
          <w:tcPr>
            <w:tcW w:w="1325" w:type="dxa"/>
            <w:shd w:val="clear" w:color="auto" w:fill="auto"/>
            <w:tcMar/>
            <w:hideMark/>
          </w:tcPr>
          <w:p w:rsidRPr="00D02A76" w:rsidR="002804C4" w:rsidP="005E4026" w:rsidRDefault="00893E07" w14:paraId="5C7197DC" w14:textId="7D83457A">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64CCCBF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2804C4" w:rsidP="005E4026" w:rsidRDefault="002804C4" w14:paraId="1FBAF49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002804C4" w:rsidP="005E4026" w:rsidRDefault="002804C4" w14:paraId="1B077A9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For </w:t>
            </w:r>
            <w:proofErr w:type="gramStart"/>
            <w:r w:rsidRPr="00D02A76">
              <w:rPr>
                <w:rFonts w:ascii="Calibri" w:hAnsi="Calibri" w:eastAsia="Times New Roman" w:cs="Calibri"/>
                <w:color w:val="000000"/>
              </w:rPr>
              <w:t>a number of</w:t>
            </w:r>
            <w:proofErr w:type="gramEnd"/>
            <w:r w:rsidRPr="00D02A76">
              <w:rPr>
                <w:rFonts w:ascii="Calibri" w:hAnsi="Calibri" w:eastAsia="Times New Roman" w:cs="Calibri"/>
                <w:color w:val="000000"/>
              </w:rPr>
              <w:t xml:space="preserve"> reasons, the share of female judges and magistrates in many countries is relatively high, compared to the share of female police personnel, or other law enforcement agencies with available data, indicating that this is an area relatively accessible and attractive for female candidates.</w:t>
            </w:r>
          </w:p>
          <w:p w:rsidRPr="00D02A76" w:rsidR="00787537" w:rsidP="005E4026" w:rsidRDefault="00787537" w14:paraId="62452CF9" w14:textId="045DBC25">
            <w:pPr>
              <w:spacing w:after="0" w:line="240" w:lineRule="auto"/>
              <w:rPr>
                <w:rFonts w:ascii="Calibri" w:hAnsi="Calibri" w:eastAsia="Times New Roman" w:cs="Calibri"/>
                <w:color w:val="000000"/>
              </w:rPr>
            </w:pPr>
          </w:p>
        </w:tc>
      </w:tr>
      <w:tr w:rsidRPr="00D02A76" w:rsidR="002804C4" w:rsidTr="45C0B3F8" w14:paraId="1DB746F5" w14:textId="77777777">
        <w:trPr>
          <w:trHeight w:val="900"/>
        </w:trPr>
        <w:tc>
          <w:tcPr>
            <w:tcW w:w="1325" w:type="dxa"/>
            <w:shd w:val="clear" w:color="auto" w:fill="auto"/>
            <w:tcMar/>
            <w:hideMark/>
          </w:tcPr>
          <w:p w:rsidRPr="00D02A76" w:rsidR="002804C4" w:rsidP="005E4026" w:rsidRDefault="00893E07" w14:paraId="1E9236F4" w14:textId="087B7AAC">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0D26031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2804C4" w:rsidP="005E4026" w:rsidRDefault="002804C4" w14:paraId="06527177"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hideMark/>
          </w:tcPr>
          <w:p w:rsidR="002804C4" w:rsidP="005E4026" w:rsidRDefault="002804C4" w14:paraId="019676F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Global figures published by UNODC in its reports are based on available data for almost 100 countries. The availability of additional country data may change the global picture slightly.</w:t>
            </w:r>
          </w:p>
          <w:p w:rsidRPr="00D02A76" w:rsidR="00787537" w:rsidP="005E4026" w:rsidRDefault="00787537" w14:paraId="23D7945C" w14:textId="1ED2370C">
            <w:pPr>
              <w:spacing w:after="0" w:line="240" w:lineRule="auto"/>
              <w:rPr>
                <w:rFonts w:ascii="Calibri" w:hAnsi="Calibri" w:eastAsia="Times New Roman" w:cs="Calibri"/>
                <w:color w:val="000000"/>
              </w:rPr>
            </w:pPr>
          </w:p>
        </w:tc>
      </w:tr>
      <w:tr w:rsidRPr="00D02A76" w:rsidR="00893E07" w:rsidTr="45C0B3F8" w14:paraId="5E16244A" w14:textId="77777777">
        <w:trPr>
          <w:trHeight w:val="300"/>
        </w:trPr>
        <w:tc>
          <w:tcPr>
            <w:tcW w:w="1325" w:type="dxa"/>
            <w:shd w:val="clear" w:color="auto" w:fill="auto"/>
            <w:tcMar/>
            <w:hideMark/>
          </w:tcPr>
          <w:p w:rsidRPr="00D02A76" w:rsidR="00893E07" w:rsidP="005E4026" w:rsidRDefault="00893E07" w14:paraId="69B1014D" w14:textId="77777777">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893E07" w:rsidP="005E4026" w:rsidRDefault="00893E07" w14:paraId="468BC86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893E07" w:rsidP="005E4026" w:rsidRDefault="00893E07" w14:paraId="7B93102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00893E07" w:rsidP="005E4026" w:rsidRDefault="00893E07" w14:paraId="4B89AE0B" w14:textId="2C60135C">
            <w:pPr>
              <w:spacing w:after="0" w:line="240" w:lineRule="auto"/>
              <w:rPr>
                <w:rFonts w:ascii="Calibri" w:hAnsi="Calibri" w:eastAsia="Times New Roman" w:cs="Calibri"/>
                <w:color w:val="000000"/>
              </w:rPr>
            </w:pPr>
            <w:r w:rsidRPr="45C0B3F8" w:rsidR="00893E07">
              <w:rPr>
                <w:rFonts w:ascii="Calibri" w:hAnsi="Calibri" w:eastAsia="Times New Roman" w:cs="Calibri"/>
                <w:color w:val="000000" w:themeColor="text1" w:themeTint="FF" w:themeShade="FF"/>
              </w:rPr>
              <w:t xml:space="preserve">UNODC collects data on crime and criminal justice in its annual United Nations Survey of Crime Trends and Operations of Criminal Justice Systems </w:t>
            </w:r>
            <w:r w:rsidRPr="45C0B3F8" w:rsidR="491193CF">
              <w:rPr>
                <w:rFonts w:ascii="Calibri" w:hAnsi="Calibri" w:eastAsia="Times New Roman" w:cs="Calibri"/>
                <w:color w:val="000000" w:themeColor="text1" w:themeTint="FF" w:themeShade="FF"/>
              </w:rPr>
              <w:t>\</w:t>
            </w:r>
            <w:r w:rsidRPr="45C0B3F8" w:rsidR="00893E07">
              <w:rPr>
                <w:rFonts w:ascii="Calibri" w:hAnsi="Calibri" w:eastAsia="Times New Roman" w:cs="Calibri"/>
                <w:color w:val="000000" w:themeColor="text1" w:themeTint="FF" w:themeShade="FF"/>
              </w:rPr>
              <w:t>(UN-CTS</w:t>
            </w:r>
            <w:r w:rsidRPr="45C0B3F8" w:rsidR="1647ABEB">
              <w:rPr>
                <w:rFonts w:ascii="Calibri" w:hAnsi="Calibri" w:eastAsia="Times New Roman" w:cs="Calibri"/>
                <w:color w:val="000000" w:themeColor="text1" w:themeTint="FF" w:themeShade="FF"/>
              </w:rPr>
              <w:t>\</w:t>
            </w:r>
            <w:r w:rsidRPr="45C0B3F8" w:rsidR="00893E07">
              <w:rPr>
                <w:rFonts w:ascii="Calibri" w:hAnsi="Calibri" w:eastAsia="Times New Roman" w:cs="Calibri"/>
                <w:color w:val="000000" w:themeColor="text1" w:themeTint="FF" w:themeShade="FF"/>
              </w:rPr>
              <w:t>) from Member States.</w:t>
            </w:r>
          </w:p>
          <w:p w:rsidRPr="00D02A76" w:rsidR="00E22DA9" w:rsidP="005E4026" w:rsidRDefault="00E22DA9" w14:paraId="53E04724" w14:textId="6D6B6189">
            <w:pPr>
              <w:spacing w:after="0" w:line="240" w:lineRule="auto"/>
              <w:rPr>
                <w:rFonts w:ascii="Calibri" w:hAnsi="Calibri" w:eastAsia="Times New Roman" w:cs="Calibri"/>
                <w:color w:val="000000"/>
              </w:rPr>
            </w:pPr>
          </w:p>
        </w:tc>
      </w:tr>
      <w:tr w:rsidRPr="00D02A76" w:rsidR="002804C4" w:rsidTr="45C0B3F8" w14:paraId="1B9EEF64" w14:textId="77777777">
        <w:trPr>
          <w:trHeight w:val="600"/>
        </w:trPr>
        <w:tc>
          <w:tcPr>
            <w:tcW w:w="1325" w:type="dxa"/>
            <w:shd w:val="clear" w:color="auto" w:fill="auto"/>
            <w:tcMar/>
            <w:hideMark/>
          </w:tcPr>
          <w:p w:rsidRPr="00D02A76" w:rsidR="002804C4" w:rsidP="005E4026" w:rsidRDefault="00893E07" w14:paraId="1B29EC7D" w14:textId="0787FE23">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7CB7C54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2804C4" w:rsidP="005E4026" w:rsidRDefault="002804C4" w14:paraId="3117342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hideMark/>
          </w:tcPr>
          <w:p w:rsidR="002804C4" w:rsidP="005E4026" w:rsidRDefault="002804C4" w14:paraId="674CE7F2" w14:textId="5981DD24">
            <w:pPr>
              <w:spacing w:after="0" w:line="240" w:lineRule="auto"/>
              <w:rPr>
                <w:rFonts w:ascii="Calibri" w:hAnsi="Calibri" w:eastAsia="Times New Roman" w:cs="Calibri"/>
                <w:color w:val="000000"/>
              </w:rPr>
            </w:pPr>
            <w:proofErr w:type="spellStart"/>
            <w:r w:rsidRPr="45C0B3F8" w:rsidR="002804C4">
              <w:rPr>
                <w:rFonts w:ascii="Calibri" w:hAnsi="Calibri" w:eastAsia="Times New Roman" w:cs="Calibri"/>
                <w:color w:val="000000" w:themeColor="text1" w:themeTint="FF" w:themeShade="FF"/>
              </w:rPr>
              <w:t>n.a.</w:t>
            </w:r>
            <w:proofErr w:type="spellEnd"/>
            <w:r w:rsidRPr="45C0B3F8" w:rsidR="002804C4">
              <w:rPr>
                <w:rFonts w:ascii="Calibri" w:hAnsi="Calibri" w:eastAsia="Times New Roman" w:cs="Calibri"/>
                <w:color w:val="000000" w:themeColor="text1" w:themeTint="FF" w:themeShade="FF"/>
              </w:rPr>
              <w:t xml:space="preserve"> </w:t>
            </w:r>
            <w:r w:rsidRPr="45C0B3F8" w:rsidR="382A3992">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 xml:space="preserve">(in some reports a limited number of missing values may be estimated by extra- or </w:t>
            </w:r>
            <w:r w:rsidRPr="45C0B3F8" w:rsidR="61B929EC">
              <w:rPr>
                <w:rFonts w:ascii="Calibri" w:hAnsi="Calibri" w:eastAsia="Times New Roman" w:cs="Calibri"/>
                <w:color w:val="000000" w:themeColor="text1" w:themeTint="FF" w:themeShade="FF"/>
              </w:rPr>
              <w:t>interpolation</w:t>
            </w:r>
            <w:r w:rsidRPr="45C0B3F8" w:rsidR="002804C4">
              <w:rPr>
                <w:rFonts w:ascii="Calibri" w:hAnsi="Calibri" w:eastAsia="Times New Roman" w:cs="Calibri"/>
                <w:color w:val="000000" w:themeColor="text1" w:themeTint="FF" w:themeShade="FF"/>
              </w:rPr>
              <w:t xml:space="preserve"> to obtain regional or global estimates, but these are not published at the country level</w:t>
            </w:r>
            <w:r w:rsidRPr="45C0B3F8" w:rsidR="512E97A3">
              <w:rPr>
                <w:rFonts w:ascii="Calibri" w:hAnsi="Calibri" w:eastAsia="Times New Roman" w:cs="Calibri"/>
                <w:color w:val="000000" w:themeColor="text1" w:themeTint="FF" w:themeShade="FF"/>
              </w:rPr>
              <w:t>\</w:t>
            </w:r>
            <w:r w:rsidRPr="45C0B3F8" w:rsidR="002804C4">
              <w:rPr>
                <w:rFonts w:ascii="Calibri" w:hAnsi="Calibri" w:eastAsia="Times New Roman" w:cs="Calibri"/>
                <w:color w:val="000000" w:themeColor="text1" w:themeTint="FF" w:themeShade="FF"/>
              </w:rPr>
              <w:t>)</w:t>
            </w:r>
          </w:p>
          <w:p w:rsidRPr="00D02A76" w:rsidR="000944B8" w:rsidP="005E4026" w:rsidRDefault="000944B8" w14:paraId="623827B6" w14:textId="0F3109AD">
            <w:pPr>
              <w:spacing w:after="0" w:line="240" w:lineRule="auto"/>
              <w:rPr>
                <w:rFonts w:ascii="Calibri" w:hAnsi="Calibri" w:eastAsia="Times New Roman" w:cs="Calibri"/>
                <w:color w:val="000000"/>
              </w:rPr>
            </w:pPr>
          </w:p>
        </w:tc>
      </w:tr>
      <w:tr w:rsidRPr="00D02A76" w:rsidR="002804C4" w:rsidTr="45C0B3F8" w14:paraId="728F07D8" w14:textId="77777777">
        <w:trPr>
          <w:trHeight w:val="900"/>
        </w:trPr>
        <w:tc>
          <w:tcPr>
            <w:tcW w:w="1325" w:type="dxa"/>
            <w:shd w:val="clear" w:color="auto" w:fill="auto"/>
            <w:tcMar/>
            <w:hideMark/>
          </w:tcPr>
          <w:p w:rsidRPr="00D02A76" w:rsidR="002804C4" w:rsidP="005E4026" w:rsidRDefault="00893E07" w14:paraId="3B528F2B" w14:textId="6B86F058">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IV.5</w:t>
            </w:r>
          </w:p>
        </w:tc>
        <w:tc>
          <w:tcPr>
            <w:tcW w:w="589" w:type="dxa"/>
            <w:shd w:val="clear" w:color="auto" w:fill="auto"/>
            <w:tcMar/>
            <w:hideMark/>
          </w:tcPr>
          <w:p w:rsidRPr="00D02A76" w:rsidR="002804C4" w:rsidP="005E4026" w:rsidRDefault="002804C4" w14:paraId="0543969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2804C4" w:rsidP="005E4026" w:rsidRDefault="002804C4" w14:paraId="0CF46B1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hideMark/>
          </w:tcPr>
          <w:p w:rsidR="002804C4" w:rsidP="005E4026" w:rsidRDefault="002804C4" w14:paraId="5C109B0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on Professional Judges or Magistrates by sex are globally available for around 100 countries covering almost half of the world population. The capacity of countries to supply these data is generally considered as good.</w:t>
            </w:r>
          </w:p>
          <w:p w:rsidRPr="00D02A76" w:rsidR="00AD6A3C" w:rsidP="005E4026" w:rsidRDefault="00AD6A3C" w14:paraId="17BCCAC4" w14:textId="4F5A7393">
            <w:pPr>
              <w:spacing w:after="0" w:line="240" w:lineRule="auto"/>
              <w:rPr>
                <w:rFonts w:ascii="Calibri" w:hAnsi="Calibri" w:eastAsia="Times New Roman" w:cs="Calibri"/>
                <w:color w:val="000000"/>
              </w:rPr>
            </w:pPr>
          </w:p>
        </w:tc>
      </w:tr>
      <w:tr w:rsidRPr="00D02A76" w:rsidR="002804C4" w:rsidTr="45C0B3F8" w14:paraId="061A8EB8" w14:textId="77777777">
        <w:trPr>
          <w:trHeight w:val="300"/>
        </w:trPr>
        <w:tc>
          <w:tcPr>
            <w:tcW w:w="1325" w:type="dxa"/>
            <w:shd w:val="clear" w:color="auto" w:fill="auto"/>
            <w:tcMar/>
            <w:hideMark/>
          </w:tcPr>
          <w:p w:rsidRPr="00D02A76" w:rsidR="002804C4" w:rsidP="005E4026" w:rsidRDefault="00893E07" w14:paraId="742CEE9D" w14:textId="6F109563">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hideMark/>
          </w:tcPr>
          <w:p w:rsidRPr="00D02A76" w:rsidR="002804C4" w:rsidP="005E4026" w:rsidRDefault="002804C4" w14:paraId="571A2DA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2804C4" w:rsidP="005E4026" w:rsidRDefault="002804C4" w14:paraId="2256232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hideMark/>
          </w:tcPr>
          <w:p w:rsidR="002804C4" w:rsidP="45C0B3F8" w:rsidRDefault="002804C4" w14:paraId="641A9AFC" w14:textId="0F61270D">
            <w:pPr>
              <w:pStyle w:val="Normal"/>
              <w:spacing w:after="0" w:line="240" w:lineRule="auto"/>
              <w:rPr>
                <w:rFonts w:ascii="Calibri" w:hAnsi="Calibri" w:eastAsia="Times New Roman" w:cs="Calibri"/>
                <w:color w:val="000000"/>
              </w:rPr>
            </w:pPr>
            <w:r w:rsidRPr="45C0B3F8" w:rsidR="002804C4">
              <w:rPr>
                <w:rFonts w:ascii="Calibri" w:hAnsi="Calibri" w:eastAsia="Times New Roman" w:cs="Calibri"/>
                <w:color w:val="000000" w:themeColor="text1" w:themeTint="FF" w:themeShade="FF"/>
              </w:rPr>
              <w:t xml:space="preserve">Available data on judges and magistrates and the annual UN-CTS are published on the new data </w:t>
            </w:r>
            <w:r w:rsidRPr="45C0B3F8" w:rsidR="009910DD">
              <w:rPr>
                <w:rFonts w:ascii="Calibri" w:hAnsi="Calibri" w:eastAsia="Times New Roman" w:cs="Calibri"/>
                <w:color w:val="000000" w:themeColor="text1" w:themeTint="FF" w:themeShade="FF"/>
              </w:rPr>
              <w:t>portal</w:t>
            </w:r>
            <w:r w:rsidRPr="45C0B3F8" w:rsidR="002804C4">
              <w:rPr>
                <w:rFonts w:ascii="Calibri" w:hAnsi="Calibri" w:eastAsia="Times New Roman" w:cs="Calibri"/>
                <w:color w:val="000000" w:themeColor="text1" w:themeTint="FF" w:themeShade="FF"/>
              </w:rPr>
              <w:t xml:space="preserve"> of UNODC: </w:t>
            </w:r>
            <w:r w:rsidRPr="45C0B3F8" w:rsidR="03986C6C">
              <w:rPr>
                <w:rFonts w:ascii="Calibri" w:hAnsi="Calibri" w:eastAsia="Times New Roman" w:cs="Calibri"/>
                <w:color w:val="000000" w:themeColor="text1" w:themeTint="FF" w:themeShade="FF"/>
              </w:rPr>
              <w:t>[</w:t>
            </w:r>
            <w:hyperlink r:id="R7b9eac68a7524378">
              <w:r w:rsidRPr="45C0B3F8" w:rsidR="009265C9">
                <w:rPr>
                  <w:rStyle w:val="Hyperlink"/>
                  <w:rFonts w:ascii="Calibri" w:hAnsi="Calibri" w:eastAsia="Times New Roman" w:cs="Calibri"/>
                </w:rPr>
                <w:t>https://dataunodc.un.org/</w:t>
              </w:r>
              <w:r w:rsidRPr="45C0B3F8" w:rsidR="07598EBC">
                <w:rPr>
                  <w:rStyle w:val="Hyperlink"/>
                  <w:rFonts w:ascii="Calibri" w:hAnsi="Calibri" w:eastAsia="Times New Roman" w:cs="Calibri"/>
                </w:rPr>
                <w:t>](</w:t>
              </w:r>
            </w:hyperlink>
            <w:hyperlink r:id="R27cb1cdb29b24a59">
              <w:r w:rsidRPr="45C0B3F8" w:rsidR="07598EBC">
                <w:rPr>
                  <w:rStyle w:val="Hyperlink"/>
                  <w:rFonts w:ascii="Calibri" w:hAnsi="Calibri" w:eastAsia="Times New Roman" w:cs="Calibri"/>
                </w:rPr>
                <w:t>https://dataunodc.un.org/)</w:t>
              </w:r>
            </w:hyperlink>
            <w:r w:rsidRPr="45C0B3F8" w:rsidR="009265C9">
              <w:rPr>
                <w:rFonts w:ascii="Calibri" w:hAnsi="Calibri" w:eastAsia="Times New Roman" w:cs="Calibri"/>
                <w:color w:val="000000" w:themeColor="text1" w:themeTint="FF" w:themeShade="FF"/>
              </w:rPr>
              <w:t>.</w:t>
            </w:r>
          </w:p>
          <w:p w:rsidRPr="00D02A76" w:rsidR="009265C9" w:rsidP="005E4026" w:rsidRDefault="009265C9" w14:paraId="5D906870" w14:textId="262B3EF2">
            <w:pPr>
              <w:spacing w:after="0" w:line="240" w:lineRule="auto"/>
              <w:rPr>
                <w:rFonts w:ascii="Calibri" w:hAnsi="Calibri" w:eastAsia="Times New Roman" w:cs="Calibri"/>
                <w:color w:val="000000"/>
              </w:rPr>
            </w:pPr>
          </w:p>
        </w:tc>
      </w:tr>
      <w:tr w:rsidRPr="00D02A76" w:rsidR="00893E07" w:rsidTr="45C0B3F8" w14:paraId="1685FF0B" w14:textId="77777777">
        <w:trPr>
          <w:trHeight w:val="300"/>
        </w:trPr>
        <w:tc>
          <w:tcPr>
            <w:tcW w:w="1325" w:type="dxa"/>
            <w:shd w:val="clear" w:color="auto" w:fill="auto"/>
            <w:tcMar/>
          </w:tcPr>
          <w:p w:rsidRPr="00D02A76" w:rsidR="00893E07" w:rsidP="005E4026" w:rsidRDefault="00893E07" w14:paraId="0DB6B05B" w14:textId="16A6636B">
            <w:pPr>
              <w:spacing w:after="0" w:line="240" w:lineRule="auto"/>
              <w:jc w:val="right"/>
              <w:rPr>
                <w:rFonts w:ascii="Calibri" w:hAnsi="Calibri" w:eastAsia="Times New Roman" w:cs="Calibri"/>
                <w:color w:val="000000"/>
              </w:rPr>
            </w:pPr>
            <w:r>
              <w:rPr>
                <w:rFonts w:ascii="Calibri" w:hAnsi="Calibri" w:eastAsia="Times New Roman" w:cs="Calibri"/>
                <w:color w:val="000000"/>
              </w:rPr>
              <w:t>IV.5</w:t>
            </w:r>
          </w:p>
        </w:tc>
        <w:tc>
          <w:tcPr>
            <w:tcW w:w="589" w:type="dxa"/>
            <w:shd w:val="clear" w:color="auto" w:fill="auto"/>
            <w:tcMar/>
          </w:tcPr>
          <w:p w:rsidRPr="00D02A76" w:rsidR="00893E07" w:rsidP="005E4026" w:rsidRDefault="00893E07" w14:paraId="3498506D" w14:textId="771D5D43">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893E07" w:rsidP="005E4026" w:rsidRDefault="00893E07" w14:paraId="5252365F" w14:textId="1CDF16E1">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00893E07" w:rsidP="005E4026" w:rsidRDefault="00893E07" w14:paraId="18F5116C" w14:textId="529F29EA">
            <w:pPr>
              <w:spacing w:after="0" w:line="240" w:lineRule="auto"/>
              <w:rPr>
                <w:rFonts w:ascii="Calibri" w:hAnsi="Calibri" w:eastAsia="Times New Roman" w:cs="Calibri"/>
                <w:color w:val="000000"/>
              </w:rPr>
            </w:pPr>
            <w:r w:rsidRPr="1E6A3CFC" w:rsidR="00893E07">
              <w:rPr>
                <w:rFonts w:ascii="Calibri" w:hAnsi="Calibri" w:eastAsia="Times New Roman" w:cs="Calibri"/>
                <w:color w:val="000000" w:themeColor="text1" w:themeTint="FF" w:themeShade="FF"/>
              </w:rPr>
              <w:t xml:space="preserve">Data and metadata were received from UNODC </w:t>
            </w:r>
            <w:r w:rsidRPr="1E6A3CFC" w:rsidR="21FB43FB">
              <w:rPr>
                <w:rFonts w:ascii="Calibri" w:hAnsi="Calibri" w:eastAsia="Times New Roman" w:cs="Calibri"/>
                <w:color w:val="000000" w:themeColor="text1" w:themeTint="FF" w:themeShade="FF"/>
              </w:rPr>
              <w:t>on</w:t>
            </w:r>
            <w:r w:rsidRPr="1E6A3CFC" w:rsidR="00893E07">
              <w:rPr>
                <w:rFonts w:ascii="Calibri" w:hAnsi="Calibri" w:eastAsia="Times New Roman" w:cs="Calibri"/>
                <w:color w:val="000000" w:themeColor="text1" w:themeTint="FF" w:themeShade="FF"/>
              </w:rPr>
              <w:t xml:space="preserve"> 12 December 2019</w:t>
            </w:r>
          </w:p>
          <w:p w:rsidRPr="00D02A76" w:rsidR="00893E07" w:rsidP="005E4026" w:rsidRDefault="00893E07" w14:paraId="36FCAD02" w14:textId="7BA8E20D">
            <w:pPr>
              <w:spacing w:after="0" w:line="240" w:lineRule="auto"/>
              <w:rPr>
                <w:rFonts w:ascii="Calibri" w:hAnsi="Calibri" w:eastAsia="Times New Roman" w:cs="Calibri"/>
                <w:color w:val="000000"/>
              </w:rPr>
            </w:pPr>
          </w:p>
        </w:tc>
      </w:tr>
    </w:tbl>
    <w:p w:rsidR="00AA7654" w:rsidRDefault="00AA7654" w14:paraId="76761283" w14:textId="77777777"/>
    <w:sectPr w:rsidR="00AA7654" w:rsidSect="002804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C4"/>
    <w:rsid w:val="000944B8"/>
    <w:rsid w:val="002804C4"/>
    <w:rsid w:val="00787537"/>
    <w:rsid w:val="00811B74"/>
    <w:rsid w:val="00893E07"/>
    <w:rsid w:val="008C412A"/>
    <w:rsid w:val="009265C9"/>
    <w:rsid w:val="009910DD"/>
    <w:rsid w:val="009E3AC7"/>
    <w:rsid w:val="00A6533D"/>
    <w:rsid w:val="00AA63B3"/>
    <w:rsid w:val="00AA7654"/>
    <w:rsid w:val="00AD6A3C"/>
    <w:rsid w:val="00E22DA9"/>
    <w:rsid w:val="03986C6C"/>
    <w:rsid w:val="07598EBC"/>
    <w:rsid w:val="0AF1D8CE"/>
    <w:rsid w:val="1647ABEB"/>
    <w:rsid w:val="1E6A3CFC"/>
    <w:rsid w:val="21FB43FB"/>
    <w:rsid w:val="382A3992"/>
    <w:rsid w:val="3C32FA0F"/>
    <w:rsid w:val="40F35AE8"/>
    <w:rsid w:val="45C0B3F8"/>
    <w:rsid w:val="46C54C5B"/>
    <w:rsid w:val="491193CF"/>
    <w:rsid w:val="4B1B6352"/>
    <w:rsid w:val="4D2C5F66"/>
    <w:rsid w:val="512E97A3"/>
    <w:rsid w:val="5D6E2C8F"/>
    <w:rsid w:val="61B929EC"/>
    <w:rsid w:val="6684B977"/>
    <w:rsid w:val="7F7A3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6B5C"/>
  <w15:chartTrackingRefBased/>
  <w15:docId w15:val="{A3F93F6B-9F0D-4440-B5F1-9166A7C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04C4"/>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AA63B3"/>
  </w:style>
  <w:style w:type="character" w:styleId="eop" w:customStyle="1">
    <w:name w:val="eop"/>
    <w:basedOn w:val="DefaultParagraphFont"/>
    <w:rsid w:val="00AA63B3"/>
  </w:style>
  <w:style w:type="character" w:styleId="Hyperlink">
    <w:name w:val="Hyperlink"/>
    <w:basedOn w:val="DefaultParagraphFont"/>
    <w:uiPriority w:val="99"/>
    <w:unhideWhenUsed/>
    <w:rsid w:val="009265C9"/>
    <w:rPr>
      <w:color w:val="0563C1" w:themeColor="hyperlink"/>
      <w:u w:val="single"/>
    </w:rPr>
  </w:style>
  <w:style w:type="character" w:styleId="UnresolvedMention">
    <w:name w:val="Unresolved Mention"/>
    <w:basedOn w:val="DefaultParagraphFont"/>
    <w:uiPriority w:val="99"/>
    <w:semiHidden/>
    <w:unhideWhenUsed/>
    <w:rsid w:val="00926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hyperlink" Target="https://dataunodc.un.org/](" TargetMode="External" Id="R7b9eac68a7524378" /><Relationship Type="http://schemas.openxmlformats.org/officeDocument/2006/relationships/hyperlink" Target="https://dataunodc.un.org/](" TargetMode="External" Id="R27cb1cdb29b24a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6E271AB-4587-445B-A5DD-D30E326D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73B33-064F-4A44-91C0-6DC8B594A7F1}">
  <ds:schemaRefs>
    <ds:schemaRef ds:uri="http://schemas.microsoft.com/sharepoint/v3/contenttype/forms"/>
  </ds:schemaRefs>
</ds:datastoreItem>
</file>

<file path=customXml/itemProps3.xml><?xml version="1.0" encoding="utf-8"?>
<ds:datastoreItem xmlns:ds="http://schemas.openxmlformats.org/officeDocument/2006/customXml" ds:itemID="{0C765F9A-AD6C-44D5-9422-4374B46545DC}">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14</revision>
  <dcterms:created xsi:type="dcterms:W3CDTF">2021-08-24T15:37:00.0000000Z</dcterms:created>
  <dcterms:modified xsi:type="dcterms:W3CDTF">2021-09-07T21:47:10.6915061Z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