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243"/>
      </w:tblGrid>
      <w:tr w:rsidRPr="00D02A76" w:rsidR="00A1119B" w:rsidTr="586D7C5E" w14:paraId="46DD367C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A1119B" w:rsidP="005E54E0" w:rsidRDefault="00A1119B" w14:paraId="0EA87B10" w14:textId="204A00B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A1119B" w:rsidP="005E54E0" w:rsidRDefault="00A1119B" w14:paraId="7085E090" w14:textId="6CE0FC3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A1119B" w:rsidP="005E54E0" w:rsidRDefault="00A1119B" w14:paraId="5B04E6A7" w14:textId="4C0291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A1119B" w:rsidP="005E54E0" w:rsidRDefault="00A1119B" w14:paraId="661175B3" w14:textId="5F2316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Pr="00D02A76" w:rsidR="00A1119B" w:rsidTr="586D7C5E" w14:paraId="08FCBB5D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7966160D" w14:textId="1513C29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4048CD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43FA92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8243" w:type="dxa"/>
            <w:shd w:val="clear" w:color="auto" w:fill="auto"/>
            <w:tcMar/>
          </w:tcPr>
          <w:p w:rsidRPr="004644BA" w:rsidR="004644BA" w:rsidP="004644BA" w:rsidRDefault="004644BA" w14:paraId="24CCB36D" w14:textId="3B9EC23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644BA">
              <w:rPr>
                <w:rFonts w:ascii="Calibri" w:hAnsi="Calibri" w:eastAsia="Times New Roman" w:cs="Calibri"/>
                <w:color w:val="000000"/>
              </w:rPr>
              <w:t xml:space="preserve">Name: Marie-Claire Sodergren  </w:t>
            </w:r>
          </w:p>
          <w:p w:rsidRPr="004644BA" w:rsidR="004644BA" w:rsidP="004644BA" w:rsidRDefault="004644BA" w14:paraId="5A43C75C" w14:textId="059394B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644BA">
              <w:rPr>
                <w:rFonts w:ascii="Calibri" w:hAnsi="Calibri" w:eastAsia="Times New Roman" w:cs="Calibri"/>
                <w:color w:val="000000"/>
              </w:rPr>
              <w:t xml:space="preserve">Agency: ILO </w:t>
            </w:r>
          </w:p>
          <w:p w:rsidRPr="004644BA" w:rsidR="004644BA" w:rsidP="004644BA" w:rsidRDefault="004644BA" w14:paraId="4CAD7444" w14:textId="262EEC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644BA">
              <w:rPr>
                <w:rFonts w:ascii="Calibri" w:hAnsi="Calibri" w:eastAsia="Times New Roman" w:cs="Calibri"/>
                <w:color w:val="000000"/>
              </w:rPr>
              <w:t xml:space="preserve">Title: Economist, Department of Statistics  </w:t>
            </w:r>
          </w:p>
          <w:p w:rsidRPr="004644BA" w:rsidR="004644BA" w:rsidP="586D7C5E" w:rsidRDefault="004644BA" w14:paraId="2E6E498C" w14:textId="5560D0E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58ECD336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586D7C5E" w:rsidR="004644BA">
              <w:rPr>
                <w:rFonts w:ascii="Calibri" w:hAnsi="Calibri" w:eastAsia="Times New Roman" w:cs="Calibri"/>
                <w:color w:val="000000" w:themeColor="text1" w:themeTint="FF" w:themeShade="FF"/>
              </w:rPr>
              <w:t>sodergren@ilo.org</w:t>
            </w:r>
            <w:r w:rsidRPr="586D7C5E" w:rsidR="197AEFE0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](mailto:sodergren@ilo.org)</w:t>
            </w:r>
          </w:p>
          <w:p w:rsidR="00A1119B" w:rsidP="586D7C5E" w:rsidRDefault="004644BA" w14:paraId="5DD4C2FC" w14:textId="6495A69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197AEFE0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586D7C5E" w:rsidR="004644BA">
              <w:rPr>
                <w:rFonts w:ascii="Calibri" w:hAnsi="Calibri" w:eastAsia="Times New Roman" w:cs="Calibri"/>
                <w:color w:val="000000" w:themeColor="text1" w:themeTint="FF" w:themeShade="FF"/>
              </w:rPr>
              <w:t>ilostat.ilo.org</w:t>
            </w:r>
            <w:r w:rsidRPr="586D7C5E" w:rsidR="0D6D0C36">
              <w:rPr>
                <w:rFonts w:ascii="Calibri" w:hAnsi="Calibri" w:eastAsia="Times New Roman" w:cs="Calibri"/>
                <w:color w:val="000000" w:themeColor="text1" w:themeTint="FF" w:themeShade="FF"/>
              </w:rPr>
              <w:t>](ilostat.ilo.org)</w:t>
            </w:r>
          </w:p>
          <w:p w:rsidRPr="00D02A76" w:rsidR="00C46960" w:rsidP="004644BA" w:rsidRDefault="00C46960" w14:paraId="7EC6565B" w14:textId="4590C4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26B8CE96" w14:textId="77777777">
        <w:trPr>
          <w:trHeight w:val="15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62AC9914" w14:textId="0DFAA29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59537E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7329F1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</w:p>
        </w:tc>
        <w:tc>
          <w:tcPr>
            <w:tcW w:w="8243" w:type="dxa"/>
            <w:shd w:val="clear" w:color="auto" w:fill="auto"/>
            <w:tcMar/>
          </w:tcPr>
          <w:p w:rsidR="00680172" w:rsidP="005E54E0" w:rsidRDefault="00680172" w14:paraId="566AF4D9" w14:textId="1589C1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680172">
              <w:rPr>
                <w:rFonts w:ascii="Calibri" w:hAnsi="Calibri" w:eastAsia="Times New Roman" w:cs="Calibri"/>
                <w:color w:val="000000"/>
              </w:rPr>
              <w:t>The prime-age employment-to-population ratio is the number of persons aged 25 to 54 years who are employed as a percentage of the population aged 25 to 54 years.</w:t>
            </w:r>
          </w:p>
          <w:p w:rsidR="00FD4A4D" w:rsidP="005E54E0" w:rsidRDefault="00FD4A4D" w14:paraId="60CF925F" w14:textId="162F43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FD4A4D" w:rsidP="005E54E0" w:rsidRDefault="00FD4A4D" w14:paraId="2E489133" w14:textId="782AE4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FD4A4D">
              <w:rPr>
                <w:rFonts w:ascii="Calibri" w:hAnsi="Calibri" w:eastAsia="Times New Roman" w:cs="Calibri"/>
                <w:color w:val="000000"/>
              </w:rPr>
              <w:t>The types of households are classified as follows:</w:t>
            </w:r>
          </w:p>
          <w:p w:rsidRPr="00CE4BC5" w:rsidR="00CE4BC5" w:rsidP="00CE4BC5" w:rsidRDefault="00CE4BC5" w14:paraId="6FBB7811" w14:textId="092EAE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One person</w:t>
            </w:r>
          </w:p>
          <w:p w:rsidRPr="00CE4BC5" w:rsidR="00CE4BC5" w:rsidP="00CE4BC5" w:rsidRDefault="00CE4BC5" w14:paraId="05FA1A7E" w14:textId="698D5B9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Couple without children</w:t>
            </w:r>
          </w:p>
          <w:p w:rsidRPr="00CE4BC5" w:rsidR="00CE4BC5" w:rsidP="00CE4BC5" w:rsidRDefault="00CE4BC5" w14:paraId="66D7000E" w14:textId="536205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Couple with children</w:t>
            </w:r>
          </w:p>
          <w:p w:rsidRPr="00CE4BC5" w:rsidR="00CE4BC5" w:rsidP="00CE4BC5" w:rsidRDefault="00CE4BC5" w14:paraId="612A0056" w14:textId="46318A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Lone parent</w:t>
            </w:r>
          </w:p>
          <w:p w:rsidRPr="00CE4BC5" w:rsidR="00CE4BC5" w:rsidP="00CE4BC5" w:rsidRDefault="00CE4BC5" w14:paraId="235BC89F" w14:textId="41C8D4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Extended family</w:t>
            </w:r>
          </w:p>
          <w:p w:rsidRPr="00CE4BC5" w:rsidR="00FD4A4D" w:rsidP="00CE4BC5" w:rsidRDefault="00CE4BC5" w14:paraId="208DC285" w14:textId="52C64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4BC5">
              <w:rPr>
                <w:rFonts w:ascii="Calibri" w:hAnsi="Calibri" w:eastAsia="Times New Roman" w:cs="Calibri"/>
                <w:color w:val="000000"/>
              </w:rPr>
              <w:t>Total</w:t>
            </w:r>
          </w:p>
          <w:p w:rsidR="00680172" w:rsidP="005E54E0" w:rsidRDefault="00680172" w14:paraId="128DF3D7" w14:textId="687D10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927E81" w:rsidP="005E54E0" w:rsidRDefault="00927E81" w14:paraId="20FF89A7" w14:textId="2D7A9B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00927E81">
              <w:rPr>
                <w:rFonts w:ascii="Calibri" w:hAnsi="Calibri" w:eastAsia="Times New Roman" w:cs="Calibri"/>
                <w:color w:val="000000" w:themeColor="text1" w:themeTint="FF" w:themeShade="FF"/>
              </w:rPr>
              <w:t>Household types are also disaggregated by the presence of children under</w:t>
            </w:r>
            <w:r w:rsidRPr="586D7C5E" w:rsidR="1B3AE8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and </w:t>
            </w:r>
            <w:r w:rsidRPr="586D7C5E" w:rsidR="00927E81">
              <w:rPr>
                <w:rFonts w:ascii="Calibri" w:hAnsi="Calibri" w:eastAsia="Times New Roman" w:cs="Calibri"/>
                <w:color w:val="000000" w:themeColor="text1" w:themeTint="FF" w:themeShade="FF"/>
              </w:rPr>
              <w:t>above age 6 or by the number of children under</w:t>
            </w:r>
            <w:r w:rsidRPr="586D7C5E" w:rsidR="616237A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and </w:t>
            </w:r>
            <w:r w:rsidRPr="586D7C5E" w:rsidR="00927E81">
              <w:rPr>
                <w:rFonts w:ascii="Calibri" w:hAnsi="Calibri" w:eastAsia="Times New Roman" w:cs="Calibri"/>
                <w:color w:val="000000" w:themeColor="text1" w:themeTint="FF" w:themeShade="FF"/>
              </w:rPr>
              <w:t>above age 6.</w:t>
            </w:r>
          </w:p>
          <w:p w:rsidR="00CE4BC5" w:rsidP="005E54E0" w:rsidRDefault="00CE4BC5" w14:paraId="0041C4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283769" w:rsidP="586D7C5E" w:rsidRDefault="00C4405A" w14:paraId="5A955A05" w14:textId="452BC9F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The employment-to-population ratio is the proportion of a country’s working-age</w:t>
            </w:r>
            <w:r w:rsidRPr="586D7C5E" w:rsidR="0028376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population that is employed. Employment comprises all persons of working age who</w:t>
            </w:r>
            <w:r w:rsidRPr="586D7C5E" w:rsidR="0028376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during a specified brief period, such as one week or one day, were in the following</w:t>
            </w:r>
            <w:r w:rsidRPr="586D7C5E" w:rsidR="0028376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categories: </w:t>
            </w:r>
          </w:p>
          <w:p w:rsidR="00283769" w:rsidP="586D7C5E" w:rsidRDefault="00C4405A" w14:paraId="63E04ED9" w14:textId="7BE176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paid employment </w:t>
            </w:r>
            <w:r w:rsidRPr="586D7C5E" w:rsidR="0F424E05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(whether at work or with a job but not at work</w:t>
            </w:r>
            <w:r w:rsidRPr="586D7C5E" w:rsidR="0F0D123C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); </w:t>
            </w:r>
          </w:p>
          <w:p w:rsidR="00283769" w:rsidP="586D7C5E" w:rsidRDefault="00C4405A" w14:paraId="2C4A34FF" w14:textId="6D4A36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self-employment </w:t>
            </w:r>
            <w:r w:rsidRPr="586D7C5E" w:rsidR="57F06BD4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(whether at work or with an enterprise but not at work</w:t>
            </w:r>
            <w:r w:rsidRPr="586D7C5E" w:rsidR="64A6CFD0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C4405A">
              <w:rPr>
                <w:rFonts w:ascii="Calibri" w:hAnsi="Calibri" w:eastAsia="Times New Roman" w:cs="Calibri"/>
                <w:color w:val="000000" w:themeColor="text1" w:themeTint="FF" w:themeShade="FF"/>
              </w:rPr>
              <w:t>).</w:t>
            </w:r>
          </w:p>
          <w:p w:rsidRPr="00D02A76" w:rsidR="00C4405A" w:rsidP="00246AD6" w:rsidRDefault="00C4405A" w14:paraId="2B1D3AFA" w14:textId="5D498B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78A8B0F8" w14:textId="77777777">
        <w:trPr>
          <w:trHeight w:val="3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1ADA25B0" w14:textId="79AEC64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05BDE5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61160A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EA490E" w:rsidP="005E54E0" w:rsidRDefault="00EA490E" w14:paraId="25A4E837" w14:textId="08C548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00EA490E">
              <w:rPr>
                <w:rFonts w:ascii="Calibri" w:hAnsi="Calibri" w:eastAsia="Times New Roman" w:cs="Calibri"/>
                <w:color w:val="000000" w:themeColor="text1" w:themeTint="FF" w:themeShade="FF"/>
              </w:rPr>
              <w:t>The employment-to-population ratio is calcula</w:t>
            </w:r>
            <w:r w:rsidRPr="586D7C5E" w:rsidR="7A8D5B6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ted by dividing the persons employed by the working-age population and multiplying the </w:t>
            </w:r>
            <w:r w:rsidRPr="586D7C5E" w:rsidR="2682AF9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value </w:t>
            </w:r>
            <w:r w:rsidRPr="586D7C5E" w:rsidR="7A8D5B69">
              <w:rPr>
                <w:rFonts w:ascii="Calibri" w:hAnsi="Calibri" w:eastAsia="Times New Roman" w:cs="Calibri"/>
                <w:color w:val="000000" w:themeColor="text1" w:themeTint="FF" w:themeShade="FF"/>
              </w:rPr>
              <w:t>by 100.</w:t>
            </w:r>
          </w:p>
        </w:tc>
      </w:tr>
      <w:tr w:rsidRPr="00D02A76" w:rsidR="00A1119B" w:rsidTr="586D7C5E" w14:paraId="7F16AF18" w14:textId="77777777">
        <w:trPr>
          <w:trHeight w:val="21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7A9A0025" w14:textId="419F129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22F8B2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39E57B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243" w:type="dxa"/>
            <w:shd w:val="clear" w:color="auto" w:fill="auto"/>
            <w:tcMar/>
          </w:tcPr>
          <w:p w:rsidR="00A1119B" w:rsidP="51BAE5A0" w:rsidRDefault="00C005DE" w14:paraId="2D2DBEDA" w14:textId="79C996E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1BAE5A0" w:rsidR="00C005DE">
              <w:rPr>
                <w:rFonts w:ascii="Calibri" w:hAnsi="Calibri" w:eastAsia="Times New Roman" w:cs="Calibri"/>
                <w:color w:val="000000" w:themeColor="text1" w:themeTint="FF" w:themeShade="FF"/>
              </w:rPr>
              <w:t>The employment-to-population ratio provides information on the ability of an economy to create employment; for many countries the indicator is often more insightful than the unemployment rate.</w:t>
            </w:r>
            <w:r w:rsidRPr="51BAE5A0" w:rsidR="00C005D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  <w:p w:rsidR="00A1119B" w:rsidP="51BAE5A0" w:rsidRDefault="00C005DE" w14:paraId="7EE07FD1" w14:textId="4F97B08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  <w:p w:rsidR="00A1119B" w:rsidP="005E54E0" w:rsidRDefault="00C005DE" w14:paraId="5287B191" w14:textId="25CD922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1BAE5A0" w:rsidR="00A806E1">
              <w:rPr>
                <w:rFonts w:ascii="Calibri" w:hAnsi="Calibri" w:eastAsia="Times New Roman" w:cs="Calibri"/>
                <w:color w:val="000000" w:themeColor="text1" w:themeTint="FF" w:themeShade="FF"/>
              </w:rPr>
              <w:t>It is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of particular interest when broken down by sex, as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the ratios for men and women can provide information on gender differences in </w:t>
            </w:r>
            <w:proofErr w:type="spellStart"/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labour</w:t>
            </w:r>
            <w:proofErr w:type="spellEnd"/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markets. However, it should also be emphasized that this indicator has a gender bias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insofar as there is a tendency to under-count women who do not consider their work as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“employment” or are not perceived by others as “working”. Women are often the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primary child caretakers and responsible for various tasks at home, which can prohibit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them from seeking paid employment, particularly if they are not supported by socio-cultural attitudes and/or family-friendly policies and </w:t>
            </w:r>
            <w:proofErr w:type="spellStart"/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programmes</w:t>
            </w:r>
            <w:proofErr w:type="spellEnd"/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that allow them to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1BAE5A0" w:rsidR="00A5129E">
              <w:rPr>
                <w:rFonts w:ascii="Calibri" w:hAnsi="Calibri" w:eastAsia="Times New Roman" w:cs="Calibri"/>
                <w:color w:val="000000" w:themeColor="text1" w:themeTint="FF" w:themeShade="FF"/>
              </w:rPr>
              <w:t>balance work and family responsibilities.</w:t>
            </w:r>
          </w:p>
          <w:p w:rsidRPr="00D02A76" w:rsidR="00A5129E" w:rsidP="51BAE5A0" w:rsidRDefault="00A5129E" w14:paraId="33D1D4C4" w14:noSpellErr="1" w14:textId="7E67EA7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3A005537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24481AC4" w14:textId="238BE1D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57094B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1AB38C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A1119B" w:rsidP="005E54E0" w:rsidRDefault="00A1119B" w14:paraId="7529D703" w14:textId="28C66C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6645B9D9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39D1FB4B" w14:textId="3654DF1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36259A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5B977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8243" w:type="dxa"/>
            <w:shd w:val="clear" w:color="auto" w:fill="auto"/>
            <w:tcMar/>
          </w:tcPr>
          <w:p w:rsidR="0072097C" w:rsidP="005E54E0" w:rsidRDefault="0072097C" w14:paraId="0E0A459A" w14:textId="3A8E22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Labour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force surveys are the preferred source of information for determining the</w:t>
            </w:r>
            <w:r w:rsidRPr="586D7C5E" w:rsidR="00B67DE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employment-to-population ratio. Such surveys can be designed to cover virtually the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entire non-institutional population of a given country, all branches of economic activity,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all sectors of the economy and all categories of workers, including the self-employed,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contributing family workers, casual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workers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and multiple jobholders. In addition, such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surveys generally provide an opportunity for the simultaneous measurement of the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employed, the unemployed and persons outside the </w:t>
            </w:r>
            <w:proofErr w:type="spellStart"/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labour</w:t>
            </w:r>
            <w:proofErr w:type="spellEnd"/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force </w:t>
            </w:r>
            <w:r w:rsidRPr="586D7C5E" w:rsidR="039BEE51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(and thus, the</w:t>
            </w:r>
            <w:r w:rsidRPr="586D7C5E" w:rsidR="004952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working-age population</w:t>
            </w:r>
            <w:r w:rsidRPr="586D7C5E" w:rsidR="032411F3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586D7C5E" w:rsidR="0072097C">
              <w:rPr>
                <w:rFonts w:ascii="Calibri" w:hAnsi="Calibri" w:eastAsia="Times New Roman" w:cs="Calibri"/>
                <w:color w:val="000000" w:themeColor="text1" w:themeTint="FF" w:themeShade="FF"/>
              </w:rPr>
              <w:t>) in a coherent framework.</w:t>
            </w:r>
          </w:p>
          <w:p w:rsidR="0072097C" w:rsidP="005E54E0" w:rsidRDefault="0072097C" w14:paraId="5C627C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A1119B" w:rsidP="005E54E0" w:rsidRDefault="0072097C" w14:paraId="76A16464" w14:textId="58C97A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72097C">
              <w:rPr>
                <w:rFonts w:ascii="Calibri" w:hAnsi="Calibri" w:eastAsia="Times New Roman" w:cs="Calibri"/>
                <w:color w:val="000000"/>
              </w:rPr>
              <w:t>Other types of household surveys and population censuses can also be used as sources</w:t>
            </w:r>
            <w:r w:rsidR="00495267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72097C">
              <w:rPr>
                <w:rFonts w:ascii="Calibri" w:hAnsi="Calibri" w:eastAsia="Times New Roman" w:cs="Calibri"/>
                <w:color w:val="000000"/>
              </w:rPr>
              <w:t>of data to derive employment-to-population ratios. The information obtained from such</w:t>
            </w:r>
            <w:r w:rsidR="00495267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72097C">
              <w:rPr>
                <w:rFonts w:ascii="Calibri" w:hAnsi="Calibri" w:eastAsia="Times New Roman" w:cs="Calibri"/>
                <w:color w:val="000000"/>
              </w:rPr>
              <w:t>sources may however be less reliable since they do not typically allow for detailed</w:t>
            </w:r>
            <w:r w:rsidR="00495267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72097C">
              <w:rPr>
                <w:rFonts w:ascii="Calibri" w:hAnsi="Calibri" w:eastAsia="Times New Roman" w:cs="Calibri"/>
                <w:color w:val="000000"/>
              </w:rPr>
              <w:t xml:space="preserve">probing on the </w:t>
            </w:r>
            <w:proofErr w:type="spellStart"/>
            <w:r w:rsidRPr="0072097C">
              <w:rPr>
                <w:rFonts w:ascii="Calibri" w:hAnsi="Calibri" w:eastAsia="Times New Roman" w:cs="Calibri"/>
                <w:color w:val="000000"/>
              </w:rPr>
              <w:t>labour</w:t>
            </w:r>
            <w:proofErr w:type="spellEnd"/>
            <w:r w:rsidRPr="0072097C">
              <w:rPr>
                <w:rFonts w:ascii="Calibri" w:hAnsi="Calibri" w:eastAsia="Times New Roman" w:cs="Calibri"/>
                <w:color w:val="000000"/>
              </w:rPr>
              <w:t xml:space="preserve"> market activities of the respondents.</w:t>
            </w:r>
          </w:p>
          <w:p w:rsidRPr="00D02A76" w:rsidR="00495267" w:rsidP="005E54E0" w:rsidRDefault="00495267" w14:paraId="5DD8B352" w14:textId="19CD5E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4F02EC93" w14:textId="77777777">
        <w:trPr>
          <w:trHeight w:val="15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1BF7AF19" w14:textId="314007B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453CDE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4B4028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A1119B" w:rsidP="005E54E0" w:rsidRDefault="00A1119B" w14:paraId="7751FB2B" w14:textId="054E5E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2686634E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3E3A985F" w14:textId="13E9AC0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7F51E5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03E46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A1119B" w:rsidP="005E54E0" w:rsidRDefault="00A1119B" w14:paraId="6B5BF167" w14:textId="2A801E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1119B" w:rsidTr="586D7C5E" w14:paraId="32C72C0A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1119B" w:rsidP="005E54E0" w:rsidRDefault="000E5539" w14:paraId="0C9C5D70" w14:textId="0F0A319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</w:t>
            </w:r>
            <w:r w:rsidRPr="00D02A76" w:rsidR="00A1119B">
              <w:rPr>
                <w:rFonts w:ascii="Calibri" w:hAnsi="Calibri" w:eastAsia="Times New Roman" w:cs="Calibri"/>
                <w:color w:val="000000"/>
              </w:rPr>
              <w:t>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1119B" w:rsidP="005E54E0" w:rsidRDefault="00A1119B" w14:paraId="1073E4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1119B" w:rsidP="005E54E0" w:rsidRDefault="00A1119B" w14:paraId="490C78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8243" w:type="dxa"/>
            <w:shd w:val="clear" w:color="auto" w:fill="auto"/>
            <w:tcMar/>
          </w:tcPr>
          <w:p w:rsidRPr="00D02A76" w:rsidR="00A1119B" w:rsidP="005E54E0" w:rsidRDefault="00A1119B" w14:paraId="7E81946C" w14:textId="101243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0E5539" w:rsidTr="586D7C5E" w14:paraId="69DA3B4C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="000E5539" w:rsidP="005E54E0" w:rsidRDefault="000E5539" w14:paraId="5842E24E" w14:textId="0699362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I.1</w:t>
            </w:r>
            <w:r w:rsidR="00B33384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0E5539" w:rsidP="005E54E0" w:rsidRDefault="000E5539" w14:paraId="18F09F4F" w14:textId="25FDEEC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0E5539" w:rsidP="005E54E0" w:rsidRDefault="000E5539" w14:paraId="621C4C6D" w14:textId="1BA669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8243" w:type="dxa"/>
            <w:shd w:val="clear" w:color="auto" w:fill="auto"/>
            <w:tcMar/>
          </w:tcPr>
          <w:p w:rsidR="00C46960" w:rsidP="00C46960" w:rsidRDefault="00C46960" w14:paraId="47CDF797" w14:textId="690BC4F4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Data and metadata were extracted from ILOSTAT Database on </w:t>
            </w:r>
            <w:r w:rsidR="00EC5CAE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>7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</w:t>
            </w:r>
            <w:r w:rsidR="00EC5CAE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>July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2021.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  <w:p w:rsidR="00C46960" w:rsidP="00C46960" w:rsidRDefault="00C46960" w14:paraId="43A0323F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  <w:p w:rsidR="00C46960" w:rsidP="00C46960" w:rsidRDefault="00C46960" w14:paraId="73B48548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n-GB"/>
              </w:rPr>
              <w:t>For more information, please go to the following: 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  <w:p w:rsidRPr="002D66B7" w:rsidR="00E661B9" w:rsidP="586D7C5E" w:rsidRDefault="00E661B9" w14:paraId="4721A366" w14:textId="4F0D5FED">
            <w:pPr>
              <w:pStyle w:val="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ind/>
              <w:textAlignment w:val="baseline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</w:rPr>
            </w:pPr>
            <w:r w:rsidRPr="586D7C5E" w:rsidR="2AD17160">
              <w:rPr>
                <w:rStyle w:val="normaltextrun"/>
                <w:rFonts w:ascii="Calibri" w:hAnsi="Calibri" w:cs="Calibri"/>
                <w:color w:val="0000FF"/>
                <w:sz w:val="20"/>
                <w:szCs w:val="20"/>
                <w:u w:val="single"/>
              </w:rPr>
              <w:t>[</w:t>
            </w:r>
            <w:r w:rsidRPr="586D7C5E" w:rsidR="00C46960">
              <w:rPr>
                <w:rStyle w:val="normaltextrun"/>
                <w:rFonts w:ascii="Calibri" w:hAnsi="Calibri" w:cs="Calibri"/>
                <w:color w:val="0000FF"/>
                <w:sz w:val="20"/>
                <w:szCs w:val="20"/>
                <w:u w:val="single"/>
              </w:rPr>
              <w:t>https://ilostat.ilo.org/data/</w:t>
            </w:r>
            <w:r w:rsidRPr="586D7C5E" w:rsidR="6C4A4FA2">
              <w:rPr>
                <w:rStyle w:val="normaltextrun"/>
                <w:rFonts w:ascii="Calibri" w:hAnsi="Calibri" w:cs="Calibri"/>
                <w:color w:val="0000FF"/>
                <w:sz w:val="20"/>
                <w:szCs w:val="20"/>
                <w:u w:val="single"/>
              </w:rPr>
              <w:t>](</w:t>
            </w:r>
            <w:hyperlink r:id="R77ea07424e664581">
              <w:r w:rsidRPr="586D7C5E" w:rsidR="6C4A4FA2">
                <w:rPr>
                  <w:rStyle w:val="normaltextrun"/>
                  <w:rFonts w:ascii="Calibri" w:hAnsi="Calibri" w:cs="Calibri"/>
                  <w:color w:val="0000FF"/>
                  <w:sz w:val="20"/>
                  <w:szCs w:val="20"/>
                  <w:u w:val="single"/>
                </w:rPr>
                <w:t>https://ilostat.ilo.org/data/)</w:t>
              </w:r>
            </w:hyperlink>
          </w:p>
          <w:p w:rsidRPr="002D66B7" w:rsidR="00E661B9" w:rsidP="586D7C5E" w:rsidRDefault="00E661B9" w14:paraId="2489333A" w14:textId="40122CB0">
            <w:pPr>
              <w:pStyle w:val="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ind/>
              <w:textAlignment w:val="baseline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r w:rsidRPr="586D7C5E" w:rsidR="6C4A4FA2">
              <w:rPr>
                <w:rFonts w:ascii="Calibri" w:hAnsi="Calibri" w:cs="Calibri"/>
                <w:sz w:val="20"/>
                <w:szCs w:val="20"/>
              </w:rPr>
              <w:t>[</w:t>
            </w:r>
            <w:hyperlink r:id="R47146b9fed5041e5">
              <w:r w:rsidRPr="586D7C5E" w:rsidR="00ED35BF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https://ilostat.ilo.org/resources/concepts-and-definitions/description-employment-to-population-ratio/</w:t>
              </w:r>
              <w:r w:rsidRPr="586D7C5E" w:rsidR="56A56643">
                <w:rPr>
                  <w:rStyle w:val="Hyperlink"/>
                  <w:rFonts w:ascii="Calibri" w:hAnsi="Calibri" w:cs="Calibri"/>
                  <w:sz w:val="20"/>
                  <w:szCs w:val="20"/>
                </w:rPr>
                <w:t>](https://ilostat.ilo.org/resources/concepts-and-definitions/description-employment-to-population-ratio/</w:t>
              </w:r>
            </w:hyperlink>
            <w:r w:rsidRPr="586D7C5E" w:rsidR="56A56643">
              <w:rPr>
                <w:rFonts w:ascii="Calibri" w:hAnsi="Calibri" w:cs="Calibri"/>
                <w:sz w:val="20"/>
                <w:szCs w:val="20"/>
              </w:rPr>
              <w:t xml:space="preserve">) </w:t>
            </w:r>
          </w:p>
          <w:p w:rsidRPr="002D66B7" w:rsidR="00E661B9" w:rsidP="586D7C5E" w:rsidRDefault="00E661B9" w14:paraId="245A613E" w14:textId="7585AF79">
            <w:pPr>
              <w:pStyle w:val="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ind/>
              <w:textAlignment w:val="baseline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r w:rsidRPr="586D7C5E" w:rsidR="56A56643">
              <w:rPr>
                <w:rStyle w:val="Hyperlink"/>
                <w:rFonts w:ascii="Calibri" w:hAnsi="Calibri" w:cs="Calibri"/>
                <w:sz w:val="20"/>
                <w:szCs w:val="20"/>
              </w:rPr>
              <w:t>[</w:t>
            </w:r>
            <w:r w:rsidRPr="586D7C5E" w:rsidR="00E661B9">
              <w:rPr>
                <w:rStyle w:val="Hyperlink"/>
                <w:rFonts w:ascii="Calibri" w:hAnsi="Calibri" w:cs="Calibri"/>
                <w:sz w:val="20"/>
                <w:szCs w:val="20"/>
              </w:rPr>
              <w:t>https://ilostat.ilo.org/resources/concepts-and-definitions/indicator-description-household-type/</w:t>
            </w:r>
            <w:r w:rsidRPr="586D7C5E" w:rsidR="70115B2D">
              <w:rPr>
                <w:rStyle w:val="Hyperlink"/>
                <w:rFonts w:ascii="Calibri" w:hAnsi="Calibri" w:cs="Calibri"/>
                <w:sz w:val="20"/>
                <w:szCs w:val="20"/>
              </w:rPr>
              <w:t>](https://ilostat.ilo.org/resources/concepts-and-definitions/indicator-description-household-type/)</w:t>
            </w:r>
          </w:p>
          <w:p w:rsidRPr="00D02A76" w:rsidR="00ED35BF" w:rsidP="00ED35BF" w:rsidRDefault="00ED35BF" w14:paraId="72ACCA4F" w14:textId="5A197AC9">
            <w:pPr>
              <w:pStyle w:val="paragraph"/>
              <w:shd w:val="clear" w:color="auto" w:fill="FFFFFF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</w:tbl>
    <w:p w:rsidR="00CA7C96" w:rsidRDefault="00CA7C96" w14:paraId="7A128EB9" w14:textId="77777777"/>
    <w:sectPr w:rsidR="00CA7C96" w:rsidSect="00A111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EEE2BCD"/>
    <w:multiLevelType w:val="hybridMultilevel"/>
    <w:tmpl w:val="D3E0B7B6"/>
    <w:lvl w:ilvl="0" w:tplc="279CDDD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DE1C63"/>
    <w:multiLevelType w:val="multilevel"/>
    <w:tmpl w:val="72F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B"/>
    <w:rsid w:val="000E5539"/>
    <w:rsid w:val="00246AD6"/>
    <w:rsid w:val="00283769"/>
    <w:rsid w:val="002D66B7"/>
    <w:rsid w:val="00411187"/>
    <w:rsid w:val="004644BA"/>
    <w:rsid w:val="00495267"/>
    <w:rsid w:val="00680172"/>
    <w:rsid w:val="0072097C"/>
    <w:rsid w:val="008A11D1"/>
    <w:rsid w:val="0091630E"/>
    <w:rsid w:val="00927E81"/>
    <w:rsid w:val="00A1119B"/>
    <w:rsid w:val="00A5129E"/>
    <w:rsid w:val="00A806E1"/>
    <w:rsid w:val="00B33384"/>
    <w:rsid w:val="00B67DEB"/>
    <w:rsid w:val="00BD3EDB"/>
    <w:rsid w:val="00C005DE"/>
    <w:rsid w:val="00C4405A"/>
    <w:rsid w:val="00C46960"/>
    <w:rsid w:val="00CA7C96"/>
    <w:rsid w:val="00CE4BC5"/>
    <w:rsid w:val="00DE4FDD"/>
    <w:rsid w:val="00E661B9"/>
    <w:rsid w:val="00EA0878"/>
    <w:rsid w:val="00EA490E"/>
    <w:rsid w:val="00EC5CAE"/>
    <w:rsid w:val="00ED14D4"/>
    <w:rsid w:val="00ED35BF"/>
    <w:rsid w:val="00FD4A4D"/>
    <w:rsid w:val="032411F3"/>
    <w:rsid w:val="039BEE51"/>
    <w:rsid w:val="0D6D0C36"/>
    <w:rsid w:val="0F0D123C"/>
    <w:rsid w:val="0F424E05"/>
    <w:rsid w:val="197AEFE0"/>
    <w:rsid w:val="1B3AE8D1"/>
    <w:rsid w:val="1BC20E3E"/>
    <w:rsid w:val="2682AF91"/>
    <w:rsid w:val="2AD17160"/>
    <w:rsid w:val="51BAE5A0"/>
    <w:rsid w:val="56A56643"/>
    <w:rsid w:val="57F06BD4"/>
    <w:rsid w:val="586D7C5E"/>
    <w:rsid w:val="58ECD336"/>
    <w:rsid w:val="5D27C524"/>
    <w:rsid w:val="5EC39585"/>
    <w:rsid w:val="616237A8"/>
    <w:rsid w:val="64A6CFD0"/>
    <w:rsid w:val="6C4A4FA2"/>
    <w:rsid w:val="6FCD7C42"/>
    <w:rsid w:val="70115B2D"/>
    <w:rsid w:val="7550E859"/>
    <w:rsid w:val="7A8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EE08"/>
  <w15:chartTrackingRefBased/>
  <w15:docId w15:val="{780C2FFB-49C0-4F60-A784-D81EC34F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19B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1119B"/>
  </w:style>
  <w:style w:type="character" w:styleId="eop" w:customStyle="1">
    <w:name w:val="eop"/>
    <w:basedOn w:val="DefaultParagraphFont"/>
    <w:rsid w:val="00A1119B"/>
  </w:style>
  <w:style w:type="character" w:styleId="PlaceholderText">
    <w:name w:val="Placeholder Text"/>
    <w:basedOn w:val="DefaultParagraphFont"/>
    <w:uiPriority w:val="99"/>
    <w:semiHidden/>
    <w:rsid w:val="00BD3EDB"/>
    <w:rPr>
      <w:color w:val="808080"/>
    </w:rPr>
  </w:style>
  <w:style w:type="paragraph" w:styleId="paragraph" w:customStyle="1">
    <w:name w:val="paragraph"/>
    <w:basedOn w:val="Normal"/>
    <w:rsid w:val="00C469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ED3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ilostat.ilo.org/data/)" TargetMode="External" Id="R77ea07424e664581" /><Relationship Type="http://schemas.openxmlformats.org/officeDocument/2006/relationships/hyperlink" Target="https://ilostat.ilo.org/resources/concepts-and-definitions/description-employment-to-population-ratio/](https://ilostat.ilo.org/resources/concepts-and-definitions/description-employment-to-population-ratio/" TargetMode="External" Id="R47146b9fed50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CA12667D-4413-4533-96DC-D2E7E5D92B16}"/>
</file>

<file path=customXml/itemProps2.xml><?xml version="1.0" encoding="utf-8"?>
<ds:datastoreItem xmlns:ds="http://schemas.openxmlformats.org/officeDocument/2006/customXml" ds:itemID="{CE35F06A-AE69-4322-A97F-1759C57C8E6D}"/>
</file>

<file path=customXml/itemProps3.xml><?xml version="1.0" encoding="utf-8"?>
<ds:datastoreItem xmlns:ds="http://schemas.openxmlformats.org/officeDocument/2006/customXml" ds:itemID="{814395FA-87C5-4380-9DDB-33D4F35417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Madita Schulte</lastModifiedBy>
  <revision>30</revision>
  <dcterms:created xsi:type="dcterms:W3CDTF">2021-08-29T23:28:00.0000000Z</dcterms:created>
  <dcterms:modified xsi:type="dcterms:W3CDTF">2021-09-08T07:00:38.2700472Z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