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8243"/>
      </w:tblGrid>
      <w:tr w:rsidRPr="00D02A76" w:rsidR="008B7FCA" w:rsidTr="236A9304" w14:paraId="33D2D3B2" w14:textId="77777777">
        <w:trPr>
          <w:trHeight w:val="600"/>
        </w:trPr>
        <w:tc>
          <w:tcPr>
            <w:tcW w:w="1325" w:type="dxa"/>
            <w:shd w:val="clear" w:color="auto" w:fill="auto"/>
            <w:tcMar/>
          </w:tcPr>
          <w:p w:rsidRPr="00D02A76" w:rsidR="008B7FCA" w:rsidP="002853A7" w:rsidRDefault="008B7FCA" w14:paraId="4561D678" w14:textId="76651E0D">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Mar/>
          </w:tcPr>
          <w:p w:rsidRPr="00D02A76" w:rsidR="008B7FCA" w:rsidP="002853A7" w:rsidRDefault="008B7FCA" w14:paraId="68E8CD8B" w14:textId="0258C56A">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Mar/>
          </w:tcPr>
          <w:p w:rsidRPr="00D02A76" w:rsidR="008B7FCA" w:rsidP="002853A7" w:rsidRDefault="008B7FCA" w14:paraId="462246A8" w14:textId="00F29D16">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Mar/>
          </w:tcPr>
          <w:p w:rsidRPr="00D02A76" w:rsidR="008B7FCA" w:rsidP="002853A7" w:rsidRDefault="008B7FCA" w14:paraId="2BFD69DB" w14:textId="02FA9DC8">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METADATA_DESCRIPTION</w:t>
            </w:r>
            <w:r>
              <w:rPr>
                <w:rStyle w:val="eop"/>
                <w:rFonts w:ascii="Calibri" w:hAnsi="Calibri" w:cs="Calibri"/>
                <w:color w:val="000000"/>
                <w:shd w:val="clear" w:color="auto" w:fill="FFFFFF"/>
              </w:rPr>
              <w:t> </w:t>
            </w:r>
          </w:p>
        </w:tc>
      </w:tr>
      <w:tr w:rsidRPr="00D02A76" w:rsidR="008B7FCA" w:rsidTr="236A9304" w14:paraId="41C11E0E" w14:textId="77777777">
        <w:trPr>
          <w:trHeight w:val="600"/>
        </w:trPr>
        <w:tc>
          <w:tcPr>
            <w:tcW w:w="1325" w:type="dxa"/>
            <w:shd w:val="clear" w:color="auto" w:fill="auto"/>
            <w:tcMar/>
            <w:hideMark/>
          </w:tcPr>
          <w:p w:rsidRPr="00D02A76" w:rsidR="008B7FCA" w:rsidP="002853A7" w:rsidRDefault="008B7FCA" w14:paraId="207C5CC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473CE46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8B7FCA" w:rsidP="002853A7" w:rsidRDefault="008B7FCA" w14:paraId="0613528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8243" w:type="dxa"/>
            <w:shd w:val="clear" w:color="auto" w:fill="auto"/>
            <w:tcMar/>
            <w:hideMark/>
          </w:tcPr>
          <w:p w:rsidR="006F1895" w:rsidP="002853A7" w:rsidRDefault="008B7FCA" w14:paraId="12841E8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United Nations Statistics Division</w:t>
            </w:r>
          </w:p>
          <w:p w:rsidR="008B7FCA" w:rsidP="236A9304" w:rsidRDefault="006F1895" w14:paraId="4BD76BD2" w14:textId="67C1E7E6">
            <w:pPr>
              <w:pStyle w:val="Normal"/>
              <w:spacing w:after="0" w:line="240" w:lineRule="auto"/>
              <w:rPr>
                <w:rFonts w:ascii="Calibri" w:hAnsi="Calibri" w:eastAsia="Times New Roman" w:cs="Calibri"/>
                <w:color w:val="000000"/>
              </w:rPr>
            </w:pPr>
            <w:r w:rsidRPr="236A9304" w:rsidR="3454CF11">
              <w:rPr>
                <w:rFonts w:ascii="Calibri" w:hAnsi="Calibri" w:eastAsia="Times New Roman" w:cs="Calibri"/>
              </w:rPr>
              <w:t>[</w:t>
            </w:r>
            <w:r w:rsidRPr="236A9304" w:rsidR="006F1895">
              <w:rPr>
                <w:rFonts w:ascii="Calibri" w:hAnsi="Calibri" w:eastAsia="Times New Roman" w:cs="Calibri"/>
              </w:rPr>
              <w:t>genderstat@un.org</w:t>
            </w:r>
            <w:r w:rsidRPr="236A9304" w:rsidR="2D61D0EC">
              <w:rPr>
                <w:rFonts w:ascii="Calibri" w:hAnsi="Calibri" w:eastAsia="Times New Roman" w:cs="Calibri"/>
              </w:rPr>
              <w:t>](mailto:</w:t>
            </w:r>
            <w:hyperlink r:id="Rf84824c9a0e04271">
              <w:r w:rsidRPr="236A9304" w:rsidR="2D61D0EC">
                <w:rPr>
                  <w:rStyle w:val="Hyperlink"/>
                  <w:rFonts w:ascii="Calibri" w:hAnsi="Calibri" w:eastAsia="Times New Roman" w:cs="Calibri"/>
                </w:rPr>
                <w:t>genderstat@un.org)</w:t>
              </w:r>
            </w:hyperlink>
          </w:p>
          <w:p w:rsidRPr="00D02A76" w:rsidR="006F1895" w:rsidP="002853A7" w:rsidRDefault="006F1895" w14:paraId="2E5202B3" w14:textId="7193BD70">
            <w:pPr>
              <w:spacing w:after="0" w:line="240" w:lineRule="auto"/>
              <w:rPr>
                <w:rFonts w:ascii="Calibri" w:hAnsi="Calibri" w:eastAsia="Times New Roman" w:cs="Calibri"/>
                <w:color w:val="000000"/>
              </w:rPr>
            </w:pPr>
          </w:p>
        </w:tc>
      </w:tr>
      <w:tr w:rsidRPr="00D02A76" w:rsidR="008B7FCA" w:rsidTr="236A9304" w14:paraId="5A556E09" w14:textId="77777777">
        <w:trPr>
          <w:trHeight w:val="2400"/>
        </w:trPr>
        <w:tc>
          <w:tcPr>
            <w:tcW w:w="1325" w:type="dxa"/>
            <w:shd w:val="clear" w:color="auto" w:fill="auto"/>
            <w:tcMar/>
            <w:hideMark/>
          </w:tcPr>
          <w:p w:rsidRPr="00D02A76" w:rsidR="008B7FCA" w:rsidP="002853A7" w:rsidRDefault="008B7FCA" w14:paraId="28AAE6F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6D62318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8B7FCA" w:rsidP="002853A7" w:rsidRDefault="008B7FCA" w14:paraId="6B12362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8243" w:type="dxa"/>
            <w:shd w:val="clear" w:color="auto" w:fill="auto"/>
            <w:tcMar/>
            <w:hideMark/>
          </w:tcPr>
          <w:p w:rsidR="008B7FCA" w:rsidP="002853A7" w:rsidRDefault="008B7FCA" w14:paraId="234038E6" w14:textId="02CF99B2">
            <w:pPr>
              <w:spacing w:after="0" w:line="240" w:lineRule="auto"/>
              <w:rPr>
                <w:rFonts w:ascii="Calibri" w:hAnsi="Calibri" w:eastAsia="Times New Roman" w:cs="Calibri"/>
                <w:color w:val="000000"/>
              </w:rPr>
            </w:pPr>
            <w:r w:rsidRPr="236A9304" w:rsidR="008B7FCA">
              <w:rPr>
                <w:rFonts w:ascii="Calibri" w:hAnsi="Calibri" w:eastAsia="Times New Roman" w:cs="Calibri"/>
                <w:color w:val="000000" w:themeColor="text1" w:themeTint="FF" w:themeShade="FF"/>
              </w:rPr>
              <w:t xml:space="preserve">This indicator provides data for the total work burden of women and men </w:t>
            </w:r>
            <w:proofErr w:type="gramStart"/>
            <w:r w:rsidRPr="236A9304" w:rsidR="24D47099">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paid and unpaid</w:t>
            </w:r>
            <w:r w:rsidRPr="236A9304" w:rsidR="6961AEA3">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Paid work corresponds to the SNA production boundary and refers to work related activities in formal employment or informal employment, production of goods by households for income or for own final use, paid construction activities and construction for own capital formation and provision of services for income. those refers to work refers to the average time women and men spend on household provision of services for own consumption.  Unpaid work includes both the unpaid domestic work as well as on community or volunteer work. Domestic work includes food preparation, dishwashing, cleaning and upkeep of a dwelling, laundry, ironing, gardening, caring for pets, shopping, installation, servicing and repair of personal and household goods, childcare, and care of the sick, </w:t>
            </w:r>
            <w:r w:rsidRPr="236A9304" w:rsidR="008B7FCA">
              <w:rPr>
                <w:rFonts w:ascii="Calibri" w:hAnsi="Calibri" w:eastAsia="Times New Roman" w:cs="Calibri"/>
                <w:color w:val="000000" w:themeColor="text1" w:themeTint="FF" w:themeShade="FF"/>
              </w:rPr>
              <w:t>elderly</w:t>
            </w:r>
            <w:r w:rsidRPr="236A9304" w:rsidR="008B7FCA">
              <w:rPr>
                <w:rFonts w:ascii="Calibri" w:hAnsi="Calibri" w:eastAsia="Times New Roman" w:cs="Calibri"/>
                <w:color w:val="000000" w:themeColor="text1" w:themeTint="FF" w:themeShade="FF"/>
              </w:rPr>
              <w:t xml:space="preserve"> or disabled household members, among others. Community or volunteer work includes volunteer services for organizations, unpaid community work, and informal help to other households, among other activities. Unpaid </w:t>
            </w:r>
            <w:proofErr w:type="gramStart"/>
            <w:r w:rsidRPr="236A9304" w:rsidR="008B7FCA">
              <w:rPr>
                <w:rFonts w:ascii="Calibri" w:hAnsi="Calibri" w:eastAsia="Times New Roman" w:cs="Calibri"/>
                <w:color w:val="000000" w:themeColor="text1" w:themeTint="FF" w:themeShade="FF"/>
              </w:rPr>
              <w:t>work</w:t>
            </w:r>
            <w:proofErr w:type="gramEnd"/>
            <w:r w:rsidRPr="236A9304" w:rsidR="008B7FCA">
              <w:rPr>
                <w:rFonts w:ascii="Calibri" w:hAnsi="Calibri" w:eastAsia="Times New Roman" w:cs="Calibri"/>
                <w:color w:val="000000" w:themeColor="text1" w:themeTint="FF" w:themeShade="FF"/>
              </w:rPr>
              <w:t xml:space="preserve"> </w:t>
            </w:r>
            <w:r w:rsidRPr="236A9304" w:rsidR="008B7FCA">
              <w:rPr>
                <w:rFonts w:ascii="Calibri" w:hAnsi="Calibri" w:eastAsia="Times New Roman" w:cs="Calibri"/>
                <w:color w:val="000000" w:themeColor="text1" w:themeTint="FF" w:themeShade="FF"/>
              </w:rPr>
              <w:t>are</w:t>
            </w:r>
            <w:r w:rsidRPr="236A9304" w:rsidR="008B7FCA">
              <w:rPr>
                <w:rFonts w:ascii="Calibri" w:hAnsi="Calibri" w:eastAsia="Times New Roman" w:cs="Calibri"/>
                <w:color w:val="000000" w:themeColor="text1" w:themeTint="FF" w:themeShade="FF"/>
              </w:rPr>
              <w:t xml:space="preserve"> not included within the SNA production boundary but are inside the SNA General Production Boundary. As much as possible, data compiled here has been based on the trial International Classification of Activities for Time Use Statistics </w:t>
            </w:r>
            <w:r w:rsidRPr="236A9304" w:rsidR="4E55E146">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(ICATUS</w:t>
            </w:r>
            <w:r w:rsidRPr="236A9304" w:rsidR="3B013BE6">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according to which paid and unpaid work are delineated by the SNA production boundary.</w:t>
            </w:r>
          </w:p>
          <w:p w:rsidRPr="00D02A76" w:rsidR="006F1895" w:rsidP="002853A7" w:rsidRDefault="006F1895" w14:paraId="34B41544" w14:textId="5AAFBF06">
            <w:pPr>
              <w:spacing w:after="0" w:line="240" w:lineRule="auto"/>
              <w:rPr>
                <w:rFonts w:ascii="Calibri" w:hAnsi="Calibri" w:eastAsia="Times New Roman" w:cs="Calibri"/>
                <w:color w:val="000000"/>
              </w:rPr>
            </w:pPr>
          </w:p>
        </w:tc>
      </w:tr>
      <w:tr w:rsidRPr="00D02A76" w:rsidR="008B7FCA" w:rsidTr="236A9304" w14:paraId="1AA4C70A" w14:textId="77777777">
        <w:trPr>
          <w:trHeight w:val="2700"/>
        </w:trPr>
        <w:tc>
          <w:tcPr>
            <w:tcW w:w="1325" w:type="dxa"/>
            <w:shd w:val="clear" w:color="auto" w:fill="auto"/>
            <w:tcMar/>
            <w:hideMark/>
          </w:tcPr>
          <w:p w:rsidRPr="00D02A76" w:rsidR="008B7FCA" w:rsidP="002853A7" w:rsidRDefault="008B7FCA" w14:paraId="1A6B26B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w:t>
            </w:r>
          </w:p>
        </w:tc>
        <w:tc>
          <w:tcPr>
            <w:tcW w:w="589" w:type="dxa"/>
            <w:shd w:val="clear" w:color="auto" w:fill="auto"/>
            <w:tcMar/>
            <w:hideMark/>
          </w:tcPr>
          <w:p w:rsidRPr="00D02A76" w:rsidR="008B7FCA" w:rsidP="002853A7" w:rsidRDefault="008B7FCA" w14:paraId="2068435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8B7FCA" w:rsidP="002853A7" w:rsidRDefault="008B7FCA" w14:paraId="5AECE2A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8243" w:type="dxa"/>
            <w:shd w:val="clear" w:color="auto" w:fill="auto"/>
            <w:tcMar/>
            <w:hideMark/>
          </w:tcPr>
          <w:p w:rsidR="008B7FCA" w:rsidP="002853A7" w:rsidRDefault="008B7FCA" w14:paraId="7D03ACBA" w14:textId="5A41178C">
            <w:pPr>
              <w:spacing w:after="0" w:line="240" w:lineRule="auto"/>
              <w:rPr>
                <w:rFonts w:ascii="Calibri" w:hAnsi="Calibri" w:eastAsia="Times New Roman" w:cs="Calibri"/>
                <w:color w:val="000000"/>
              </w:rPr>
            </w:pPr>
            <w:r w:rsidRPr="236A9304" w:rsidR="008B7FCA">
              <w:rPr>
                <w:rFonts w:ascii="Calibri" w:hAnsi="Calibri" w:eastAsia="Times New Roman" w:cs="Calibri"/>
                <w:color w:val="000000" w:themeColor="text1" w:themeTint="FF" w:themeShade="FF"/>
              </w:rPr>
              <w:t xml:space="preserve">Average number of hours spent on total work, paid and unpaid, derives from time use statistics that is collected through stand-alone time-use surveys or a time-use module in multi-purpose household surveys. Data on time-use may be summarized and presented as either </w:t>
            </w:r>
            <w:proofErr w:type="gramStart"/>
            <w:r w:rsidRPr="236A9304" w:rsidR="4345C63A">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1</w:t>
            </w:r>
            <w:r w:rsidRPr="236A9304" w:rsidR="373A84F9">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average time spent for participants only or </w:t>
            </w:r>
            <w:proofErr w:type="gramStart"/>
            <w:r w:rsidRPr="236A9304" w:rsidR="0CDA3A48">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2</w:t>
            </w:r>
            <w:r w:rsidRPr="236A9304" w:rsidR="74C8A735">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average time spent for all population of certain age. In the former type of averages, the total time spent by the individuals who performed an activity is divided by the number of persons who performed it </w:t>
            </w:r>
            <w:r w:rsidRPr="236A9304" w:rsidR="5F369ABA">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(participants</w:t>
            </w:r>
            <w:r w:rsidRPr="236A9304" w:rsidR="73D2E15A">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In the latter type of averages, the total time is divided by the total relevant population </w:t>
            </w:r>
            <w:proofErr w:type="gramStart"/>
            <w:r w:rsidRPr="236A9304" w:rsidR="2C0F8483">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or a sub-group thereof</w:t>
            </w:r>
            <w:r w:rsidRPr="236A9304" w:rsidR="1B1BCD93">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regardless of whether people performed the activity or not. All statistics presented in the Minimum Set on Gender Indicators on time spent in various activities are averages based on all total relevant population. This type of averages can be used to compare groups and assess changes over time. Differences among groups or over time may be due to a difference </w:t>
            </w:r>
            <w:proofErr w:type="gramStart"/>
            <w:r w:rsidRPr="236A9304" w:rsidR="31E0BE2F">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or change</w:t>
            </w:r>
            <w:r w:rsidRPr="236A9304" w:rsidR="0BB452EB">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in the proportion of those participating in the specific activity or a difference </w:t>
            </w:r>
            <w:proofErr w:type="gramStart"/>
            <w:r w:rsidRPr="236A9304" w:rsidR="60A9A28E">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or change</w:t>
            </w:r>
            <w:r w:rsidRPr="236A9304" w:rsidR="21625FC6">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in the amount of time spent by participants, or both.  Data presented for this indicator are expressed as an average per day. It is averaged over seven days of the week </w:t>
            </w:r>
            <w:proofErr w:type="gramStart"/>
            <w:r w:rsidRPr="236A9304" w:rsidR="35F5566D">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weekdays and weekends are not differentiated</w:t>
            </w:r>
            <w:r w:rsidRPr="236A9304" w:rsidR="44A91807">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Thus, for paid work, a five-day work week averaging seven hours per day would show up as an average of five hours of paid work per day </w:t>
            </w:r>
            <w:r w:rsidRPr="236A9304" w:rsidR="34D6F66E">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(35 hours divided by 7 days</w:t>
            </w:r>
            <w:r w:rsidRPr="236A9304" w:rsidR="2EE13379">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
          <w:p w:rsidRPr="00D02A76" w:rsidR="00602EC4" w:rsidP="002853A7" w:rsidRDefault="00602EC4" w14:paraId="4CC036C0" w14:textId="4E1B010A">
            <w:pPr>
              <w:spacing w:after="0" w:line="240" w:lineRule="auto"/>
              <w:rPr>
                <w:rFonts w:ascii="Calibri" w:hAnsi="Calibri" w:eastAsia="Times New Roman" w:cs="Calibri"/>
                <w:color w:val="000000"/>
              </w:rPr>
            </w:pPr>
          </w:p>
        </w:tc>
      </w:tr>
      <w:tr w:rsidRPr="00D02A76" w:rsidR="008B7FCA" w:rsidTr="236A9304" w14:paraId="59FD0462" w14:textId="77777777">
        <w:trPr>
          <w:trHeight w:val="3900"/>
        </w:trPr>
        <w:tc>
          <w:tcPr>
            <w:tcW w:w="1325" w:type="dxa"/>
            <w:shd w:val="clear" w:color="auto" w:fill="auto"/>
            <w:tcMar/>
            <w:hideMark/>
          </w:tcPr>
          <w:p w:rsidRPr="00D02A76" w:rsidR="008B7FCA" w:rsidP="002853A7" w:rsidRDefault="008B7FCA" w14:paraId="3E74932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0E94782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8B7FCA" w:rsidP="002853A7" w:rsidRDefault="008B7FCA" w14:paraId="70D19B1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8243" w:type="dxa"/>
            <w:shd w:val="clear" w:color="auto" w:fill="auto"/>
            <w:tcMar/>
            <w:hideMark/>
          </w:tcPr>
          <w:p w:rsidRPr="00D02A76" w:rsidR="008B7FCA" w:rsidP="236A9304" w:rsidRDefault="008B7FCA" w14:paraId="1D4CF322" w14:textId="2EE14B1B">
            <w:pPr>
              <w:spacing w:after="0" w:line="240" w:lineRule="auto"/>
              <w:rPr>
                <w:rFonts w:ascii="Calibri" w:hAnsi="Calibri" w:eastAsia="Times New Roman" w:cs="Calibri"/>
                <w:color w:val="000000" w:themeColor="text1" w:themeTint="FF" w:themeShade="FF"/>
              </w:rPr>
            </w:pPr>
            <w:r w:rsidRPr="236A9304" w:rsidR="008B7FCA">
              <w:rPr>
                <w:rFonts w:ascii="Calibri" w:hAnsi="Calibri" w:eastAsia="Times New Roman" w:cs="Calibri"/>
                <w:color w:val="000000" w:themeColor="text1" w:themeTint="FF" w:themeShade="FF"/>
              </w:rPr>
              <w:t xml:space="preserve">Time-use data in general can reveal the details of an individual’s “daily life with a combination of specificity and comprehensiveness”. Time spent on domestic/unpaid work assesses intra-household allocation of time. It can help analysis study the nature and extent of intra-household inequality and the impact of that inequality. Having information about the way time is allocated among the various members of a household helps policy makers understand which household members will be most directly affected by a policy modification.  International comparability of time-use statistics is limited by </w:t>
            </w:r>
            <w:proofErr w:type="gramStart"/>
            <w:r w:rsidRPr="236A9304" w:rsidR="008B7FCA">
              <w:rPr>
                <w:rFonts w:ascii="Calibri" w:hAnsi="Calibri" w:eastAsia="Times New Roman" w:cs="Calibri"/>
                <w:color w:val="000000" w:themeColor="text1" w:themeTint="FF" w:themeShade="FF"/>
              </w:rPr>
              <w:t>a number of</w:t>
            </w:r>
            <w:proofErr w:type="gramEnd"/>
            <w:r w:rsidRPr="236A9304" w:rsidR="008B7FCA">
              <w:rPr>
                <w:rFonts w:ascii="Calibri" w:hAnsi="Calibri" w:eastAsia="Times New Roman" w:cs="Calibri"/>
                <w:color w:val="000000" w:themeColor="text1" w:themeTint="FF" w:themeShade="FF"/>
              </w:rPr>
              <w:t xml:space="preserve"> factors, including: </w:t>
            </w:r>
          </w:p>
          <w:p w:rsidRPr="00D02A76" w:rsidR="008B7FCA" w:rsidP="236A9304" w:rsidRDefault="008B7FCA" w14:paraId="1ACB79C2" w14:textId="322D6CC6">
            <w:pPr>
              <w:pStyle w:val="ListParagraph"/>
              <w:numPr>
                <w:ilvl w:val="0"/>
                <w:numId w:val="1"/>
              </w:numPr>
              <w:spacing w:after="0" w:line="240" w:lineRule="auto"/>
              <w:rPr>
                <w:rFonts w:ascii="Calibri" w:hAnsi="Calibri" w:eastAsia="Times New Roman" w:cs="Calibri"/>
                <w:color w:val="000000" w:themeColor="text1" w:themeTint="FF" w:themeShade="FF"/>
              </w:rPr>
            </w:pPr>
            <w:r w:rsidRPr="236A9304" w:rsidR="008B7FCA">
              <w:rPr>
                <w:rFonts w:ascii="Calibri" w:hAnsi="Calibri" w:eastAsia="Times New Roman" w:cs="Calibri"/>
                <w:color w:val="000000" w:themeColor="text1" w:themeTint="FF" w:themeShade="FF"/>
              </w:rPr>
              <w:t xml:space="preserve">diary versus stylized time-use survey. Data on time-use can be collected through a 24-hour diary </w:t>
            </w:r>
            <w:proofErr w:type="gramStart"/>
            <w:r w:rsidRPr="236A9304" w:rsidR="4F52FDAD">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roofErr w:type="gramEnd"/>
            <w:r w:rsidRPr="236A9304" w:rsidR="008B7FCA">
              <w:rPr>
                <w:rFonts w:ascii="Calibri" w:hAnsi="Calibri" w:eastAsia="Times New Roman" w:cs="Calibri"/>
                <w:color w:val="000000" w:themeColor="text1" w:themeTint="FF" w:themeShade="FF"/>
              </w:rPr>
              <w:t>light diary</w:t>
            </w:r>
            <w:r w:rsidRPr="236A9304" w:rsidR="37993DB5">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 xml:space="preserve">)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w:t>
            </w:r>
            <w:r w:rsidRPr="236A9304" w:rsidR="008B7FCA">
              <w:rPr>
                <w:rFonts w:ascii="Calibri" w:hAnsi="Calibri" w:eastAsia="Times New Roman" w:cs="Calibri"/>
                <w:color w:val="000000" w:themeColor="text1" w:themeTint="FF" w:themeShade="FF"/>
              </w:rPr>
              <w:t xml:space="preserve">results than the stylized method but is a more expensive mode of data collection. Data obtained from these two different data collection methods are not comparable. </w:t>
            </w:r>
          </w:p>
          <w:p w:rsidRPr="00D02A76" w:rsidR="008B7FCA" w:rsidP="236A9304" w:rsidRDefault="008B7FCA" w14:paraId="5B73E930" w14:textId="75B6DE7D">
            <w:pPr>
              <w:pStyle w:val="ListParagraph"/>
              <w:numPr>
                <w:ilvl w:val="0"/>
                <w:numId w:val="1"/>
              </w:numPr>
              <w:spacing w:after="0" w:line="240" w:lineRule="auto"/>
              <w:rPr>
                <w:rFonts w:ascii="Calibri" w:hAnsi="Calibri" w:eastAsia="Times New Roman" w:cs="Calibri"/>
                <w:color w:val="000000" w:themeColor="text1" w:themeTint="FF" w:themeShade="FF"/>
              </w:rPr>
            </w:pPr>
            <w:r w:rsidRPr="236A9304" w:rsidR="008B7FCA">
              <w:rPr>
                <w:rFonts w:ascii="Calibri" w:hAnsi="Calibri" w:eastAsia="Times New Roman" w:cs="Calibri"/>
                <w:color w:val="000000" w:themeColor="text1" w:themeTint="FF" w:themeShade="FF"/>
              </w:rPr>
              <w:t xml:space="preserve">Time-use activity classification. Regional and national classifications of time-use activities may differ from the trial ICATUS, resulting in data that are not comparable across countries. </w:t>
            </w:r>
          </w:p>
          <w:p w:rsidRPr="00D02A76" w:rsidR="008B7FCA" w:rsidP="236A9304" w:rsidRDefault="008B7FCA" w14:paraId="16BF1324" w14:textId="1D973D84">
            <w:pPr>
              <w:pStyle w:val="ListParagraph"/>
              <w:numPr>
                <w:ilvl w:val="0"/>
                <w:numId w:val="1"/>
              </w:numPr>
              <w:spacing w:after="0" w:line="240" w:lineRule="auto"/>
              <w:rPr>
                <w:rFonts w:ascii="Calibri" w:hAnsi="Calibri" w:eastAsia="Times New Roman" w:cs="Calibri"/>
                <w:color w:val="000000" w:themeColor="text1" w:themeTint="FF" w:themeShade="FF"/>
              </w:rPr>
            </w:pPr>
            <w:r w:rsidRPr="236A9304" w:rsidR="008B7FCA">
              <w:rPr>
                <w:rFonts w:ascii="Calibri" w:hAnsi="Calibri" w:eastAsia="Times New Roman" w:cs="Calibri"/>
                <w:color w:val="000000" w:themeColor="text1" w:themeTint="FF" w:themeShade="FF"/>
              </w:rP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r>
          </w:p>
          <w:p w:rsidRPr="00D02A76" w:rsidR="008B7FCA" w:rsidP="236A9304" w:rsidRDefault="008B7FCA" w14:paraId="3438EE3F" w14:textId="4AE317E2">
            <w:pPr>
              <w:pStyle w:val="ListParagraph"/>
              <w:numPr>
                <w:ilvl w:val="0"/>
                <w:numId w:val="1"/>
              </w:numPr>
              <w:spacing w:after="0" w:line="240" w:lineRule="auto"/>
              <w:rPr>
                <w:rFonts w:ascii="Calibri" w:hAnsi="Calibri" w:eastAsia="Times New Roman" w:cs="Calibri"/>
                <w:color w:val="000000"/>
              </w:rPr>
            </w:pPr>
            <w:r w:rsidRPr="236A9304" w:rsidR="008B7FCA">
              <w:rPr>
                <w:rFonts w:ascii="Calibri" w:hAnsi="Calibri" w:eastAsia="Times New Roman" w:cs="Calibri"/>
                <w:color w:val="000000" w:themeColor="text1" w:themeTint="FF" w:themeShade="FF"/>
              </w:rPr>
              <w:t>The different age groups used by countries for their data collection and compilation also makes time use data incomparable across countries.</w:t>
            </w:r>
          </w:p>
        </w:tc>
      </w:tr>
      <w:tr w:rsidRPr="00D02A76" w:rsidR="008B7FCA" w:rsidTr="236A9304" w14:paraId="29C3A94A" w14:textId="77777777">
        <w:trPr>
          <w:trHeight w:val="900"/>
        </w:trPr>
        <w:tc>
          <w:tcPr>
            <w:tcW w:w="1325" w:type="dxa"/>
            <w:shd w:val="clear" w:color="auto" w:fill="auto"/>
            <w:tcMar/>
            <w:hideMark/>
          </w:tcPr>
          <w:p w:rsidRPr="00D02A76" w:rsidR="008B7FCA" w:rsidP="002853A7" w:rsidRDefault="008B7FCA" w14:paraId="5A9DF91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w:t>
            </w:r>
          </w:p>
        </w:tc>
        <w:tc>
          <w:tcPr>
            <w:tcW w:w="589" w:type="dxa"/>
            <w:shd w:val="clear" w:color="auto" w:fill="auto"/>
            <w:tcMar/>
            <w:hideMark/>
          </w:tcPr>
          <w:p w:rsidRPr="00D02A76" w:rsidR="008B7FCA" w:rsidP="002853A7" w:rsidRDefault="008B7FCA" w14:paraId="7057F9E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8B7FCA" w:rsidP="002853A7" w:rsidRDefault="008B7FCA" w14:paraId="7A1C4B1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8243" w:type="dxa"/>
            <w:shd w:val="clear" w:color="auto" w:fill="auto"/>
            <w:tcMar/>
            <w:hideMark/>
          </w:tcPr>
          <w:p w:rsidRPr="00D02A76" w:rsidR="008B7FCA" w:rsidP="002853A7" w:rsidRDefault="008B7FCA" w14:paraId="2A7AC37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Not applicable.</w:t>
            </w:r>
          </w:p>
        </w:tc>
      </w:tr>
      <w:tr w:rsidRPr="00D02A76" w:rsidR="008B7FCA" w:rsidTr="236A9304" w14:paraId="03BBDF46" w14:textId="77777777">
        <w:trPr>
          <w:trHeight w:val="600"/>
        </w:trPr>
        <w:tc>
          <w:tcPr>
            <w:tcW w:w="1325" w:type="dxa"/>
            <w:shd w:val="clear" w:color="auto" w:fill="auto"/>
            <w:tcMar/>
            <w:hideMark/>
          </w:tcPr>
          <w:p w:rsidRPr="00D02A76" w:rsidR="008B7FCA" w:rsidP="002853A7" w:rsidRDefault="008B7FCA" w14:paraId="52423A9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07A8B3B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8B7FCA" w:rsidP="002853A7" w:rsidRDefault="008B7FCA" w14:paraId="6E0306C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8243" w:type="dxa"/>
            <w:shd w:val="clear" w:color="auto" w:fill="auto"/>
            <w:tcMar/>
            <w:hideMark/>
          </w:tcPr>
          <w:p w:rsidRPr="00D02A76" w:rsidR="008B7FCA" w:rsidP="002853A7" w:rsidRDefault="008B7FCA" w14:paraId="05292E29" w14:textId="21F8EC75">
            <w:pPr>
              <w:spacing w:after="0" w:line="240" w:lineRule="auto"/>
              <w:rPr>
                <w:rFonts w:ascii="Calibri" w:hAnsi="Calibri" w:eastAsia="Times New Roman" w:cs="Calibri"/>
                <w:color w:val="000000"/>
              </w:rPr>
            </w:pPr>
            <w:r w:rsidRPr="236A9304" w:rsidR="008B7FCA">
              <w:rPr>
                <w:rFonts w:ascii="Calibri" w:hAnsi="Calibri" w:eastAsia="Times New Roman" w:cs="Calibri"/>
                <w:color w:val="000000" w:themeColor="text1" w:themeTint="FF" w:themeShade="FF"/>
              </w:rPr>
              <w:t xml:space="preserve">Data are compiled based on statistics derived from stand-along time use surveys or from time-use modules integrated in multi-purpose household surveys, conducted at national level. For some countries, data are obtained from regional data compilations </w:t>
            </w:r>
            <w:r w:rsidRPr="236A9304" w:rsidR="671F8246">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(Eurostat, OECD, UNECE and UNECLAC</w:t>
            </w:r>
            <w:r w:rsidRPr="236A9304" w:rsidR="295CE29A">
              <w:rPr>
                <w:rFonts w:ascii="Calibri" w:hAnsi="Calibri" w:eastAsia="Times New Roman" w:cs="Calibri"/>
                <w:color w:val="000000" w:themeColor="text1" w:themeTint="FF" w:themeShade="FF"/>
              </w:rPr>
              <w:t>\</w:t>
            </w:r>
            <w:r w:rsidRPr="236A9304" w:rsidR="008B7FCA">
              <w:rPr>
                <w:rFonts w:ascii="Calibri" w:hAnsi="Calibri" w:eastAsia="Times New Roman" w:cs="Calibri"/>
                <w:color w:val="000000" w:themeColor="text1" w:themeTint="FF" w:themeShade="FF"/>
              </w:rPr>
              <w:t>).</w:t>
            </w:r>
          </w:p>
        </w:tc>
      </w:tr>
      <w:tr w:rsidRPr="00D02A76" w:rsidR="008B7FCA" w:rsidTr="236A9304" w14:paraId="25B1927D" w14:textId="77777777">
        <w:trPr>
          <w:trHeight w:val="600"/>
        </w:trPr>
        <w:tc>
          <w:tcPr>
            <w:tcW w:w="1325" w:type="dxa"/>
            <w:shd w:val="clear" w:color="auto" w:fill="auto"/>
            <w:tcMar/>
            <w:hideMark/>
          </w:tcPr>
          <w:p w:rsidRPr="00D02A76" w:rsidR="008B7FCA" w:rsidP="002853A7" w:rsidRDefault="008B7FCA" w14:paraId="5971304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37ECBB4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8B7FCA" w:rsidP="002853A7" w:rsidRDefault="008B7FCA" w14:paraId="0FD97567"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8243" w:type="dxa"/>
            <w:shd w:val="clear" w:color="auto" w:fill="auto"/>
            <w:tcMar/>
            <w:hideMark/>
          </w:tcPr>
          <w:p w:rsidRPr="00D02A76" w:rsidR="008B7FCA" w:rsidP="002853A7" w:rsidRDefault="008B7FCA" w14:paraId="2479A56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None.</w:t>
            </w:r>
          </w:p>
        </w:tc>
      </w:tr>
      <w:tr w:rsidRPr="00D02A76" w:rsidR="008B7FCA" w:rsidTr="236A9304" w14:paraId="77964CFF" w14:textId="77777777">
        <w:trPr>
          <w:trHeight w:val="900"/>
        </w:trPr>
        <w:tc>
          <w:tcPr>
            <w:tcW w:w="1325" w:type="dxa"/>
            <w:shd w:val="clear" w:color="auto" w:fill="auto"/>
            <w:tcMar/>
            <w:hideMark/>
          </w:tcPr>
          <w:p w:rsidRPr="00D02A76" w:rsidR="008B7FCA" w:rsidP="002853A7" w:rsidRDefault="008B7FCA" w14:paraId="284D9B2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28F816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8B7FCA" w:rsidP="002853A7" w:rsidRDefault="008B7FCA" w14:paraId="50761CB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8243" w:type="dxa"/>
            <w:shd w:val="clear" w:color="auto" w:fill="auto"/>
            <w:tcMar/>
            <w:hideMark/>
          </w:tcPr>
          <w:p w:rsidRPr="00D02A76" w:rsidR="008B7FCA" w:rsidP="002853A7" w:rsidRDefault="008B7FCA" w14:paraId="5E37CCA7"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Since 2005, 75 countries have collected time use statistics through a time-use survey or have included a time-use module in a multipurpose household survey. Time use statistics are available at international level for 67 of them. Between 2000 and 2009, data are available for 75 countries. Since 2010, data for 49 countries are available.</w:t>
            </w:r>
          </w:p>
        </w:tc>
      </w:tr>
      <w:tr w:rsidRPr="00D02A76" w:rsidR="008B7FCA" w:rsidTr="236A9304" w14:paraId="31A41A7D" w14:textId="77777777">
        <w:trPr>
          <w:trHeight w:val="300"/>
        </w:trPr>
        <w:tc>
          <w:tcPr>
            <w:tcW w:w="1325" w:type="dxa"/>
            <w:shd w:val="clear" w:color="auto" w:fill="auto"/>
            <w:tcMar/>
            <w:hideMark/>
          </w:tcPr>
          <w:p w:rsidRPr="00D02A76" w:rsidR="008B7FCA" w:rsidP="002853A7" w:rsidRDefault="008B7FCA" w14:paraId="5C14D6E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589" w:type="dxa"/>
            <w:shd w:val="clear" w:color="auto" w:fill="auto"/>
            <w:tcMar/>
            <w:hideMark/>
          </w:tcPr>
          <w:p w:rsidRPr="00D02A76" w:rsidR="008B7FCA" w:rsidP="002853A7" w:rsidRDefault="008B7FCA" w14:paraId="461D08A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8B7FCA" w:rsidP="002853A7" w:rsidRDefault="008B7FCA" w14:paraId="62E1A6A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8243" w:type="dxa"/>
            <w:shd w:val="clear" w:color="auto" w:fill="auto"/>
            <w:tcMar/>
            <w:hideMark/>
          </w:tcPr>
          <w:p w:rsidRPr="00D02A76" w:rsidR="008B7FCA" w:rsidP="002853A7" w:rsidRDefault="008B7FCA" w14:paraId="05C2AF5C" w14:textId="77777777">
            <w:pPr>
              <w:spacing w:after="0" w:line="240" w:lineRule="auto"/>
              <w:rPr>
                <w:rFonts w:ascii="Calibri" w:hAnsi="Calibri" w:eastAsia="Times New Roman" w:cs="Calibri"/>
                <w:color w:val="000000"/>
              </w:rPr>
            </w:pPr>
          </w:p>
        </w:tc>
      </w:tr>
    </w:tbl>
    <w:p w:rsidR="007F39D2" w:rsidRDefault="007F39D2" w14:paraId="7F990C0B" w14:textId="77777777"/>
    <w:sectPr w:rsidR="007F39D2" w:rsidSect="00AE4DB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BF"/>
    <w:rsid w:val="000928C4"/>
    <w:rsid w:val="00602EC4"/>
    <w:rsid w:val="006F1895"/>
    <w:rsid w:val="007F39D2"/>
    <w:rsid w:val="008B7FCA"/>
    <w:rsid w:val="00AE4DBF"/>
    <w:rsid w:val="00C45448"/>
    <w:rsid w:val="00E24873"/>
    <w:rsid w:val="02F295EB"/>
    <w:rsid w:val="0BB452EB"/>
    <w:rsid w:val="0CDA3A48"/>
    <w:rsid w:val="1B1BCD93"/>
    <w:rsid w:val="21625FC6"/>
    <w:rsid w:val="236A9304"/>
    <w:rsid w:val="24D47099"/>
    <w:rsid w:val="295CE29A"/>
    <w:rsid w:val="2C0F8483"/>
    <w:rsid w:val="2D61D0EC"/>
    <w:rsid w:val="2EE13379"/>
    <w:rsid w:val="31E0BE2F"/>
    <w:rsid w:val="3454CF11"/>
    <w:rsid w:val="34D6F66E"/>
    <w:rsid w:val="35F5566D"/>
    <w:rsid w:val="373A84F9"/>
    <w:rsid w:val="37993DB5"/>
    <w:rsid w:val="3B013BE6"/>
    <w:rsid w:val="4345C63A"/>
    <w:rsid w:val="44A91807"/>
    <w:rsid w:val="4E55E146"/>
    <w:rsid w:val="4F52FDAD"/>
    <w:rsid w:val="5949CF44"/>
    <w:rsid w:val="5F369ABA"/>
    <w:rsid w:val="60A9A28E"/>
    <w:rsid w:val="671F8246"/>
    <w:rsid w:val="6961AEA3"/>
    <w:rsid w:val="73D2E15A"/>
    <w:rsid w:val="73E16FEA"/>
    <w:rsid w:val="74C8A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A558"/>
  <w15:chartTrackingRefBased/>
  <w15:docId w15:val="{9AB78E9C-3159-4A36-A7F5-7829652E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4DBF"/>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E24873"/>
  </w:style>
  <w:style w:type="character" w:styleId="eop" w:customStyle="1">
    <w:name w:val="eop"/>
    <w:basedOn w:val="DefaultParagraphFont"/>
    <w:rsid w:val="00E24873"/>
  </w:style>
  <w:style w:type="character" w:styleId="Hyperlink">
    <w:name w:val="Hyperlink"/>
    <w:basedOn w:val="DefaultParagraphFont"/>
    <w:uiPriority w:val="99"/>
    <w:unhideWhenUsed/>
    <w:rsid w:val="006F1895"/>
    <w:rPr>
      <w:color w:val="0563C1" w:themeColor="hyperlink"/>
      <w:u w:val="single"/>
    </w:rPr>
  </w:style>
  <w:style w:type="character" w:styleId="UnresolvedMention">
    <w:name w:val="Unresolved Mention"/>
    <w:basedOn w:val="DefaultParagraphFont"/>
    <w:uiPriority w:val="99"/>
    <w:semiHidden/>
    <w:unhideWhenUsed/>
    <w:rsid w:val="006F1895"/>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hyperlink" Target="mailto:genderstat@un.org" TargetMode="External" Id="Rf84824c9a0e04271" /><Relationship Type="http://schemas.openxmlformats.org/officeDocument/2006/relationships/numbering" Target="/word/numbering.xml" Id="Rbc75474c9d7042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2036AF6B-A4EC-4BED-88F3-ED8FAAFD7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DD714-0445-4ECE-9E03-AD31F3436FCF}">
  <ds:schemaRefs>
    <ds:schemaRef ds:uri="http://schemas.microsoft.com/sharepoint/v3/contenttype/forms"/>
  </ds:schemaRefs>
</ds:datastoreItem>
</file>

<file path=customXml/itemProps3.xml><?xml version="1.0" encoding="utf-8"?>
<ds:datastoreItem xmlns:ds="http://schemas.openxmlformats.org/officeDocument/2006/customXml" ds:itemID="{89EC8F04-82EE-4EF0-BA95-C22BA9CB824C}">
  <ds:schemaRefs>
    <ds:schemaRef ds:uri="3d137487-0b15-4ad9-abee-bf6b36a5a6e0"/>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terms/"/>
    <ds:schemaRef ds:uri="81cf108f-c583-47b3-8493-b6de3c823d22"/>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Madita Schulte</lastModifiedBy>
  <revision>8</revision>
  <dcterms:created xsi:type="dcterms:W3CDTF">2021-09-01T23:13:00.0000000Z</dcterms:created>
  <dcterms:modified xsi:type="dcterms:W3CDTF">2021-09-08T07:16:53.8384385Z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