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29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1325"/>
        <w:gridCol w:w="589"/>
        <w:gridCol w:w="2798"/>
        <w:gridCol w:w="8243"/>
      </w:tblGrid>
      <w:tr w:rsidRPr="00D02A76" w:rsidR="00A1119B" w:rsidTr="5D7FE275" w14:paraId="46DD367C" w14:textId="77777777">
        <w:trPr>
          <w:trHeight w:val="600"/>
        </w:trPr>
        <w:tc>
          <w:tcPr>
            <w:tcW w:w="1325" w:type="dxa"/>
            <w:shd w:val="clear" w:color="auto" w:fill="auto"/>
            <w:tcMar/>
          </w:tcPr>
          <w:p w:rsidRPr="00D02A76" w:rsidR="00A1119B" w:rsidP="005E54E0" w:rsidRDefault="00A1119B" w14:paraId="0EA87B10" w14:textId="204A00B9">
            <w:pPr>
              <w:spacing w:after="0" w:line="240" w:lineRule="auto"/>
              <w:jc w:val="right"/>
              <w:rPr>
                <w:rFonts w:ascii="Calibri" w:hAnsi="Calibri" w:eastAsia="Times New Roman" w:cs="Calibri"/>
                <w:color w:val="000000"/>
              </w:rPr>
            </w:pPr>
            <w:r>
              <w:rPr>
                <w:rStyle w:val="normaltextrun"/>
                <w:rFonts w:ascii="Calibri" w:hAnsi="Calibri" w:cs="Calibri"/>
                <w:color w:val="000000"/>
                <w:shd w:val="clear" w:color="auto" w:fill="FFFFFF"/>
                <w:lang w:val="en-GB"/>
              </w:rPr>
              <w:t>INDICATOR_NUM</w:t>
            </w:r>
          </w:p>
        </w:tc>
        <w:tc>
          <w:tcPr>
            <w:tcW w:w="589" w:type="dxa"/>
            <w:shd w:val="clear" w:color="auto" w:fill="auto"/>
            <w:tcMar/>
          </w:tcPr>
          <w:p w:rsidRPr="00D02A76" w:rsidR="00A1119B" w:rsidP="005E54E0" w:rsidRDefault="00A1119B" w14:paraId="7085E090" w14:textId="6CE0FC3D">
            <w:pPr>
              <w:spacing w:after="0" w:line="240" w:lineRule="auto"/>
              <w:jc w:val="right"/>
              <w:rPr>
                <w:rFonts w:ascii="Calibri" w:hAnsi="Calibri" w:eastAsia="Times New Roman" w:cs="Calibri"/>
                <w:color w:val="000000"/>
              </w:rPr>
            </w:pPr>
            <w:r>
              <w:rPr>
                <w:rStyle w:val="normaltextrun"/>
                <w:rFonts w:ascii="Calibri" w:hAnsi="Calibri" w:cs="Calibri"/>
                <w:color w:val="000000"/>
                <w:shd w:val="clear" w:color="auto" w:fill="FFFFFF"/>
                <w:lang w:val="en-GB"/>
              </w:rPr>
              <w:t>METADATA_CATEGORY</w:t>
            </w:r>
          </w:p>
        </w:tc>
        <w:tc>
          <w:tcPr>
            <w:tcW w:w="2798" w:type="dxa"/>
            <w:shd w:val="clear" w:color="auto" w:fill="auto"/>
            <w:tcMar/>
          </w:tcPr>
          <w:p w:rsidRPr="00D02A76" w:rsidR="00A1119B" w:rsidP="005E54E0" w:rsidRDefault="00A1119B" w14:paraId="5B04E6A7" w14:textId="4C029187">
            <w:pPr>
              <w:spacing w:after="0" w:line="240" w:lineRule="auto"/>
              <w:rPr>
                <w:rFonts w:ascii="Calibri" w:hAnsi="Calibri" w:eastAsia="Times New Roman" w:cs="Calibri"/>
                <w:color w:val="000000"/>
              </w:rPr>
            </w:pPr>
            <w:r>
              <w:rPr>
                <w:rStyle w:val="normaltextrun"/>
                <w:rFonts w:ascii="Calibri" w:hAnsi="Calibri" w:cs="Calibri"/>
                <w:color w:val="000000"/>
                <w:shd w:val="clear" w:color="auto" w:fill="FFFFFF"/>
                <w:lang w:val="en-GB"/>
              </w:rPr>
              <w:t>METADATA_CATEGORY_DESC</w:t>
            </w:r>
            <w:r>
              <w:rPr>
                <w:rStyle w:val="eop"/>
                <w:rFonts w:ascii="Calibri" w:hAnsi="Calibri" w:cs="Calibri"/>
                <w:color w:val="000000"/>
                <w:shd w:val="clear" w:color="auto" w:fill="FFFFFF"/>
              </w:rPr>
              <w:t> </w:t>
            </w:r>
          </w:p>
        </w:tc>
        <w:tc>
          <w:tcPr>
            <w:tcW w:w="8243" w:type="dxa"/>
            <w:shd w:val="clear" w:color="auto" w:fill="auto"/>
            <w:tcMar/>
          </w:tcPr>
          <w:p w:rsidRPr="00D02A76" w:rsidR="00A1119B" w:rsidP="005E54E0" w:rsidRDefault="00A1119B" w14:paraId="661175B3" w14:textId="5F231606">
            <w:pPr>
              <w:spacing w:after="0" w:line="240" w:lineRule="auto"/>
              <w:rPr>
                <w:rFonts w:ascii="Calibri" w:hAnsi="Calibri" w:eastAsia="Times New Roman" w:cs="Calibri"/>
                <w:b w:val="0"/>
                <w:bCs w:val="0"/>
                <w:color w:val="000000"/>
              </w:rPr>
            </w:pPr>
            <w:r w:rsidR="00A1119B">
              <w:rPr>
                <w:rStyle w:val="normaltextrun"/>
                <w:rFonts w:ascii="Calibri" w:hAnsi="Calibri" w:cs="Calibri"/>
                <w:b w:val="0"/>
                <w:bCs w:val="0"/>
                <w:color w:val="000000"/>
                <w:shd w:val="clear" w:color="auto" w:fill="FFFFFF"/>
                <w:lang w:val="en-GB"/>
              </w:rPr>
              <w:t>METADATA_DESCRIPTION</w:t>
            </w:r>
          </w:p>
        </w:tc>
      </w:tr>
      <w:tr w:rsidRPr="00D02A76" w:rsidR="00A1119B" w:rsidTr="5D7FE275" w14:paraId="08FCBB5D" w14:textId="77777777">
        <w:trPr>
          <w:trHeight w:val="600"/>
        </w:trPr>
        <w:tc>
          <w:tcPr>
            <w:tcW w:w="1325" w:type="dxa"/>
            <w:shd w:val="clear" w:color="auto" w:fill="auto"/>
            <w:tcMar/>
            <w:hideMark/>
          </w:tcPr>
          <w:p w:rsidRPr="00D02A76" w:rsidR="00A1119B" w:rsidP="005E54E0" w:rsidRDefault="000E5539" w14:paraId="7966160D" w14:textId="03798CFB">
            <w:pPr>
              <w:spacing w:after="0" w:line="240" w:lineRule="auto"/>
              <w:jc w:val="right"/>
              <w:rPr>
                <w:rFonts w:ascii="Calibri" w:hAnsi="Calibri" w:eastAsia="Times New Roman" w:cs="Calibri"/>
                <w:color w:val="000000"/>
              </w:rPr>
            </w:pPr>
            <w:r>
              <w:rPr>
                <w:rFonts w:ascii="Calibri" w:hAnsi="Calibri" w:eastAsia="Times New Roman" w:cs="Calibri"/>
                <w:color w:val="000000"/>
              </w:rPr>
              <w:t>I.</w:t>
            </w:r>
            <w:r w:rsidRPr="00D02A76" w:rsidR="00A1119B">
              <w:rPr>
                <w:rFonts w:ascii="Calibri" w:hAnsi="Calibri" w:eastAsia="Times New Roman" w:cs="Calibri"/>
                <w:color w:val="000000"/>
              </w:rPr>
              <w:t>7</w:t>
            </w:r>
          </w:p>
        </w:tc>
        <w:tc>
          <w:tcPr>
            <w:tcW w:w="589" w:type="dxa"/>
            <w:shd w:val="clear" w:color="auto" w:fill="auto"/>
            <w:tcMar/>
            <w:hideMark/>
          </w:tcPr>
          <w:p w:rsidRPr="00D02A76" w:rsidR="00A1119B" w:rsidP="005E54E0" w:rsidRDefault="00A1119B" w14:paraId="4048CD58"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1</w:t>
            </w:r>
          </w:p>
        </w:tc>
        <w:tc>
          <w:tcPr>
            <w:tcW w:w="2798" w:type="dxa"/>
            <w:shd w:val="clear" w:color="auto" w:fill="auto"/>
            <w:tcMar/>
            <w:hideMark/>
          </w:tcPr>
          <w:p w:rsidRPr="00D02A76" w:rsidR="00A1119B" w:rsidP="005E54E0" w:rsidRDefault="00A1119B" w14:paraId="43FA922B"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Contact point in international agency</w:t>
            </w:r>
          </w:p>
        </w:tc>
        <w:tc>
          <w:tcPr>
            <w:tcW w:w="8243" w:type="dxa"/>
            <w:shd w:val="clear" w:color="auto" w:fill="auto"/>
            <w:tcMar/>
          </w:tcPr>
          <w:p w:rsidRPr="00DD4671" w:rsidR="00DD4671" w:rsidP="00DD4671" w:rsidRDefault="00DD4671" w14:paraId="4D626D3C" w14:textId="77777777">
            <w:pPr>
              <w:spacing w:after="0" w:line="240" w:lineRule="auto"/>
              <w:rPr>
                <w:rFonts w:ascii="Calibri" w:hAnsi="Calibri" w:eastAsia="Times New Roman" w:cs="Calibri"/>
                <w:b w:val="0"/>
                <w:bCs w:val="0"/>
                <w:color w:val="000000"/>
              </w:rPr>
            </w:pPr>
            <w:r w:rsidRPr="5D7FE275" w:rsidR="00DD4671">
              <w:rPr>
                <w:rFonts w:ascii="Calibri" w:hAnsi="Calibri" w:eastAsia="Times New Roman" w:cs="Calibri"/>
                <w:b w:val="0"/>
                <w:bCs w:val="0"/>
                <w:color w:val="000000" w:themeColor="text1" w:themeTint="FF" w:themeShade="FF"/>
              </w:rPr>
              <w:t>Name: Steven Kapsos</w:t>
            </w:r>
          </w:p>
          <w:p w:rsidRPr="00DD4671" w:rsidR="00DD4671" w:rsidP="00DD4671" w:rsidRDefault="00DD4671" w14:paraId="54057CA0" w14:textId="77777777">
            <w:pPr>
              <w:spacing w:after="0" w:line="240" w:lineRule="auto"/>
              <w:rPr>
                <w:rFonts w:ascii="Calibri" w:hAnsi="Calibri" w:eastAsia="Times New Roman" w:cs="Calibri"/>
                <w:b w:val="0"/>
                <w:bCs w:val="0"/>
                <w:color w:val="000000"/>
              </w:rPr>
            </w:pPr>
            <w:r w:rsidRPr="5D7FE275" w:rsidR="00DD4671">
              <w:rPr>
                <w:rFonts w:ascii="Calibri" w:hAnsi="Calibri" w:eastAsia="Times New Roman" w:cs="Calibri"/>
                <w:b w:val="0"/>
                <w:bCs w:val="0"/>
                <w:color w:val="000000" w:themeColor="text1" w:themeTint="FF" w:themeShade="FF"/>
              </w:rPr>
              <w:t>Agency: ILO</w:t>
            </w:r>
          </w:p>
          <w:p w:rsidR="00A1119B" w:rsidP="00DD4671" w:rsidRDefault="00DD4671" w14:paraId="4452E74D" w14:textId="77777777">
            <w:pPr>
              <w:spacing w:after="0" w:line="240" w:lineRule="auto"/>
              <w:rPr>
                <w:rFonts w:ascii="Calibri" w:hAnsi="Calibri" w:eastAsia="Times New Roman" w:cs="Calibri"/>
                <w:b w:val="0"/>
                <w:bCs w:val="0"/>
                <w:color w:val="000000"/>
              </w:rPr>
            </w:pPr>
            <w:r w:rsidRPr="5D7FE275" w:rsidR="00DD4671">
              <w:rPr>
                <w:rFonts w:ascii="Calibri" w:hAnsi="Calibri" w:eastAsia="Times New Roman" w:cs="Calibri"/>
                <w:b w:val="0"/>
                <w:bCs w:val="0"/>
                <w:color w:val="000000" w:themeColor="text1" w:themeTint="FF" w:themeShade="FF"/>
              </w:rPr>
              <w:t>Title: Head of the Data Production and Analysis Unit</w:t>
            </w:r>
          </w:p>
          <w:p w:rsidR="00DD4671" w:rsidP="5D7FE275" w:rsidRDefault="00194C5D" w14:paraId="06DDD409" w14:textId="02AF90A6">
            <w:pPr>
              <w:pStyle w:val="Normal"/>
              <w:spacing w:after="0" w:line="240" w:lineRule="auto"/>
              <w:rPr>
                <w:rFonts w:ascii="Calibri" w:hAnsi="Calibri" w:eastAsia="Times New Roman" w:cs="Calibri"/>
                <w:b w:val="0"/>
                <w:bCs w:val="0"/>
                <w:color w:val="000000"/>
              </w:rPr>
            </w:pPr>
            <w:r w:rsidRPr="5D7FE275" w:rsidR="5372C771">
              <w:rPr>
                <w:rFonts w:ascii="Calibri" w:hAnsi="Calibri" w:eastAsia="Times New Roman" w:cs="Calibri"/>
                <w:b w:val="0"/>
                <w:bCs w:val="0"/>
              </w:rPr>
              <w:t>[</w:t>
            </w:r>
            <w:r w:rsidRPr="5D7FE275" w:rsidR="00194C5D">
              <w:rPr>
                <w:rFonts w:ascii="Calibri" w:hAnsi="Calibri" w:eastAsia="Times New Roman" w:cs="Calibri"/>
                <w:b w:val="0"/>
                <w:bCs w:val="0"/>
              </w:rPr>
              <w:t>kapsos@ilo.org</w:t>
            </w:r>
            <w:r w:rsidRPr="5D7FE275" w:rsidR="21B20D00">
              <w:rPr>
                <w:rFonts w:ascii="Calibri" w:hAnsi="Calibri" w:eastAsia="Times New Roman" w:cs="Calibri"/>
                <w:b w:val="0"/>
                <w:bCs w:val="0"/>
              </w:rPr>
              <w:t>](</w:t>
            </w:r>
            <w:proofErr w:type="spellStart"/>
            <w:r w:rsidRPr="5D7FE275" w:rsidR="21B20D00">
              <w:rPr>
                <w:rFonts w:ascii="Calibri" w:hAnsi="Calibri" w:eastAsia="Times New Roman" w:cs="Calibri"/>
                <w:b w:val="0"/>
                <w:bCs w:val="0"/>
              </w:rPr>
              <w:t>mailto</w:t>
            </w:r>
            <w:proofErr w:type="spellEnd"/>
            <w:r w:rsidRPr="5D7FE275" w:rsidR="21B20D00">
              <w:rPr>
                <w:rFonts w:ascii="Calibri" w:hAnsi="Calibri" w:eastAsia="Times New Roman" w:cs="Calibri"/>
                <w:b w:val="0"/>
                <w:bCs w:val="0"/>
              </w:rPr>
              <w:t>:</w:t>
            </w:r>
            <w:hyperlink r:id="R4736b0cb45824bdf">
              <w:r w:rsidRPr="5D7FE275" w:rsidR="21B20D00">
                <w:rPr>
                  <w:rStyle w:val="Hyperlink"/>
                  <w:rFonts w:ascii="Calibri" w:hAnsi="Calibri" w:eastAsia="Times New Roman" w:cs="Calibri"/>
                  <w:b w:val="0"/>
                  <w:bCs w:val="0"/>
                </w:rPr>
                <w:t>kapsos@ilo.org)</w:t>
              </w:r>
            </w:hyperlink>
          </w:p>
          <w:p w:rsidR="00194C5D" w:rsidP="5D7FE275" w:rsidRDefault="00194C5D" w14:paraId="45C0850D" w14:textId="27B246CF">
            <w:pPr>
              <w:pStyle w:val="Normal"/>
              <w:spacing w:after="0" w:line="240" w:lineRule="auto"/>
              <w:rPr>
                <w:rFonts w:ascii="Calibri" w:hAnsi="Calibri" w:eastAsia="Times New Roman" w:cs="Calibri"/>
                <w:b w:val="0"/>
                <w:bCs w:val="0"/>
                <w:color w:val="000000"/>
              </w:rPr>
            </w:pPr>
            <w:r w:rsidRPr="5D7FE275" w:rsidR="21B20D00">
              <w:rPr>
                <w:rFonts w:ascii="Calibri" w:hAnsi="Calibri" w:eastAsia="Times New Roman" w:cs="Calibri"/>
                <w:b w:val="0"/>
                <w:bCs w:val="0"/>
              </w:rPr>
              <w:t>[</w:t>
            </w:r>
            <w:hyperlink r:id="R35819300e59e4661">
              <w:r w:rsidRPr="5D7FE275" w:rsidR="00194C5D">
                <w:rPr>
                  <w:rStyle w:val="Hyperlink"/>
                  <w:rFonts w:ascii="Calibri" w:hAnsi="Calibri" w:eastAsia="Times New Roman" w:cs="Calibri"/>
                  <w:b w:val="0"/>
                  <w:bCs w:val="0"/>
                </w:rPr>
                <w:t>www.ilo.org/ilostat</w:t>
              </w:r>
              <w:r w:rsidRPr="5D7FE275" w:rsidR="5A51B3F5">
                <w:rPr>
                  <w:rStyle w:val="Hyperlink"/>
                  <w:rFonts w:ascii="Calibri" w:hAnsi="Calibri" w:eastAsia="Times New Roman" w:cs="Calibri"/>
                  <w:b w:val="0"/>
                  <w:bCs w:val="0"/>
                </w:rPr>
                <w:t>](</w:t>
              </w:r>
            </w:hyperlink>
            <w:hyperlink r:id="R085dd159a5494c8e">
              <w:r w:rsidRPr="5D7FE275" w:rsidR="5A51B3F5">
                <w:rPr>
                  <w:rStyle w:val="Hyperlink"/>
                  <w:rFonts w:ascii="Calibri" w:hAnsi="Calibri" w:eastAsia="Times New Roman" w:cs="Calibri"/>
                  <w:b w:val="0"/>
                  <w:bCs w:val="0"/>
                </w:rPr>
                <w:t>www.ilo.org/ilostat)</w:t>
              </w:r>
            </w:hyperlink>
          </w:p>
          <w:p w:rsidRPr="00D02A76" w:rsidR="00194C5D" w:rsidP="00DD4671" w:rsidRDefault="00194C5D" w14:paraId="7EC6565B" w14:textId="7AA2771D">
            <w:pPr>
              <w:spacing w:after="0" w:line="240" w:lineRule="auto"/>
              <w:rPr>
                <w:rFonts w:ascii="Calibri" w:hAnsi="Calibri" w:eastAsia="Times New Roman" w:cs="Calibri"/>
                <w:b w:val="0"/>
                <w:bCs w:val="0"/>
                <w:color w:val="000000"/>
              </w:rPr>
            </w:pPr>
          </w:p>
        </w:tc>
      </w:tr>
      <w:tr w:rsidRPr="00D02A76" w:rsidR="00A1119B" w:rsidTr="5D7FE275" w14:paraId="26B8CE96" w14:textId="77777777">
        <w:trPr>
          <w:trHeight w:val="1500"/>
        </w:trPr>
        <w:tc>
          <w:tcPr>
            <w:tcW w:w="1325" w:type="dxa"/>
            <w:shd w:val="clear" w:color="auto" w:fill="auto"/>
            <w:tcMar/>
            <w:hideMark/>
          </w:tcPr>
          <w:p w:rsidRPr="00D02A76" w:rsidR="00A1119B" w:rsidP="005E54E0" w:rsidRDefault="000E5539" w14:paraId="62AC9914" w14:textId="692220BE">
            <w:pPr>
              <w:spacing w:after="0" w:line="240" w:lineRule="auto"/>
              <w:jc w:val="right"/>
              <w:rPr>
                <w:rFonts w:ascii="Calibri" w:hAnsi="Calibri" w:eastAsia="Times New Roman" w:cs="Calibri"/>
                <w:color w:val="000000"/>
              </w:rPr>
            </w:pPr>
            <w:r>
              <w:rPr>
                <w:rFonts w:ascii="Calibri" w:hAnsi="Calibri" w:eastAsia="Times New Roman" w:cs="Calibri"/>
                <w:color w:val="000000"/>
              </w:rPr>
              <w:t>I.</w:t>
            </w:r>
            <w:r w:rsidRPr="00D02A76" w:rsidR="00A1119B">
              <w:rPr>
                <w:rFonts w:ascii="Calibri" w:hAnsi="Calibri" w:eastAsia="Times New Roman" w:cs="Calibri"/>
                <w:color w:val="000000"/>
              </w:rPr>
              <w:t>7</w:t>
            </w:r>
          </w:p>
        </w:tc>
        <w:tc>
          <w:tcPr>
            <w:tcW w:w="589" w:type="dxa"/>
            <w:shd w:val="clear" w:color="auto" w:fill="auto"/>
            <w:tcMar/>
            <w:hideMark/>
          </w:tcPr>
          <w:p w:rsidRPr="00D02A76" w:rsidR="00A1119B" w:rsidP="005E54E0" w:rsidRDefault="00A1119B" w14:paraId="59537E87"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2</w:t>
            </w:r>
          </w:p>
        </w:tc>
        <w:tc>
          <w:tcPr>
            <w:tcW w:w="2798" w:type="dxa"/>
            <w:shd w:val="clear" w:color="auto" w:fill="auto"/>
            <w:tcMar/>
            <w:hideMark/>
          </w:tcPr>
          <w:p w:rsidRPr="00D02A76" w:rsidR="00A1119B" w:rsidP="005E54E0" w:rsidRDefault="00A1119B" w14:paraId="7329F15C"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International agreed definition</w:t>
            </w:r>
          </w:p>
        </w:tc>
        <w:tc>
          <w:tcPr>
            <w:tcW w:w="8243" w:type="dxa"/>
            <w:shd w:val="clear" w:color="auto" w:fill="auto"/>
            <w:tcMar/>
          </w:tcPr>
          <w:p w:rsidRPr="00687C31" w:rsidR="00687C31" w:rsidP="5D7FE275" w:rsidRDefault="00687C31" w14:paraId="7D75DC06" w14:textId="5EB96F18">
            <w:pPr>
              <w:spacing w:after="0" w:line="240" w:lineRule="auto"/>
              <w:rPr>
                <w:rFonts w:ascii="Calibri" w:hAnsi="Calibri" w:eastAsia="Times New Roman" w:cs="Calibri"/>
                <w:b w:val="0"/>
                <w:bCs w:val="0"/>
                <w:color w:val="000000"/>
              </w:rPr>
            </w:pPr>
            <w:r w:rsidRPr="5D7FE275" w:rsidR="4B32F091">
              <w:rPr>
                <w:rFonts w:ascii="Calibri" w:hAnsi="Calibri" w:eastAsia="Times New Roman" w:cs="Calibri"/>
                <w:b w:val="0"/>
                <w:bCs w:val="0"/>
                <w:color w:val="000000" w:themeColor="text1" w:themeTint="FF" w:themeShade="FF"/>
              </w:rPr>
              <w:t>**</w:t>
            </w:r>
            <w:r w:rsidRPr="5D7FE275" w:rsidR="00687C31">
              <w:rPr>
                <w:rFonts w:ascii="Calibri" w:hAnsi="Calibri" w:eastAsia="Times New Roman" w:cs="Calibri"/>
                <w:b w:val="0"/>
                <w:bCs w:val="0"/>
                <w:color w:val="000000" w:themeColor="text1" w:themeTint="FF" w:themeShade="FF"/>
              </w:rPr>
              <w:t>Definition</w:t>
            </w:r>
            <w:r w:rsidRPr="5D7FE275" w:rsidR="7AFFAF88">
              <w:rPr>
                <w:rFonts w:ascii="Calibri" w:hAnsi="Calibri" w:eastAsia="Times New Roman" w:cs="Calibri"/>
                <w:b w:val="0"/>
                <w:bCs w:val="0"/>
                <w:color w:val="000000" w:themeColor="text1" w:themeTint="FF" w:themeShade="FF"/>
              </w:rPr>
              <w:t>**:</w:t>
            </w:r>
          </w:p>
          <w:p w:rsidR="0091630E" w:rsidP="005E54E0" w:rsidRDefault="00687C31" w14:paraId="795F3D5E" w14:textId="27DD929F">
            <w:pPr>
              <w:spacing w:after="0" w:line="240" w:lineRule="auto"/>
              <w:rPr>
                <w:rFonts w:ascii="Calibri" w:hAnsi="Calibri" w:eastAsia="Times New Roman" w:cs="Calibri"/>
                <w:b w:val="0"/>
                <w:bCs w:val="0"/>
                <w:color w:val="000000"/>
              </w:rPr>
            </w:pPr>
            <w:r w:rsidRPr="5D7FE275" w:rsidR="00687C31">
              <w:rPr>
                <w:rFonts w:ascii="Calibri" w:hAnsi="Calibri" w:eastAsia="Times New Roman" w:cs="Calibri"/>
                <w:b w:val="0"/>
                <w:bCs w:val="0"/>
                <w:color w:val="000000" w:themeColor="text1" w:themeTint="FF" w:themeShade="FF"/>
              </w:rPr>
              <w:t xml:space="preserve">This indicator conveys the proportion of youth </w:t>
            </w:r>
            <w:proofErr w:type="gramStart"/>
            <w:r w:rsidRPr="5D7FE275" w:rsidR="7D71AAA2">
              <w:rPr>
                <w:rFonts w:ascii="Calibri" w:hAnsi="Calibri" w:eastAsia="Times New Roman" w:cs="Calibri"/>
                <w:b w:val="0"/>
                <w:bCs w:val="0"/>
                <w:color w:val="000000" w:themeColor="text1" w:themeTint="FF" w:themeShade="FF"/>
              </w:rPr>
              <w:t>\</w:t>
            </w:r>
            <w:r w:rsidRPr="5D7FE275" w:rsidR="00687C31">
              <w:rPr>
                <w:rFonts w:ascii="Calibri" w:hAnsi="Calibri" w:eastAsia="Times New Roman" w:cs="Calibri"/>
                <w:b w:val="0"/>
                <w:bCs w:val="0"/>
                <w:color w:val="000000" w:themeColor="text1" w:themeTint="FF" w:themeShade="FF"/>
              </w:rPr>
              <w:t>(</w:t>
            </w:r>
            <w:proofErr w:type="gramEnd"/>
            <w:r w:rsidRPr="5D7FE275" w:rsidR="00687C31">
              <w:rPr>
                <w:rFonts w:ascii="Calibri" w:hAnsi="Calibri" w:eastAsia="Times New Roman" w:cs="Calibri"/>
                <w:b w:val="0"/>
                <w:bCs w:val="0"/>
                <w:color w:val="000000" w:themeColor="text1" w:themeTint="FF" w:themeShade="FF"/>
              </w:rPr>
              <w:t>aged 15-24 years</w:t>
            </w:r>
            <w:r w:rsidRPr="5D7FE275" w:rsidR="50CACAEE">
              <w:rPr>
                <w:rFonts w:ascii="Calibri" w:hAnsi="Calibri" w:eastAsia="Times New Roman" w:cs="Calibri"/>
                <w:b w:val="0"/>
                <w:bCs w:val="0"/>
                <w:color w:val="000000" w:themeColor="text1" w:themeTint="FF" w:themeShade="FF"/>
              </w:rPr>
              <w:t>\</w:t>
            </w:r>
            <w:r w:rsidRPr="5D7FE275" w:rsidR="00687C31">
              <w:rPr>
                <w:rFonts w:ascii="Calibri" w:hAnsi="Calibri" w:eastAsia="Times New Roman" w:cs="Calibri"/>
                <w:b w:val="0"/>
                <w:bCs w:val="0"/>
                <w:color w:val="000000" w:themeColor="text1" w:themeTint="FF" w:themeShade="FF"/>
              </w:rPr>
              <w:t xml:space="preserve">) not in education, </w:t>
            </w:r>
            <w:r w:rsidRPr="5D7FE275" w:rsidR="00687C31">
              <w:rPr>
                <w:rFonts w:ascii="Calibri" w:hAnsi="Calibri" w:eastAsia="Times New Roman" w:cs="Calibri"/>
                <w:b w:val="0"/>
                <w:bCs w:val="0"/>
                <w:color w:val="000000" w:themeColor="text1" w:themeTint="FF" w:themeShade="FF"/>
              </w:rPr>
              <w:t>employment</w:t>
            </w:r>
            <w:r w:rsidRPr="5D7FE275" w:rsidR="00687C31">
              <w:rPr>
                <w:rFonts w:ascii="Calibri" w:hAnsi="Calibri" w:eastAsia="Times New Roman" w:cs="Calibri"/>
                <w:b w:val="0"/>
                <w:bCs w:val="0"/>
                <w:color w:val="000000" w:themeColor="text1" w:themeTint="FF" w:themeShade="FF"/>
              </w:rPr>
              <w:t xml:space="preserve"> or training </w:t>
            </w:r>
            <w:proofErr w:type="gramStart"/>
            <w:r w:rsidRPr="5D7FE275" w:rsidR="6D6EF0A9">
              <w:rPr>
                <w:rFonts w:ascii="Calibri" w:hAnsi="Calibri" w:eastAsia="Times New Roman" w:cs="Calibri"/>
                <w:b w:val="0"/>
                <w:bCs w:val="0"/>
                <w:color w:val="000000" w:themeColor="text1" w:themeTint="FF" w:themeShade="FF"/>
              </w:rPr>
              <w:t>\</w:t>
            </w:r>
            <w:r w:rsidRPr="5D7FE275" w:rsidR="00687C31">
              <w:rPr>
                <w:rFonts w:ascii="Calibri" w:hAnsi="Calibri" w:eastAsia="Times New Roman" w:cs="Calibri"/>
                <w:b w:val="0"/>
                <w:bCs w:val="0"/>
                <w:color w:val="000000" w:themeColor="text1" w:themeTint="FF" w:themeShade="FF"/>
              </w:rPr>
              <w:t>(</w:t>
            </w:r>
            <w:proofErr w:type="gramEnd"/>
            <w:r w:rsidRPr="5D7FE275" w:rsidR="00687C31">
              <w:rPr>
                <w:rFonts w:ascii="Calibri" w:hAnsi="Calibri" w:eastAsia="Times New Roman" w:cs="Calibri"/>
                <w:b w:val="0"/>
                <w:bCs w:val="0"/>
                <w:color w:val="000000" w:themeColor="text1" w:themeTint="FF" w:themeShade="FF"/>
              </w:rPr>
              <w:t>also known as "the youth NEET rate"</w:t>
            </w:r>
            <w:r w:rsidRPr="5D7FE275" w:rsidR="413CF39A">
              <w:rPr>
                <w:rFonts w:ascii="Calibri" w:hAnsi="Calibri" w:eastAsia="Times New Roman" w:cs="Calibri"/>
                <w:b w:val="0"/>
                <w:bCs w:val="0"/>
                <w:color w:val="000000" w:themeColor="text1" w:themeTint="FF" w:themeShade="FF"/>
              </w:rPr>
              <w:t>\</w:t>
            </w:r>
            <w:r w:rsidRPr="5D7FE275" w:rsidR="00687C31">
              <w:rPr>
                <w:rFonts w:ascii="Calibri" w:hAnsi="Calibri" w:eastAsia="Times New Roman" w:cs="Calibri"/>
                <w:b w:val="0"/>
                <w:bCs w:val="0"/>
                <w:color w:val="000000" w:themeColor="text1" w:themeTint="FF" w:themeShade="FF"/>
              </w:rPr>
              <w:t>).</w:t>
            </w:r>
            <w:r w:rsidRPr="5D7FE275" w:rsidR="00687C31">
              <w:rPr>
                <w:rFonts w:ascii="Calibri" w:hAnsi="Calibri" w:eastAsia="Times New Roman" w:cs="Calibri"/>
                <w:b w:val="0"/>
                <w:bCs w:val="0"/>
                <w:color w:val="000000" w:themeColor="text1" w:themeTint="FF" w:themeShade="FF"/>
              </w:rPr>
              <w:t xml:space="preserve"> It is</w:t>
            </w:r>
            <w:r w:rsidRPr="5D7FE275" w:rsidR="2D364FB9">
              <w:rPr>
                <w:rFonts w:ascii="Calibri" w:hAnsi="Calibri" w:eastAsia="Times New Roman" w:cs="Calibri"/>
                <w:b w:val="0"/>
                <w:bCs w:val="0"/>
                <w:color w:val="000000" w:themeColor="text1" w:themeTint="FF" w:themeShade="FF"/>
              </w:rPr>
              <w:t xml:space="preserve"> also an</w:t>
            </w:r>
            <w:r w:rsidRPr="5D7FE275" w:rsidR="00687C31">
              <w:rPr>
                <w:rFonts w:ascii="Calibri" w:hAnsi="Calibri" w:eastAsia="Times New Roman" w:cs="Calibri"/>
                <w:b w:val="0"/>
                <w:bCs w:val="0"/>
                <w:color w:val="000000" w:themeColor="text1" w:themeTint="FF" w:themeShade="FF"/>
              </w:rPr>
              <w:t xml:space="preserve"> SDG indicator 8.6.1</w:t>
            </w:r>
            <w:r w:rsidRPr="5D7FE275" w:rsidR="41840744">
              <w:rPr>
                <w:rFonts w:ascii="Calibri" w:hAnsi="Calibri" w:eastAsia="Times New Roman" w:cs="Calibri"/>
                <w:b w:val="0"/>
                <w:bCs w:val="0"/>
                <w:color w:val="000000" w:themeColor="text1" w:themeTint="FF" w:themeShade="FF"/>
              </w:rPr>
              <w:t>.</w:t>
            </w:r>
          </w:p>
          <w:p w:rsidR="00687C31" w:rsidP="005E54E0" w:rsidRDefault="00687C31" w14:paraId="14731A92" w14:textId="77777777">
            <w:pPr>
              <w:spacing w:after="0" w:line="240" w:lineRule="auto"/>
              <w:rPr>
                <w:rFonts w:ascii="Calibri" w:hAnsi="Calibri" w:eastAsia="Times New Roman" w:cs="Calibri"/>
                <w:b w:val="0"/>
                <w:bCs w:val="0"/>
                <w:color w:val="000000"/>
              </w:rPr>
            </w:pPr>
          </w:p>
          <w:p w:rsidRPr="0086358A" w:rsidR="0086358A" w:rsidP="5D7FE275" w:rsidRDefault="0086358A" w14:paraId="55D2F8A1" w14:textId="09A03BBA">
            <w:pPr>
              <w:spacing w:after="0" w:line="240" w:lineRule="auto"/>
              <w:rPr>
                <w:rFonts w:ascii="Calibri" w:hAnsi="Calibri" w:eastAsia="Times New Roman" w:cs="Calibri"/>
                <w:b w:val="0"/>
                <w:bCs w:val="0"/>
                <w:color w:val="000000"/>
              </w:rPr>
            </w:pPr>
            <w:r w:rsidRPr="5D7FE275" w:rsidR="2E0EEE1A">
              <w:rPr>
                <w:rFonts w:ascii="Calibri" w:hAnsi="Calibri" w:eastAsia="Times New Roman" w:cs="Calibri"/>
                <w:b w:val="0"/>
                <w:bCs w:val="0"/>
                <w:color w:val="000000" w:themeColor="text1" w:themeTint="FF" w:themeShade="FF"/>
              </w:rPr>
              <w:t>**</w:t>
            </w:r>
            <w:r w:rsidRPr="5D7FE275" w:rsidR="0086358A">
              <w:rPr>
                <w:rFonts w:ascii="Calibri" w:hAnsi="Calibri" w:eastAsia="Times New Roman" w:cs="Calibri"/>
                <w:b w:val="0"/>
                <w:bCs w:val="0"/>
                <w:color w:val="000000" w:themeColor="text1" w:themeTint="FF" w:themeShade="FF"/>
              </w:rPr>
              <w:t>Concepts</w:t>
            </w:r>
            <w:r w:rsidRPr="5D7FE275" w:rsidR="3EC47C6E">
              <w:rPr>
                <w:rFonts w:ascii="Calibri" w:hAnsi="Calibri" w:eastAsia="Times New Roman" w:cs="Calibri"/>
                <w:b w:val="0"/>
                <w:bCs w:val="0"/>
                <w:color w:val="000000" w:themeColor="text1" w:themeTint="FF" w:themeShade="FF"/>
              </w:rPr>
              <w:t>**:</w:t>
            </w:r>
          </w:p>
          <w:p w:rsidR="00FB36FC" w:rsidP="36A71A15" w:rsidRDefault="00B631D5" w14:paraId="3DA69C51" w14:textId="45C78A05">
            <w:pPr>
              <w:spacing w:after="0" w:line="240" w:lineRule="auto"/>
              <w:rPr>
                <w:rFonts w:ascii="Calibri" w:hAnsi="Calibri" w:eastAsia="Times New Roman" w:cs="Calibri"/>
                <w:b w:val="0"/>
                <w:bCs w:val="0"/>
                <w:color w:val="000000" w:themeColor="text1" w:themeTint="FF" w:themeShade="FF"/>
              </w:rPr>
            </w:pPr>
            <w:r w:rsidRPr="5D7FE275" w:rsidR="0086358A">
              <w:rPr>
                <w:rFonts w:ascii="Calibri" w:hAnsi="Calibri" w:eastAsia="Times New Roman" w:cs="Calibri"/>
                <w:b w:val="0"/>
                <w:bCs w:val="0"/>
                <w:color w:val="000000" w:themeColor="text1" w:themeTint="FF" w:themeShade="FF"/>
              </w:rPr>
              <w:t xml:space="preserve">For the purposes of this indicator, youth is defined as all persons between the ages of 15 and 24 </w:t>
            </w:r>
            <w:r w:rsidRPr="5D7FE275" w:rsidR="3F4ACB8A">
              <w:rPr>
                <w:rFonts w:ascii="Calibri" w:hAnsi="Calibri" w:eastAsia="Times New Roman" w:cs="Calibri"/>
                <w:b w:val="0"/>
                <w:bCs w:val="0"/>
                <w:color w:val="000000" w:themeColor="text1" w:themeTint="FF" w:themeShade="FF"/>
              </w:rPr>
              <w:t>\</w:t>
            </w:r>
            <w:r w:rsidRPr="5D7FE275" w:rsidR="0086358A">
              <w:rPr>
                <w:rFonts w:ascii="Calibri" w:hAnsi="Calibri" w:eastAsia="Times New Roman" w:cs="Calibri"/>
                <w:b w:val="0"/>
                <w:bCs w:val="0"/>
                <w:color w:val="000000" w:themeColor="text1" w:themeTint="FF" w:themeShade="FF"/>
              </w:rPr>
              <w:t>(inclusive</w:t>
            </w:r>
            <w:r w:rsidRPr="5D7FE275" w:rsidR="75BF582E">
              <w:rPr>
                <w:rFonts w:ascii="Calibri" w:hAnsi="Calibri" w:eastAsia="Times New Roman" w:cs="Calibri"/>
                <w:b w:val="0"/>
                <w:bCs w:val="0"/>
                <w:color w:val="000000" w:themeColor="text1" w:themeTint="FF" w:themeShade="FF"/>
              </w:rPr>
              <w:t>\</w:t>
            </w:r>
            <w:r w:rsidRPr="5D7FE275" w:rsidR="0086358A">
              <w:rPr>
                <w:rFonts w:ascii="Calibri" w:hAnsi="Calibri" w:eastAsia="Times New Roman" w:cs="Calibri"/>
                <w:b w:val="0"/>
                <w:bCs w:val="0"/>
                <w:color w:val="000000" w:themeColor="text1" w:themeTint="FF" w:themeShade="FF"/>
              </w:rPr>
              <w:t xml:space="preserve">). </w:t>
            </w:r>
          </w:p>
          <w:p w:rsidR="00FB36FC" w:rsidP="36A71A15" w:rsidRDefault="00B631D5" w14:paraId="7D41AF61" w14:textId="70B98FB0">
            <w:pPr>
              <w:spacing w:after="0" w:line="240" w:lineRule="auto"/>
              <w:rPr>
                <w:rFonts w:ascii="Calibri" w:hAnsi="Calibri" w:eastAsia="Times New Roman" w:cs="Calibri"/>
                <w:b w:val="0"/>
                <w:bCs w:val="0"/>
                <w:color w:val="000000" w:themeColor="text1" w:themeTint="FF" w:themeShade="FF"/>
              </w:rPr>
            </w:pPr>
          </w:p>
          <w:p w:rsidR="00FB36FC" w:rsidP="005E54E0" w:rsidRDefault="00B631D5" w14:paraId="7F078C09" w14:textId="278A47E2">
            <w:pPr>
              <w:spacing w:after="0" w:line="240" w:lineRule="auto"/>
              <w:rPr>
                <w:rFonts w:ascii="Calibri" w:hAnsi="Calibri" w:eastAsia="Times New Roman" w:cs="Calibri"/>
                <w:b w:val="0"/>
                <w:bCs w:val="0"/>
                <w:color w:val="000000"/>
              </w:rPr>
            </w:pPr>
            <w:r w:rsidRPr="5D7FE275" w:rsidR="0086358A">
              <w:rPr>
                <w:rFonts w:ascii="Calibri" w:hAnsi="Calibri" w:eastAsia="Times New Roman" w:cs="Calibri"/>
                <w:b w:val="0"/>
                <w:bCs w:val="0"/>
                <w:color w:val="000000" w:themeColor="text1" w:themeTint="FF" w:themeShade="FF"/>
              </w:rPr>
              <w:t xml:space="preserve">According to the International Standard Classification of Education </w:t>
            </w:r>
            <w:r w:rsidRPr="5D7FE275" w:rsidR="3683991D">
              <w:rPr>
                <w:rFonts w:ascii="Calibri" w:hAnsi="Calibri" w:eastAsia="Times New Roman" w:cs="Calibri"/>
                <w:b w:val="0"/>
                <w:bCs w:val="0"/>
                <w:color w:val="000000" w:themeColor="text1" w:themeTint="FF" w:themeShade="FF"/>
              </w:rPr>
              <w:t>\</w:t>
            </w:r>
            <w:r w:rsidRPr="5D7FE275" w:rsidR="0086358A">
              <w:rPr>
                <w:rFonts w:ascii="Calibri" w:hAnsi="Calibri" w:eastAsia="Times New Roman" w:cs="Calibri"/>
                <w:b w:val="0"/>
                <w:bCs w:val="0"/>
                <w:color w:val="000000" w:themeColor="text1" w:themeTint="FF" w:themeShade="FF"/>
              </w:rPr>
              <w:t>(ISCED</w:t>
            </w:r>
            <w:r w:rsidRPr="5D7FE275" w:rsidR="66331385">
              <w:rPr>
                <w:rFonts w:ascii="Calibri" w:hAnsi="Calibri" w:eastAsia="Times New Roman" w:cs="Calibri"/>
                <w:b w:val="0"/>
                <w:bCs w:val="0"/>
                <w:color w:val="000000" w:themeColor="text1" w:themeTint="FF" w:themeShade="FF"/>
              </w:rPr>
              <w:t>\</w:t>
            </w:r>
            <w:r w:rsidRPr="5D7FE275" w:rsidR="0086358A">
              <w:rPr>
                <w:rFonts w:ascii="Calibri" w:hAnsi="Calibri" w:eastAsia="Times New Roman" w:cs="Calibri"/>
                <w:b w:val="0"/>
                <w:bCs w:val="0"/>
                <w:color w:val="000000" w:themeColor="text1" w:themeTint="FF" w:themeShade="FF"/>
              </w:rPr>
              <w:t>),</w:t>
            </w:r>
            <w:r w:rsidRPr="5D7FE275" w:rsidR="00B631D5">
              <w:rPr>
                <w:rFonts w:ascii="Calibri" w:hAnsi="Calibri" w:eastAsia="Times New Roman" w:cs="Calibri"/>
                <w:b w:val="0"/>
                <w:bCs w:val="0"/>
                <w:color w:val="000000" w:themeColor="text1" w:themeTint="FF" w:themeShade="FF"/>
              </w:rPr>
              <w:t xml:space="preserve"> </w:t>
            </w:r>
            <w:r w:rsidRPr="5D7FE275" w:rsidR="0086358A">
              <w:rPr>
                <w:rFonts w:ascii="Calibri" w:hAnsi="Calibri" w:eastAsia="Times New Roman" w:cs="Calibri"/>
                <w:b w:val="0"/>
                <w:bCs w:val="0"/>
                <w:color w:val="000000" w:themeColor="text1" w:themeTint="FF" w:themeShade="FF"/>
              </w:rPr>
              <w:t>education is defined as organized and sustained communication designed to bring about learning. Formal education is defined in ISCED as education that is institutionalized, intentional, and planned through public organizations and recognized private bodies and, in their totality, make up the formal education system of a country.</w:t>
            </w:r>
            <w:r w:rsidRPr="5D7FE275" w:rsidR="17D4C6C6">
              <w:rPr>
                <w:rFonts w:ascii="Calibri" w:hAnsi="Calibri" w:eastAsia="Times New Roman" w:cs="Calibri"/>
                <w:b w:val="0"/>
                <w:bCs w:val="0"/>
                <w:color w:val="000000" w:themeColor="text1" w:themeTint="FF" w:themeShade="FF"/>
              </w:rPr>
              <w:t xml:space="preserve"> </w:t>
            </w:r>
            <w:r w:rsidRPr="5D7FE275" w:rsidR="00B631D5">
              <w:rPr>
                <w:rFonts w:ascii="Calibri" w:hAnsi="Calibri" w:eastAsia="Times New Roman" w:cs="Calibri"/>
                <w:b w:val="0"/>
                <w:bCs w:val="0"/>
                <w:color w:val="000000" w:themeColor="text1" w:themeTint="FF" w:themeShade="FF"/>
              </w:rPr>
              <w:t xml:space="preserve">Non-formal education, like formal </w:t>
            </w:r>
            <w:r w:rsidRPr="5D7FE275" w:rsidR="00B631D5">
              <w:rPr>
                <w:rFonts w:ascii="Calibri" w:hAnsi="Calibri" w:eastAsia="Times New Roman" w:cs="Calibri"/>
                <w:b w:val="0"/>
                <w:bCs w:val="0"/>
                <w:color w:val="000000" w:themeColor="text1" w:themeTint="FF" w:themeShade="FF"/>
              </w:rPr>
              <w:t>education</w:t>
            </w:r>
            <w:r w:rsidRPr="5D7FE275" w:rsidR="00B631D5">
              <w:rPr>
                <w:rFonts w:ascii="Calibri" w:hAnsi="Calibri" w:eastAsia="Times New Roman" w:cs="Calibri"/>
                <w:b w:val="0"/>
                <w:bCs w:val="0"/>
                <w:color w:val="000000" w:themeColor="text1" w:themeTint="FF" w:themeShade="FF"/>
              </w:rPr>
              <w:t xml:space="preserve"> is defined in ISCED as education that is institutionalized, intentional and planned by an education provider but is considered an addition, alternative and/or a complement to formal education. It may be short in duration and/or low in intensity and it is typically provided in the form of short courses, </w:t>
            </w:r>
            <w:r w:rsidRPr="5D7FE275" w:rsidR="00B631D5">
              <w:rPr>
                <w:rFonts w:ascii="Calibri" w:hAnsi="Calibri" w:eastAsia="Times New Roman" w:cs="Calibri"/>
                <w:b w:val="0"/>
                <w:bCs w:val="0"/>
                <w:color w:val="000000" w:themeColor="text1" w:themeTint="FF" w:themeShade="FF"/>
              </w:rPr>
              <w:t>workshops</w:t>
            </w:r>
            <w:r w:rsidRPr="5D7FE275" w:rsidR="00B631D5">
              <w:rPr>
                <w:rFonts w:ascii="Calibri" w:hAnsi="Calibri" w:eastAsia="Times New Roman" w:cs="Calibri"/>
                <w:b w:val="0"/>
                <w:bCs w:val="0"/>
                <w:color w:val="000000" w:themeColor="text1" w:themeTint="FF" w:themeShade="FF"/>
              </w:rPr>
              <w:t xml:space="preserve"> or seminars. Informal learning is defined in ISCED as forms of learning </w:t>
            </w:r>
            <w:r w:rsidRPr="5D7FE275" w:rsidR="00B631D5">
              <w:rPr>
                <w:rFonts w:ascii="Calibri" w:hAnsi="Calibri" w:eastAsia="Times New Roman" w:cs="Calibri"/>
                <w:b w:val="0"/>
                <w:bCs w:val="0"/>
                <w:color w:val="000000" w:themeColor="text1" w:themeTint="FF" w:themeShade="FF"/>
              </w:rPr>
              <w:t>that</w:t>
            </w:r>
            <w:r w:rsidRPr="5D7FE275" w:rsidR="5A15B2B3">
              <w:rPr>
                <w:rFonts w:ascii="Calibri" w:hAnsi="Calibri" w:eastAsia="Times New Roman" w:cs="Calibri"/>
                <w:b w:val="0"/>
                <w:bCs w:val="0"/>
                <w:color w:val="000000" w:themeColor="text1" w:themeTint="FF" w:themeShade="FF"/>
              </w:rPr>
              <w:t xml:space="preserve"> </w:t>
            </w:r>
            <w:r w:rsidRPr="5D7FE275" w:rsidR="00B631D5">
              <w:rPr>
                <w:rFonts w:ascii="Calibri" w:hAnsi="Calibri" w:eastAsia="Times New Roman" w:cs="Calibri"/>
                <w:b w:val="0"/>
                <w:bCs w:val="0"/>
                <w:color w:val="000000" w:themeColor="text1" w:themeTint="FF" w:themeShade="FF"/>
              </w:rPr>
              <w:t>are</w:t>
            </w:r>
            <w:r w:rsidRPr="5D7FE275" w:rsidR="00B631D5">
              <w:rPr>
                <w:rFonts w:ascii="Calibri" w:hAnsi="Calibri" w:eastAsia="Times New Roman" w:cs="Calibri"/>
                <w:b w:val="0"/>
                <w:bCs w:val="0"/>
                <w:color w:val="000000" w:themeColor="text1" w:themeTint="FF" w:themeShade="FF"/>
              </w:rPr>
              <w:t xml:space="preserve"> intentional or deliberate, but not institutionalized. It is thus less organized and less structured than either formal or non-formal education. Informal learning may include learning activities that occur in the family, in the </w:t>
            </w:r>
            <w:proofErr w:type="gramStart"/>
            <w:r w:rsidRPr="5D7FE275" w:rsidR="00B631D5">
              <w:rPr>
                <w:rFonts w:ascii="Calibri" w:hAnsi="Calibri" w:eastAsia="Times New Roman" w:cs="Calibri"/>
                <w:b w:val="0"/>
                <w:bCs w:val="0"/>
                <w:color w:val="000000" w:themeColor="text1" w:themeTint="FF" w:themeShade="FF"/>
              </w:rPr>
              <w:t>work place</w:t>
            </w:r>
            <w:proofErr w:type="gramEnd"/>
            <w:r w:rsidRPr="5D7FE275" w:rsidR="00B631D5">
              <w:rPr>
                <w:rFonts w:ascii="Calibri" w:hAnsi="Calibri" w:eastAsia="Times New Roman" w:cs="Calibri"/>
                <w:b w:val="0"/>
                <w:bCs w:val="0"/>
                <w:color w:val="000000" w:themeColor="text1" w:themeTint="FF" w:themeShade="FF"/>
              </w:rPr>
              <w:t xml:space="preserve">, in the </w:t>
            </w:r>
            <w:r w:rsidRPr="5D7FE275" w:rsidR="00B631D5">
              <w:rPr>
                <w:rFonts w:ascii="Calibri" w:hAnsi="Calibri" w:eastAsia="Times New Roman" w:cs="Calibri"/>
                <w:b w:val="0"/>
                <w:bCs w:val="0"/>
                <w:color w:val="000000" w:themeColor="text1" w:themeTint="FF" w:themeShade="FF"/>
              </w:rPr>
              <w:t>local</w:t>
            </w:r>
            <w:r w:rsidRPr="5D7FE275" w:rsidR="15C58D55">
              <w:rPr>
                <w:rFonts w:ascii="Calibri" w:hAnsi="Calibri" w:eastAsia="Times New Roman" w:cs="Calibri"/>
                <w:b w:val="0"/>
                <w:bCs w:val="0"/>
                <w:color w:val="000000" w:themeColor="text1" w:themeTint="FF" w:themeShade="FF"/>
              </w:rPr>
              <w:t xml:space="preserve"> </w:t>
            </w:r>
            <w:r w:rsidRPr="5D7FE275" w:rsidR="00B631D5">
              <w:rPr>
                <w:rFonts w:ascii="Calibri" w:hAnsi="Calibri" w:eastAsia="Times New Roman" w:cs="Calibri"/>
                <w:b w:val="0"/>
                <w:bCs w:val="0"/>
                <w:color w:val="000000" w:themeColor="text1" w:themeTint="FF" w:themeShade="FF"/>
              </w:rPr>
              <w:t>community</w:t>
            </w:r>
            <w:r w:rsidRPr="5D7FE275" w:rsidR="00B631D5">
              <w:rPr>
                <w:rFonts w:ascii="Calibri" w:hAnsi="Calibri" w:eastAsia="Times New Roman" w:cs="Calibri"/>
                <w:b w:val="0"/>
                <w:bCs w:val="0"/>
                <w:color w:val="000000" w:themeColor="text1" w:themeTint="FF" w:themeShade="FF"/>
              </w:rPr>
              <w:t xml:space="preserve">, and in daily life, on a self-directed, family-directed or </w:t>
            </w:r>
            <w:proofErr w:type="gramStart"/>
            <w:r w:rsidRPr="5D7FE275" w:rsidR="00B631D5">
              <w:rPr>
                <w:rFonts w:ascii="Calibri" w:hAnsi="Calibri" w:eastAsia="Times New Roman" w:cs="Calibri"/>
                <w:b w:val="0"/>
                <w:bCs w:val="0"/>
                <w:color w:val="000000" w:themeColor="text1" w:themeTint="FF" w:themeShade="FF"/>
              </w:rPr>
              <w:t>socially-directed</w:t>
            </w:r>
            <w:proofErr w:type="gramEnd"/>
            <w:r w:rsidRPr="5D7FE275" w:rsidR="00B631D5">
              <w:rPr>
                <w:rFonts w:ascii="Calibri" w:hAnsi="Calibri" w:eastAsia="Times New Roman" w:cs="Calibri"/>
                <w:b w:val="0"/>
                <w:bCs w:val="0"/>
                <w:color w:val="000000" w:themeColor="text1" w:themeTint="FF" w:themeShade="FF"/>
              </w:rPr>
              <w:t xml:space="preserve"> basis. For the purposes </w:t>
            </w:r>
            <w:r w:rsidRPr="5D7FE275" w:rsidR="00B631D5">
              <w:rPr>
                <w:rFonts w:ascii="Calibri" w:hAnsi="Calibri" w:eastAsia="Times New Roman" w:cs="Calibri"/>
                <w:b w:val="0"/>
                <w:bCs w:val="0"/>
                <w:color w:val="000000" w:themeColor="text1" w:themeTint="FF" w:themeShade="FF"/>
              </w:rPr>
              <w:t xml:space="preserve">of this indicator, persons will be considered in education if they are in formal or non-formal education, as described above, but excluding informal learning. </w:t>
            </w:r>
          </w:p>
          <w:p w:rsidR="00FB36FC" w:rsidP="005E54E0" w:rsidRDefault="00FB36FC" w14:paraId="51B20D46" w14:textId="77777777">
            <w:pPr>
              <w:spacing w:after="0" w:line="240" w:lineRule="auto"/>
              <w:rPr>
                <w:rFonts w:ascii="Calibri" w:hAnsi="Calibri" w:eastAsia="Times New Roman" w:cs="Calibri"/>
                <w:b w:val="0"/>
                <w:bCs w:val="0"/>
                <w:color w:val="000000"/>
              </w:rPr>
            </w:pPr>
          </w:p>
          <w:p w:rsidR="00630CCF" w:rsidP="005E54E0" w:rsidRDefault="00B631D5" w14:paraId="508B5019" w14:textId="4D6E7286">
            <w:pPr>
              <w:spacing w:after="0" w:line="240" w:lineRule="auto"/>
              <w:rPr>
                <w:rFonts w:ascii="Calibri" w:hAnsi="Calibri" w:eastAsia="Times New Roman" w:cs="Calibri"/>
                <w:b w:val="0"/>
                <w:bCs w:val="0"/>
                <w:color w:val="000000"/>
              </w:rPr>
            </w:pPr>
            <w:r w:rsidRPr="5D7FE275" w:rsidR="00B631D5">
              <w:rPr>
                <w:rFonts w:ascii="Calibri" w:hAnsi="Calibri" w:eastAsia="Times New Roman" w:cs="Calibri"/>
                <w:b w:val="0"/>
                <w:bCs w:val="0"/>
                <w:color w:val="000000" w:themeColor="text1" w:themeTint="FF" w:themeShade="FF"/>
              </w:rPr>
              <w:t xml:space="preserve">Employment is defined as all persons of working age who, during a short reference period </w:t>
            </w:r>
            <w:proofErr w:type="gramStart"/>
            <w:r w:rsidRPr="5D7FE275" w:rsidR="1B548C0A">
              <w:rPr>
                <w:rFonts w:ascii="Calibri" w:hAnsi="Calibri" w:eastAsia="Times New Roman" w:cs="Calibri"/>
                <w:b w:val="0"/>
                <w:bCs w:val="0"/>
                <w:color w:val="000000" w:themeColor="text1" w:themeTint="FF" w:themeShade="FF"/>
              </w:rPr>
              <w:t>\</w:t>
            </w:r>
            <w:r w:rsidRPr="5D7FE275" w:rsidR="00B631D5">
              <w:rPr>
                <w:rFonts w:ascii="Calibri" w:hAnsi="Calibri" w:eastAsia="Times New Roman" w:cs="Calibri"/>
                <w:b w:val="0"/>
                <w:bCs w:val="0"/>
                <w:color w:val="000000" w:themeColor="text1" w:themeTint="FF" w:themeShade="FF"/>
              </w:rPr>
              <w:t>(</w:t>
            </w:r>
            <w:proofErr w:type="gramEnd"/>
            <w:r w:rsidRPr="5D7FE275" w:rsidR="00B631D5">
              <w:rPr>
                <w:rFonts w:ascii="Calibri" w:hAnsi="Calibri" w:eastAsia="Times New Roman" w:cs="Calibri"/>
                <w:b w:val="0"/>
                <w:bCs w:val="0"/>
                <w:color w:val="000000" w:themeColor="text1" w:themeTint="FF" w:themeShade="FF"/>
              </w:rPr>
              <w:t>one week</w:t>
            </w:r>
            <w:r w:rsidRPr="5D7FE275" w:rsidR="2CFB4D0B">
              <w:rPr>
                <w:rFonts w:ascii="Calibri" w:hAnsi="Calibri" w:eastAsia="Times New Roman" w:cs="Calibri"/>
                <w:b w:val="0"/>
                <w:bCs w:val="0"/>
                <w:color w:val="000000" w:themeColor="text1" w:themeTint="FF" w:themeShade="FF"/>
              </w:rPr>
              <w:t>\</w:t>
            </w:r>
            <w:r w:rsidRPr="5D7FE275" w:rsidR="00B631D5">
              <w:rPr>
                <w:rFonts w:ascii="Calibri" w:hAnsi="Calibri" w:eastAsia="Times New Roman" w:cs="Calibri"/>
                <w:b w:val="0"/>
                <w:bCs w:val="0"/>
                <w:color w:val="000000" w:themeColor="text1" w:themeTint="FF" w:themeShade="FF"/>
              </w:rPr>
              <w:t xml:space="preserve">), were engaged in any activity to produce goods or provide services for pay or profit.  </w:t>
            </w:r>
          </w:p>
          <w:p w:rsidR="00630CCF" w:rsidP="005E54E0" w:rsidRDefault="00630CCF" w14:paraId="2C6A6C3B" w14:textId="77777777">
            <w:pPr>
              <w:spacing w:after="0" w:line="240" w:lineRule="auto"/>
              <w:rPr>
                <w:rFonts w:ascii="Calibri" w:hAnsi="Calibri" w:eastAsia="Times New Roman" w:cs="Calibri"/>
                <w:b w:val="0"/>
                <w:bCs w:val="0"/>
                <w:color w:val="000000"/>
              </w:rPr>
            </w:pPr>
          </w:p>
          <w:p w:rsidRPr="00D02A76" w:rsidR="00B631D5" w:rsidP="36A71A15" w:rsidRDefault="00B631D5" w14:paraId="492DE89C" w14:textId="0A5D88CD">
            <w:pPr>
              <w:spacing w:after="0" w:line="240" w:lineRule="auto"/>
              <w:rPr>
                <w:rFonts w:ascii="Calibri" w:hAnsi="Calibri" w:eastAsia="Times New Roman" w:cs="Calibri"/>
                <w:b w:val="0"/>
                <w:bCs w:val="0"/>
                <w:color w:val="000000" w:themeColor="text1" w:themeTint="FF" w:themeShade="FF"/>
              </w:rPr>
            </w:pPr>
            <w:r w:rsidRPr="5D7FE275" w:rsidR="00B631D5">
              <w:rPr>
                <w:rFonts w:ascii="Calibri" w:hAnsi="Calibri" w:eastAsia="Times New Roman" w:cs="Calibri"/>
                <w:b w:val="0"/>
                <w:bCs w:val="0"/>
                <w:color w:val="000000" w:themeColor="text1" w:themeTint="FF" w:themeShade="FF"/>
              </w:rPr>
              <w:t>For the purpose of</w:t>
            </w:r>
            <w:r w:rsidRPr="5D7FE275" w:rsidR="00B631D5">
              <w:rPr>
                <w:rFonts w:ascii="Calibri" w:hAnsi="Calibri" w:eastAsia="Times New Roman" w:cs="Calibri"/>
                <w:b w:val="0"/>
                <w:bCs w:val="0"/>
                <w:color w:val="000000" w:themeColor="text1" w:themeTint="FF" w:themeShade="FF"/>
              </w:rPr>
              <w:t xml:space="preserve"> this indicator, persons </w:t>
            </w:r>
            <w:proofErr w:type="gramStart"/>
            <w:r w:rsidRPr="5D7FE275" w:rsidR="00B631D5">
              <w:rPr>
                <w:rFonts w:ascii="Calibri" w:hAnsi="Calibri" w:eastAsia="Times New Roman" w:cs="Calibri"/>
                <w:b w:val="0"/>
                <w:bCs w:val="0"/>
                <w:color w:val="000000" w:themeColor="text1" w:themeTint="FF" w:themeShade="FF"/>
              </w:rPr>
              <w:t>are considered to be</w:t>
            </w:r>
            <w:proofErr w:type="gramEnd"/>
            <w:r w:rsidRPr="5D7FE275" w:rsidR="00B631D5">
              <w:rPr>
                <w:rFonts w:ascii="Calibri" w:hAnsi="Calibri" w:eastAsia="Times New Roman" w:cs="Calibri"/>
                <w:b w:val="0"/>
                <w:bCs w:val="0"/>
                <w:color w:val="000000" w:themeColor="text1" w:themeTint="FF" w:themeShade="FF"/>
              </w:rPr>
              <w:t xml:space="preserve"> in training if they are in a non-academic learning activity through which they acquire specific skills intended for vocational or technical jobs. </w:t>
            </w:r>
            <w:r w:rsidRPr="5D7FE275" w:rsidR="00B631D5">
              <w:rPr>
                <w:rFonts w:ascii="Calibri" w:hAnsi="Calibri" w:eastAsia="Times New Roman" w:cs="Calibri"/>
                <w:b w:val="0"/>
                <w:bCs w:val="0"/>
                <w:color w:val="000000" w:themeColor="text1" w:themeTint="FF" w:themeShade="FF"/>
              </w:rPr>
              <w:t xml:space="preserve">Vocational training prepares trainees for jobs that are based on manual or practical activities, and for skilled operative jobs, both blue and white collar related to a specific trade, </w:t>
            </w:r>
            <w:r w:rsidRPr="5D7FE275" w:rsidR="00B631D5">
              <w:rPr>
                <w:rFonts w:ascii="Calibri" w:hAnsi="Calibri" w:eastAsia="Times New Roman" w:cs="Calibri"/>
                <w:b w:val="0"/>
                <w:bCs w:val="0"/>
                <w:color w:val="000000" w:themeColor="text1" w:themeTint="FF" w:themeShade="FF"/>
              </w:rPr>
              <w:t>occupation</w:t>
            </w:r>
            <w:r w:rsidRPr="5D7FE275" w:rsidR="00B631D5">
              <w:rPr>
                <w:rFonts w:ascii="Calibri" w:hAnsi="Calibri" w:eastAsia="Times New Roman" w:cs="Calibri"/>
                <w:b w:val="0"/>
                <w:bCs w:val="0"/>
                <w:color w:val="000000" w:themeColor="text1" w:themeTint="FF" w:themeShade="FF"/>
              </w:rPr>
              <w:t xml:space="preserve"> or vocation. Technical training on the other hand imparts learning that can be applied in intermediate-level jobs, </w:t>
            </w:r>
            <w:proofErr w:type="gramStart"/>
            <w:r w:rsidRPr="5D7FE275" w:rsidR="00B631D5">
              <w:rPr>
                <w:rFonts w:ascii="Calibri" w:hAnsi="Calibri" w:eastAsia="Times New Roman" w:cs="Calibri"/>
                <w:b w:val="0"/>
                <w:bCs w:val="0"/>
                <w:color w:val="000000" w:themeColor="text1" w:themeTint="FF" w:themeShade="FF"/>
              </w:rPr>
              <w:t>in particular those</w:t>
            </w:r>
            <w:proofErr w:type="gramEnd"/>
            <w:r w:rsidRPr="5D7FE275" w:rsidR="00B631D5">
              <w:rPr>
                <w:rFonts w:ascii="Calibri" w:hAnsi="Calibri" w:eastAsia="Times New Roman" w:cs="Calibri"/>
                <w:b w:val="0"/>
                <w:bCs w:val="0"/>
                <w:color w:val="000000" w:themeColor="text1" w:themeTint="FF" w:themeShade="FF"/>
              </w:rPr>
              <w:t xml:space="preserve"> of technicians and middle managers.  </w:t>
            </w:r>
          </w:p>
          <w:p w:rsidRPr="00D02A76" w:rsidR="00B631D5" w:rsidP="36A71A15" w:rsidRDefault="00B631D5" w14:paraId="2B1D3AFA" w14:textId="25F7CAD1">
            <w:pPr>
              <w:pStyle w:val="Normal"/>
              <w:spacing w:after="0" w:line="240" w:lineRule="auto"/>
              <w:rPr>
                <w:rFonts w:ascii="Calibri" w:hAnsi="Calibri" w:eastAsia="Times New Roman" w:cs="Calibri"/>
                <w:b w:val="0"/>
                <w:bCs w:val="0"/>
                <w:color w:val="000000"/>
              </w:rPr>
            </w:pPr>
          </w:p>
        </w:tc>
      </w:tr>
      <w:tr w:rsidRPr="00D02A76" w:rsidR="00A1119B" w:rsidTr="5D7FE275" w14:paraId="78A8B0F8" w14:textId="77777777">
        <w:trPr>
          <w:trHeight w:val="300"/>
        </w:trPr>
        <w:tc>
          <w:tcPr>
            <w:tcW w:w="1325" w:type="dxa"/>
            <w:shd w:val="clear" w:color="auto" w:fill="auto"/>
            <w:tcMar/>
            <w:hideMark/>
          </w:tcPr>
          <w:p w:rsidRPr="00D02A76" w:rsidR="00A1119B" w:rsidP="005E54E0" w:rsidRDefault="000E5539" w14:paraId="1ADA25B0" w14:textId="5D4F15A1">
            <w:pPr>
              <w:spacing w:after="0" w:line="240" w:lineRule="auto"/>
              <w:jc w:val="right"/>
              <w:rPr>
                <w:rFonts w:ascii="Calibri" w:hAnsi="Calibri" w:eastAsia="Times New Roman" w:cs="Calibri"/>
                <w:color w:val="000000"/>
              </w:rPr>
            </w:pPr>
            <w:r>
              <w:rPr>
                <w:rFonts w:ascii="Calibri" w:hAnsi="Calibri" w:eastAsia="Times New Roman" w:cs="Calibri"/>
                <w:color w:val="000000"/>
              </w:rPr>
              <w:lastRenderedPageBreak/>
              <w:t>I.</w:t>
            </w:r>
            <w:r w:rsidRPr="00D02A76" w:rsidR="00A1119B">
              <w:rPr>
                <w:rFonts w:ascii="Calibri" w:hAnsi="Calibri" w:eastAsia="Times New Roman" w:cs="Calibri"/>
                <w:color w:val="000000"/>
              </w:rPr>
              <w:t>7</w:t>
            </w:r>
          </w:p>
        </w:tc>
        <w:tc>
          <w:tcPr>
            <w:tcW w:w="589" w:type="dxa"/>
            <w:shd w:val="clear" w:color="auto" w:fill="auto"/>
            <w:tcMar/>
            <w:hideMark/>
          </w:tcPr>
          <w:p w:rsidRPr="00D02A76" w:rsidR="00A1119B" w:rsidP="005E54E0" w:rsidRDefault="00A1119B" w14:paraId="05BDE565"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3</w:t>
            </w:r>
          </w:p>
        </w:tc>
        <w:tc>
          <w:tcPr>
            <w:tcW w:w="2798" w:type="dxa"/>
            <w:shd w:val="clear" w:color="auto" w:fill="auto"/>
            <w:tcMar/>
            <w:hideMark/>
          </w:tcPr>
          <w:p w:rsidRPr="00D02A76" w:rsidR="00A1119B" w:rsidP="005E54E0" w:rsidRDefault="00A1119B" w14:paraId="61160AB0"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Method of computation</w:t>
            </w:r>
          </w:p>
        </w:tc>
        <w:tc>
          <w:tcPr>
            <w:tcW w:w="8243" w:type="dxa"/>
            <w:shd w:val="clear" w:color="auto" w:fill="auto"/>
            <w:tcMar/>
          </w:tcPr>
          <w:p w:rsidR="060EABFE" w:rsidP="5D7FE275" w:rsidRDefault="060EABFE" w14:paraId="2340B6FE" w14:textId="1E388855">
            <w:pPr>
              <w:spacing w:after="0" w:line="240" w:lineRule="auto"/>
              <w:rPr>
                <w:rFonts w:ascii="Calibri" w:hAnsi="Calibri" w:eastAsia="Times New Roman" w:cs="Calibri"/>
                <w:b w:val="0"/>
                <w:bCs w:val="0"/>
                <w:color w:val="000000" w:themeColor="text1" w:themeTint="FF" w:themeShade="FF"/>
              </w:rPr>
            </w:pPr>
            <w:r w:rsidRPr="5D7FE275" w:rsidR="060EABFE">
              <w:rPr>
                <w:rFonts w:ascii="Calibri" w:hAnsi="Calibri" w:eastAsia="Times New Roman" w:cs="Calibri"/>
                <w:b w:val="0"/>
                <w:bCs w:val="0"/>
                <w:color w:val="000000" w:themeColor="text1" w:themeTint="FF" w:themeShade="FF"/>
              </w:rPr>
              <w:t xml:space="preserve">The Youth NEET rate is calculated by subtracting the sum of </w:t>
            </w:r>
            <w:r w:rsidRPr="5D7FE275" w:rsidR="76D8A94F">
              <w:rPr>
                <w:rFonts w:ascii="Calibri" w:hAnsi="Calibri" w:eastAsia="Times New Roman" w:cs="Calibri"/>
                <w:b w:val="0"/>
                <w:bCs w:val="0"/>
                <w:color w:val="000000" w:themeColor="text1" w:themeTint="FF" w:themeShade="FF"/>
              </w:rPr>
              <w:t>*</w:t>
            </w:r>
            <w:r w:rsidRPr="5D7FE275" w:rsidR="060EABFE">
              <w:rPr>
                <w:rFonts w:ascii="Calibri" w:hAnsi="Calibri" w:eastAsia="Times New Roman" w:cs="Calibri"/>
                <w:b w:val="0"/>
                <w:bCs w:val="0"/>
                <w:color w:val="000000" w:themeColor="text1" w:themeTint="FF" w:themeShade="FF"/>
              </w:rPr>
              <w:t>Youth in employment</w:t>
            </w:r>
            <w:r w:rsidRPr="5D7FE275" w:rsidR="23C447BD">
              <w:rPr>
                <w:rFonts w:ascii="Calibri" w:hAnsi="Calibri" w:eastAsia="Times New Roman" w:cs="Calibri"/>
                <w:b w:val="0"/>
                <w:bCs w:val="0"/>
                <w:color w:val="000000" w:themeColor="text1" w:themeTint="FF" w:themeShade="FF"/>
              </w:rPr>
              <w:t>*</w:t>
            </w:r>
            <w:r w:rsidRPr="5D7FE275" w:rsidR="060EABFE">
              <w:rPr>
                <w:rFonts w:ascii="Calibri" w:hAnsi="Calibri" w:eastAsia="Times New Roman" w:cs="Calibri"/>
                <w:b w:val="0"/>
                <w:bCs w:val="0"/>
                <w:color w:val="000000" w:themeColor="text1" w:themeTint="FF" w:themeShade="FF"/>
              </w:rPr>
              <w:t xml:space="preserve"> and </w:t>
            </w:r>
            <w:r w:rsidRPr="5D7FE275" w:rsidR="0D9D813E">
              <w:rPr>
                <w:rFonts w:ascii="Calibri" w:hAnsi="Calibri" w:eastAsia="Times New Roman" w:cs="Calibri"/>
                <w:b w:val="0"/>
                <w:bCs w:val="0"/>
                <w:color w:val="000000" w:themeColor="text1" w:themeTint="FF" w:themeShade="FF"/>
              </w:rPr>
              <w:t>*</w:t>
            </w:r>
            <w:r w:rsidRPr="5D7FE275" w:rsidR="060EABFE">
              <w:rPr>
                <w:rFonts w:ascii="Calibri" w:hAnsi="Calibri" w:eastAsia="Times New Roman" w:cs="Calibri"/>
                <w:b w:val="0"/>
                <w:bCs w:val="0"/>
                <w:color w:val="000000" w:themeColor="text1" w:themeTint="FF" w:themeShade="FF"/>
              </w:rPr>
              <w:t>Youth not in employment but in education or training</w:t>
            </w:r>
            <w:r w:rsidRPr="5D7FE275" w:rsidR="4B5BD818">
              <w:rPr>
                <w:rFonts w:ascii="Calibri" w:hAnsi="Calibri" w:eastAsia="Times New Roman" w:cs="Calibri"/>
                <w:b w:val="0"/>
                <w:bCs w:val="0"/>
                <w:color w:val="000000" w:themeColor="text1" w:themeTint="FF" w:themeShade="FF"/>
              </w:rPr>
              <w:t>*</w:t>
            </w:r>
            <w:r w:rsidRPr="5D7FE275" w:rsidR="060EABFE">
              <w:rPr>
                <w:rFonts w:ascii="Calibri" w:hAnsi="Calibri" w:eastAsia="Times New Roman" w:cs="Calibri"/>
                <w:b w:val="0"/>
                <w:bCs w:val="0"/>
                <w:color w:val="000000" w:themeColor="text1" w:themeTint="FF" w:themeShade="FF"/>
              </w:rPr>
              <w:t xml:space="preserve"> from </w:t>
            </w:r>
            <w:r w:rsidRPr="5D7FE275" w:rsidR="27D51609">
              <w:rPr>
                <w:rFonts w:ascii="Calibri" w:hAnsi="Calibri" w:eastAsia="Times New Roman" w:cs="Calibri"/>
                <w:b w:val="0"/>
                <w:bCs w:val="0"/>
                <w:color w:val="000000" w:themeColor="text1" w:themeTint="FF" w:themeShade="FF"/>
              </w:rPr>
              <w:t>*</w:t>
            </w:r>
            <w:r w:rsidRPr="5D7FE275" w:rsidR="060EABFE">
              <w:rPr>
                <w:rFonts w:ascii="Calibri" w:hAnsi="Calibri" w:eastAsia="Times New Roman" w:cs="Calibri"/>
                <w:b w:val="0"/>
                <w:bCs w:val="0"/>
                <w:color w:val="000000" w:themeColor="text1" w:themeTint="FF" w:themeShade="FF"/>
              </w:rPr>
              <w:t>Youth</w:t>
            </w:r>
            <w:r w:rsidRPr="5D7FE275" w:rsidR="256F4E8F">
              <w:rPr>
                <w:rFonts w:ascii="Calibri" w:hAnsi="Calibri" w:eastAsia="Times New Roman" w:cs="Calibri"/>
                <w:b w:val="0"/>
                <w:bCs w:val="0"/>
                <w:color w:val="000000" w:themeColor="text1" w:themeTint="FF" w:themeShade="FF"/>
              </w:rPr>
              <w:t>*</w:t>
            </w:r>
            <w:r w:rsidRPr="5D7FE275" w:rsidR="060EABFE">
              <w:rPr>
                <w:rFonts w:ascii="Calibri" w:hAnsi="Calibri" w:eastAsia="Times New Roman" w:cs="Calibri"/>
                <w:b w:val="0"/>
                <w:bCs w:val="0"/>
                <w:color w:val="000000" w:themeColor="text1" w:themeTint="FF" w:themeShade="FF"/>
              </w:rPr>
              <w:t xml:space="preserve">, </w:t>
            </w:r>
            <w:r w:rsidRPr="5D7FE275" w:rsidR="6B11C1F1">
              <w:rPr>
                <w:rFonts w:ascii="Calibri" w:hAnsi="Calibri" w:eastAsia="Times New Roman" w:cs="Calibri"/>
                <w:b w:val="0"/>
                <w:bCs w:val="0"/>
                <w:color w:val="000000" w:themeColor="text1" w:themeTint="FF" w:themeShade="FF"/>
              </w:rPr>
              <w:t>a</w:t>
            </w:r>
            <w:r w:rsidRPr="5D7FE275" w:rsidR="060EABFE">
              <w:rPr>
                <w:rFonts w:ascii="Calibri" w:hAnsi="Calibri" w:eastAsia="Times New Roman" w:cs="Calibri"/>
                <w:b w:val="0"/>
                <w:bCs w:val="0"/>
                <w:color w:val="000000" w:themeColor="text1" w:themeTint="FF" w:themeShade="FF"/>
              </w:rPr>
              <w:t>n</w:t>
            </w:r>
            <w:r w:rsidRPr="5D7FE275" w:rsidR="6B11C1F1">
              <w:rPr>
                <w:rFonts w:ascii="Calibri" w:hAnsi="Calibri" w:eastAsia="Times New Roman" w:cs="Calibri"/>
                <w:b w:val="0"/>
                <w:bCs w:val="0"/>
                <w:color w:val="000000" w:themeColor="text1" w:themeTint="FF" w:themeShade="FF"/>
              </w:rPr>
              <w:t>d the</w:t>
            </w:r>
            <w:r w:rsidRPr="5D7FE275" w:rsidR="060EABFE">
              <w:rPr>
                <w:rFonts w:ascii="Calibri" w:hAnsi="Calibri" w:eastAsia="Times New Roman" w:cs="Calibri"/>
                <w:b w:val="0"/>
                <w:bCs w:val="0"/>
                <w:color w:val="000000" w:themeColor="text1" w:themeTint="FF" w:themeShade="FF"/>
              </w:rPr>
              <w:t xml:space="preserve"> divid</w:t>
            </w:r>
            <w:r w:rsidRPr="5D7FE275" w:rsidR="7FF032B5">
              <w:rPr>
                <w:rFonts w:ascii="Calibri" w:hAnsi="Calibri" w:eastAsia="Times New Roman" w:cs="Calibri"/>
                <w:b w:val="0"/>
                <w:bCs w:val="0"/>
                <w:color w:val="000000" w:themeColor="text1" w:themeTint="FF" w:themeShade="FF"/>
              </w:rPr>
              <w:t>ing the value</w:t>
            </w:r>
            <w:r w:rsidRPr="5D7FE275" w:rsidR="060EABFE">
              <w:rPr>
                <w:rFonts w:ascii="Calibri" w:hAnsi="Calibri" w:eastAsia="Times New Roman" w:cs="Calibri"/>
                <w:b w:val="0"/>
                <w:bCs w:val="0"/>
                <w:color w:val="000000" w:themeColor="text1" w:themeTint="FF" w:themeShade="FF"/>
              </w:rPr>
              <w:t xml:space="preserve"> by </w:t>
            </w:r>
            <w:r w:rsidRPr="5D7FE275" w:rsidR="659B0D1B">
              <w:rPr>
                <w:rFonts w:ascii="Calibri" w:hAnsi="Calibri" w:eastAsia="Times New Roman" w:cs="Calibri"/>
                <w:b w:val="0"/>
                <w:bCs w:val="0"/>
                <w:color w:val="000000" w:themeColor="text1" w:themeTint="FF" w:themeShade="FF"/>
              </w:rPr>
              <w:t>*</w:t>
            </w:r>
            <w:r w:rsidRPr="5D7FE275" w:rsidR="060EABFE">
              <w:rPr>
                <w:rFonts w:ascii="Calibri" w:hAnsi="Calibri" w:eastAsia="Times New Roman" w:cs="Calibri"/>
                <w:b w:val="0"/>
                <w:bCs w:val="0"/>
                <w:color w:val="000000" w:themeColor="text1" w:themeTint="FF" w:themeShade="FF"/>
              </w:rPr>
              <w:t>Youth</w:t>
            </w:r>
            <w:r w:rsidRPr="5D7FE275" w:rsidR="3AA497A4">
              <w:rPr>
                <w:rFonts w:ascii="Calibri" w:hAnsi="Calibri" w:eastAsia="Times New Roman" w:cs="Calibri"/>
                <w:b w:val="0"/>
                <w:bCs w:val="0"/>
                <w:color w:val="000000" w:themeColor="text1" w:themeTint="FF" w:themeShade="FF"/>
              </w:rPr>
              <w:t>*</w:t>
            </w:r>
            <w:r w:rsidRPr="5D7FE275" w:rsidR="060EABFE">
              <w:rPr>
                <w:rFonts w:ascii="Calibri" w:hAnsi="Calibri" w:eastAsia="Times New Roman" w:cs="Calibri"/>
                <w:b w:val="0"/>
                <w:bCs w:val="0"/>
                <w:color w:val="000000" w:themeColor="text1" w:themeTint="FF" w:themeShade="FF"/>
              </w:rPr>
              <w:t>, and then multipl</w:t>
            </w:r>
            <w:r w:rsidRPr="5D7FE275" w:rsidR="3EC2909A">
              <w:rPr>
                <w:rFonts w:ascii="Calibri" w:hAnsi="Calibri" w:eastAsia="Times New Roman" w:cs="Calibri"/>
                <w:b w:val="0"/>
                <w:bCs w:val="0"/>
                <w:color w:val="000000" w:themeColor="text1" w:themeTint="FF" w:themeShade="FF"/>
              </w:rPr>
              <w:t>ying</w:t>
            </w:r>
            <w:r w:rsidRPr="5D7FE275" w:rsidR="060EABFE">
              <w:rPr>
                <w:rFonts w:ascii="Calibri" w:hAnsi="Calibri" w:eastAsia="Times New Roman" w:cs="Calibri"/>
                <w:b w:val="0"/>
                <w:bCs w:val="0"/>
                <w:color w:val="000000" w:themeColor="text1" w:themeTint="FF" w:themeShade="FF"/>
              </w:rPr>
              <w:t xml:space="preserve"> by 100. </w:t>
            </w:r>
          </w:p>
          <w:p w:rsidR="5D7FE275" w:rsidP="5D7FE275" w:rsidRDefault="5D7FE275" w14:paraId="76D4374D" w14:textId="6585C34A">
            <w:pPr>
              <w:pStyle w:val="Normal"/>
              <w:spacing w:after="0" w:line="240" w:lineRule="auto"/>
              <w:rPr>
                <w:rFonts w:ascii="Calibri" w:hAnsi="Calibri" w:eastAsia="Times New Roman" w:cs="Calibri"/>
                <w:b w:val="0"/>
                <w:bCs w:val="0"/>
                <w:color w:val="000000" w:themeColor="text1" w:themeTint="FF" w:themeShade="FF"/>
              </w:rPr>
            </w:pPr>
          </w:p>
          <w:p w:rsidRPr="002E1BD4" w:rsidR="002E1BD4" w:rsidP="005E54E0" w:rsidRDefault="00B7099B" w14:paraId="1775257A" w14:textId="63B9FB3D">
            <w:pPr>
              <w:spacing w:after="0" w:line="240" w:lineRule="auto"/>
              <w:rPr>
                <w:rFonts w:ascii="Calibri" w:hAnsi="Calibri" w:eastAsia="Times New Roman" w:cs="Calibri"/>
                <w:b w:val="0"/>
                <w:bCs w:val="0"/>
                <w:color w:val="000000"/>
              </w:rPr>
            </w:pPr>
            <w:r w:rsidRPr="5D7FE275" w:rsidR="00B7099B">
              <w:rPr>
                <w:rFonts w:ascii="Calibri" w:hAnsi="Calibri" w:eastAsia="Times New Roman" w:cs="Calibri"/>
                <w:b w:val="0"/>
                <w:bCs w:val="0"/>
                <w:color w:val="000000" w:themeColor="text1" w:themeTint="FF" w:themeShade="FF"/>
              </w:rPr>
              <w:t>It is important to note here that youth simultaneously in employment and education or training</w:t>
            </w:r>
            <w:r w:rsidRPr="5D7FE275" w:rsidR="00B7099B">
              <w:rPr>
                <w:rFonts w:ascii="Calibri" w:hAnsi="Calibri" w:eastAsia="Times New Roman" w:cs="Calibri"/>
                <w:b w:val="0"/>
                <w:bCs w:val="0"/>
                <w:color w:val="000000" w:themeColor="text1" w:themeTint="FF" w:themeShade="FF"/>
              </w:rPr>
              <w:t xml:space="preserve"> </w:t>
            </w:r>
            <w:r w:rsidRPr="5D7FE275" w:rsidR="00B7099B">
              <w:rPr>
                <w:rFonts w:ascii="Calibri" w:hAnsi="Calibri" w:eastAsia="Times New Roman" w:cs="Calibri"/>
                <w:b w:val="0"/>
                <w:bCs w:val="0"/>
                <w:color w:val="000000" w:themeColor="text1" w:themeTint="FF" w:themeShade="FF"/>
              </w:rPr>
              <w:t xml:space="preserve">should not be double counted when subtracted from the total number of </w:t>
            </w:r>
            <w:proofErr w:type="gramStart"/>
            <w:r w:rsidRPr="5D7FE275" w:rsidR="00B7099B">
              <w:rPr>
                <w:rFonts w:ascii="Calibri" w:hAnsi="Calibri" w:eastAsia="Times New Roman" w:cs="Calibri"/>
                <w:b w:val="0"/>
                <w:bCs w:val="0"/>
                <w:color w:val="000000" w:themeColor="text1" w:themeTint="FF" w:themeShade="FF"/>
              </w:rPr>
              <w:t>youth</w:t>
            </w:r>
            <w:proofErr w:type="gramEnd"/>
            <w:r w:rsidRPr="5D7FE275" w:rsidR="00B7099B">
              <w:rPr>
                <w:rFonts w:ascii="Calibri" w:hAnsi="Calibri" w:eastAsia="Times New Roman" w:cs="Calibri"/>
                <w:b w:val="0"/>
                <w:bCs w:val="0"/>
                <w:color w:val="000000" w:themeColor="text1" w:themeTint="FF" w:themeShade="FF"/>
              </w:rPr>
              <w:t>. The formula can also be expressed as:</w:t>
            </w:r>
          </w:p>
          <w:p w:rsidRPr="00D02A76" w:rsidR="00850077" w:rsidP="005E54E0" w:rsidRDefault="00850077" w14:paraId="25A4E837" w14:textId="158D9000">
            <w:pPr>
              <w:spacing w:after="0" w:line="240" w:lineRule="auto"/>
              <w:rPr>
                <w:rFonts w:ascii="Calibri" w:hAnsi="Calibri" w:eastAsia="Times New Roman" w:cs="Calibri"/>
                <w:b w:val="0"/>
                <w:bCs w:val="0"/>
                <w:color w:val="000000"/>
              </w:rPr>
            </w:pPr>
          </w:p>
        </w:tc>
      </w:tr>
      <w:tr w:rsidRPr="00D02A76" w:rsidR="00A1119B" w:rsidTr="5D7FE275" w14:paraId="7F16AF18" w14:textId="77777777">
        <w:trPr>
          <w:trHeight w:val="2100"/>
        </w:trPr>
        <w:tc>
          <w:tcPr>
            <w:tcW w:w="1325" w:type="dxa"/>
            <w:shd w:val="clear" w:color="auto" w:fill="auto"/>
            <w:tcMar/>
            <w:hideMark/>
          </w:tcPr>
          <w:p w:rsidRPr="00D02A76" w:rsidR="00A1119B" w:rsidP="005E54E0" w:rsidRDefault="000E5539" w14:paraId="7A9A0025" w14:textId="3DFD9DF3">
            <w:pPr>
              <w:spacing w:after="0" w:line="240" w:lineRule="auto"/>
              <w:jc w:val="right"/>
              <w:rPr>
                <w:rFonts w:ascii="Calibri" w:hAnsi="Calibri" w:eastAsia="Times New Roman" w:cs="Calibri"/>
                <w:color w:val="000000"/>
              </w:rPr>
            </w:pPr>
            <w:r>
              <w:rPr>
                <w:rFonts w:ascii="Calibri" w:hAnsi="Calibri" w:eastAsia="Times New Roman" w:cs="Calibri"/>
                <w:color w:val="000000"/>
              </w:rPr>
              <w:t>I.</w:t>
            </w:r>
            <w:r w:rsidRPr="00D02A76" w:rsidR="00A1119B">
              <w:rPr>
                <w:rFonts w:ascii="Calibri" w:hAnsi="Calibri" w:eastAsia="Times New Roman" w:cs="Calibri"/>
                <w:color w:val="000000"/>
              </w:rPr>
              <w:t>7</w:t>
            </w:r>
          </w:p>
        </w:tc>
        <w:tc>
          <w:tcPr>
            <w:tcW w:w="589" w:type="dxa"/>
            <w:shd w:val="clear" w:color="auto" w:fill="auto"/>
            <w:tcMar/>
            <w:hideMark/>
          </w:tcPr>
          <w:p w:rsidRPr="00D02A76" w:rsidR="00A1119B" w:rsidP="005E54E0" w:rsidRDefault="00A1119B" w14:paraId="22F8B286"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4</w:t>
            </w:r>
          </w:p>
        </w:tc>
        <w:tc>
          <w:tcPr>
            <w:tcW w:w="2798" w:type="dxa"/>
            <w:shd w:val="clear" w:color="auto" w:fill="auto"/>
            <w:tcMar/>
            <w:hideMark/>
          </w:tcPr>
          <w:p w:rsidRPr="00D02A76" w:rsidR="00A1119B" w:rsidP="005E54E0" w:rsidRDefault="00A1119B" w14:paraId="39E57BF9"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Importance of the indicator in addressing gender issues and its limitation</w:t>
            </w:r>
          </w:p>
        </w:tc>
        <w:tc>
          <w:tcPr>
            <w:tcW w:w="8243" w:type="dxa"/>
            <w:shd w:val="clear" w:color="auto" w:fill="auto"/>
            <w:tcMar/>
          </w:tcPr>
          <w:p w:rsidRPr="001F5BFA" w:rsidR="00812FD9" w:rsidP="5D7FE275" w:rsidRDefault="00812FD9" w14:paraId="2617E366" w14:textId="5A17B407">
            <w:pPr>
              <w:spacing w:after="0" w:line="240" w:lineRule="auto"/>
              <w:rPr>
                <w:rFonts w:ascii="Calibri" w:hAnsi="Calibri" w:eastAsia="Times New Roman" w:cs="Calibri"/>
                <w:b w:val="0"/>
                <w:bCs w:val="0"/>
                <w:color w:val="000000"/>
              </w:rPr>
            </w:pPr>
            <w:r w:rsidRPr="5D7FE275" w:rsidR="749C2764">
              <w:rPr>
                <w:rFonts w:ascii="Calibri" w:hAnsi="Calibri" w:eastAsia="Times New Roman" w:cs="Calibri"/>
                <w:b w:val="0"/>
                <w:bCs w:val="0"/>
                <w:color w:val="000000" w:themeColor="text1" w:themeTint="FF" w:themeShade="FF"/>
              </w:rPr>
              <w:t>**</w:t>
            </w:r>
            <w:r w:rsidRPr="5D7FE275" w:rsidR="00812FD9">
              <w:rPr>
                <w:rFonts w:ascii="Calibri" w:hAnsi="Calibri" w:eastAsia="Times New Roman" w:cs="Calibri"/>
                <w:b w:val="0"/>
                <w:bCs w:val="0"/>
                <w:color w:val="000000" w:themeColor="text1" w:themeTint="FF" w:themeShade="FF"/>
              </w:rPr>
              <w:t>Rationale</w:t>
            </w:r>
            <w:r w:rsidRPr="5D7FE275" w:rsidR="1E4FF4A0">
              <w:rPr>
                <w:rFonts w:ascii="Calibri" w:hAnsi="Calibri" w:eastAsia="Times New Roman" w:cs="Calibri"/>
                <w:b w:val="0"/>
                <w:bCs w:val="0"/>
                <w:color w:val="000000" w:themeColor="text1" w:themeTint="FF" w:themeShade="FF"/>
              </w:rPr>
              <w:t>**:</w:t>
            </w:r>
          </w:p>
          <w:p w:rsidR="009E57EB" w:rsidP="00B41C33" w:rsidRDefault="00812FD9" w14:paraId="3CD2D564" w14:textId="66CA3628">
            <w:pPr>
              <w:spacing w:after="0" w:line="240" w:lineRule="auto"/>
              <w:rPr>
                <w:rFonts w:ascii="Calibri" w:hAnsi="Calibri" w:eastAsia="Times New Roman" w:cs="Calibri"/>
                <w:b w:val="0"/>
                <w:bCs w:val="0"/>
                <w:color w:val="000000"/>
              </w:rPr>
            </w:pPr>
            <w:r w:rsidRPr="5D7FE275" w:rsidR="00812FD9">
              <w:rPr>
                <w:rFonts w:ascii="Calibri" w:hAnsi="Calibri" w:eastAsia="Times New Roman" w:cs="Calibri"/>
                <w:b w:val="0"/>
                <w:bCs w:val="0"/>
                <w:color w:val="000000" w:themeColor="text1" w:themeTint="FF" w:themeShade="FF"/>
              </w:rPr>
              <w:t xml:space="preserve">The share of youth not in employment, </w:t>
            </w:r>
            <w:r w:rsidRPr="5D7FE275" w:rsidR="00812FD9">
              <w:rPr>
                <w:rFonts w:ascii="Calibri" w:hAnsi="Calibri" w:eastAsia="Times New Roman" w:cs="Calibri"/>
                <w:b w:val="0"/>
                <w:bCs w:val="0"/>
                <w:color w:val="000000" w:themeColor="text1" w:themeTint="FF" w:themeShade="FF"/>
              </w:rPr>
              <w:t>education</w:t>
            </w:r>
            <w:r w:rsidRPr="5D7FE275" w:rsidR="00812FD9">
              <w:rPr>
                <w:rFonts w:ascii="Calibri" w:hAnsi="Calibri" w:eastAsia="Times New Roman" w:cs="Calibri"/>
                <w:b w:val="0"/>
                <w:bCs w:val="0"/>
                <w:color w:val="000000" w:themeColor="text1" w:themeTint="FF" w:themeShade="FF"/>
              </w:rPr>
              <w:t xml:space="preserve"> or training </w:t>
            </w:r>
            <w:proofErr w:type="gramStart"/>
            <w:r w:rsidRPr="5D7FE275" w:rsidR="24988DF1">
              <w:rPr>
                <w:rFonts w:ascii="Calibri" w:hAnsi="Calibri" w:eastAsia="Times New Roman" w:cs="Calibri"/>
                <w:b w:val="0"/>
                <w:bCs w:val="0"/>
                <w:color w:val="000000" w:themeColor="text1" w:themeTint="FF" w:themeShade="FF"/>
              </w:rPr>
              <w:t>\</w:t>
            </w:r>
            <w:r w:rsidRPr="5D7FE275" w:rsidR="00812FD9">
              <w:rPr>
                <w:rFonts w:ascii="Calibri" w:hAnsi="Calibri" w:eastAsia="Times New Roman" w:cs="Calibri"/>
                <w:b w:val="0"/>
                <w:bCs w:val="0"/>
                <w:color w:val="000000" w:themeColor="text1" w:themeTint="FF" w:themeShade="FF"/>
              </w:rPr>
              <w:t>(</w:t>
            </w:r>
            <w:proofErr w:type="gramEnd"/>
            <w:r w:rsidRPr="5D7FE275" w:rsidR="00812FD9">
              <w:rPr>
                <w:rFonts w:ascii="Calibri" w:hAnsi="Calibri" w:eastAsia="Times New Roman" w:cs="Calibri"/>
                <w:b w:val="0"/>
                <w:bCs w:val="0"/>
                <w:color w:val="000000" w:themeColor="text1" w:themeTint="FF" w:themeShade="FF"/>
              </w:rPr>
              <w:t>youth NEET rate</w:t>
            </w:r>
            <w:r w:rsidRPr="5D7FE275" w:rsidR="707212EB">
              <w:rPr>
                <w:rFonts w:ascii="Calibri" w:hAnsi="Calibri" w:eastAsia="Times New Roman" w:cs="Calibri"/>
                <w:b w:val="0"/>
                <w:bCs w:val="0"/>
                <w:color w:val="000000" w:themeColor="text1" w:themeTint="FF" w:themeShade="FF"/>
              </w:rPr>
              <w:t>\</w:t>
            </w:r>
            <w:r w:rsidRPr="5D7FE275" w:rsidR="00812FD9">
              <w:rPr>
                <w:rFonts w:ascii="Calibri" w:hAnsi="Calibri" w:eastAsia="Times New Roman" w:cs="Calibri"/>
                <w:b w:val="0"/>
                <w:bCs w:val="0"/>
                <w:color w:val="000000" w:themeColor="text1" w:themeTint="FF" w:themeShade="FF"/>
              </w:rPr>
              <w:t xml:space="preserve">) provides a measure of youth who are outside the educational system, not in training and not in employment, and thus serves as a broader measure of potential youth </w:t>
            </w:r>
            <w:proofErr w:type="spellStart"/>
            <w:r w:rsidRPr="5D7FE275" w:rsidR="00812FD9">
              <w:rPr>
                <w:rFonts w:ascii="Calibri" w:hAnsi="Calibri" w:eastAsia="Times New Roman" w:cs="Calibri"/>
                <w:b w:val="0"/>
                <w:bCs w:val="0"/>
                <w:color w:val="000000" w:themeColor="text1" w:themeTint="FF" w:themeShade="FF"/>
              </w:rPr>
              <w:t>labour</w:t>
            </w:r>
            <w:proofErr w:type="spellEnd"/>
            <w:r w:rsidRPr="5D7FE275" w:rsidR="00812FD9">
              <w:rPr>
                <w:rFonts w:ascii="Calibri" w:hAnsi="Calibri" w:eastAsia="Times New Roman" w:cs="Calibri"/>
                <w:b w:val="0"/>
                <w:bCs w:val="0"/>
                <w:color w:val="000000" w:themeColor="text1" w:themeTint="FF" w:themeShade="FF"/>
              </w:rPr>
              <w:t xml:space="preserve"> market entrants than youth unemployment. It includes discouraged worker youth as well as those who are outside the </w:t>
            </w:r>
            <w:proofErr w:type="spellStart"/>
            <w:r w:rsidRPr="5D7FE275" w:rsidR="00812FD9">
              <w:rPr>
                <w:rFonts w:ascii="Calibri" w:hAnsi="Calibri" w:eastAsia="Times New Roman" w:cs="Calibri"/>
                <w:b w:val="0"/>
                <w:bCs w:val="0"/>
                <w:color w:val="000000" w:themeColor="text1" w:themeTint="FF" w:themeShade="FF"/>
              </w:rPr>
              <w:t>labour</w:t>
            </w:r>
            <w:proofErr w:type="spellEnd"/>
            <w:r w:rsidRPr="5D7FE275" w:rsidR="00812FD9">
              <w:rPr>
                <w:rFonts w:ascii="Calibri" w:hAnsi="Calibri" w:eastAsia="Times New Roman" w:cs="Calibri"/>
                <w:b w:val="0"/>
                <w:bCs w:val="0"/>
                <w:color w:val="000000" w:themeColor="text1" w:themeTint="FF" w:themeShade="FF"/>
              </w:rPr>
              <w:t xml:space="preserve"> force due to disability or engagement in household chores, among other reasons. Youth NEET is also a better measure of the current universe of potential youth </w:t>
            </w:r>
            <w:proofErr w:type="spellStart"/>
            <w:r w:rsidRPr="5D7FE275" w:rsidR="00812FD9">
              <w:rPr>
                <w:rFonts w:ascii="Calibri" w:hAnsi="Calibri" w:eastAsia="Times New Roman" w:cs="Calibri"/>
                <w:b w:val="0"/>
                <w:bCs w:val="0"/>
                <w:color w:val="000000" w:themeColor="text1" w:themeTint="FF" w:themeShade="FF"/>
              </w:rPr>
              <w:t>labour</w:t>
            </w:r>
            <w:proofErr w:type="spellEnd"/>
            <w:r w:rsidRPr="5D7FE275" w:rsidR="00812FD9">
              <w:rPr>
                <w:rFonts w:ascii="Calibri" w:hAnsi="Calibri" w:eastAsia="Times New Roman" w:cs="Calibri"/>
                <w:b w:val="0"/>
                <w:bCs w:val="0"/>
                <w:color w:val="000000" w:themeColor="text1" w:themeTint="FF" w:themeShade="FF"/>
              </w:rPr>
              <w:t xml:space="preserve"> market entrants as compared with the youth inactivity rate, as the latter includes those youth who are outside the </w:t>
            </w:r>
            <w:proofErr w:type="spellStart"/>
            <w:r w:rsidRPr="5D7FE275" w:rsidR="00812FD9">
              <w:rPr>
                <w:rFonts w:ascii="Calibri" w:hAnsi="Calibri" w:eastAsia="Times New Roman" w:cs="Calibri"/>
                <w:b w:val="0"/>
                <w:bCs w:val="0"/>
                <w:color w:val="000000" w:themeColor="text1" w:themeTint="FF" w:themeShade="FF"/>
              </w:rPr>
              <w:t>labour</w:t>
            </w:r>
            <w:proofErr w:type="spellEnd"/>
            <w:r w:rsidRPr="5D7FE275" w:rsidR="00812FD9">
              <w:rPr>
                <w:rFonts w:ascii="Calibri" w:hAnsi="Calibri" w:eastAsia="Times New Roman" w:cs="Calibri"/>
                <w:b w:val="0"/>
                <w:bCs w:val="0"/>
                <w:color w:val="000000" w:themeColor="text1" w:themeTint="FF" w:themeShade="FF"/>
              </w:rPr>
              <w:t xml:space="preserve"> force and are in education, and thus are furthering their skills and qualifications.</w:t>
            </w:r>
          </w:p>
          <w:p w:rsidR="00812FD9" w:rsidP="00B41C33" w:rsidRDefault="00812FD9" w14:paraId="6773D8AC" w14:textId="7D7B9984">
            <w:pPr>
              <w:spacing w:after="0" w:line="240" w:lineRule="auto"/>
              <w:rPr>
                <w:rFonts w:ascii="Calibri" w:hAnsi="Calibri" w:eastAsia="Times New Roman" w:cs="Calibri"/>
                <w:b w:val="0"/>
                <w:bCs w:val="0"/>
                <w:color w:val="000000"/>
              </w:rPr>
            </w:pPr>
          </w:p>
          <w:p w:rsidRPr="001F5BFA" w:rsidR="00812FD9" w:rsidP="5D7FE275" w:rsidRDefault="00812FD9" w14:paraId="09BD5883" w14:textId="43A0F09D">
            <w:pPr>
              <w:spacing w:after="0" w:line="240" w:lineRule="auto"/>
              <w:rPr>
                <w:rFonts w:ascii="Calibri" w:hAnsi="Calibri" w:eastAsia="Times New Roman" w:cs="Calibri"/>
                <w:b w:val="0"/>
                <w:bCs w:val="0"/>
                <w:color w:val="000000"/>
              </w:rPr>
            </w:pPr>
            <w:r w:rsidRPr="5D7FE275" w:rsidR="564B89D6">
              <w:rPr>
                <w:rFonts w:ascii="Calibri" w:hAnsi="Calibri" w:eastAsia="Times New Roman" w:cs="Calibri"/>
                <w:b w:val="0"/>
                <w:bCs w:val="0"/>
                <w:color w:val="000000" w:themeColor="text1" w:themeTint="FF" w:themeShade="FF"/>
              </w:rPr>
              <w:t>**</w:t>
            </w:r>
            <w:r w:rsidRPr="5D7FE275" w:rsidR="00812FD9">
              <w:rPr>
                <w:rFonts w:ascii="Calibri" w:hAnsi="Calibri" w:eastAsia="Times New Roman" w:cs="Calibri"/>
                <w:b w:val="0"/>
                <w:bCs w:val="0"/>
                <w:color w:val="000000" w:themeColor="text1" w:themeTint="FF" w:themeShade="FF"/>
              </w:rPr>
              <w:t>Comment and limitations</w:t>
            </w:r>
            <w:r w:rsidRPr="5D7FE275" w:rsidR="4305BD6F">
              <w:rPr>
                <w:rFonts w:ascii="Calibri" w:hAnsi="Calibri" w:eastAsia="Times New Roman" w:cs="Calibri"/>
                <w:b w:val="0"/>
                <w:bCs w:val="0"/>
                <w:color w:val="000000" w:themeColor="text1" w:themeTint="FF" w:themeShade="FF"/>
              </w:rPr>
              <w:t>**:</w:t>
            </w:r>
          </w:p>
          <w:p w:rsidR="001F5BFA" w:rsidP="00B41C33" w:rsidRDefault="001F5BFA" w14:paraId="281F2745" w14:textId="77777777">
            <w:pPr>
              <w:spacing w:after="0" w:line="240" w:lineRule="auto"/>
              <w:rPr>
                <w:rFonts w:ascii="Calibri" w:hAnsi="Calibri" w:eastAsia="Times New Roman" w:cs="Calibri"/>
                <w:b w:val="0"/>
                <w:bCs w:val="0"/>
                <w:color w:val="000000"/>
              </w:rPr>
            </w:pPr>
            <w:r w:rsidRPr="5D7FE275" w:rsidR="001F5BFA">
              <w:rPr>
                <w:rFonts w:ascii="Calibri" w:hAnsi="Calibri" w:eastAsia="Times New Roman" w:cs="Calibri"/>
                <w:b w:val="0"/>
                <w:bCs w:val="0"/>
                <w:color w:val="000000" w:themeColor="text1" w:themeTint="FF" w:themeShade="FF"/>
              </w:rPr>
              <w:t xml:space="preserve">The calculation of this indicator requires to have reliable information on both the </w:t>
            </w:r>
            <w:proofErr w:type="spellStart"/>
            <w:r w:rsidRPr="5D7FE275" w:rsidR="001F5BFA">
              <w:rPr>
                <w:rFonts w:ascii="Calibri" w:hAnsi="Calibri" w:eastAsia="Times New Roman" w:cs="Calibri"/>
                <w:b w:val="0"/>
                <w:bCs w:val="0"/>
                <w:color w:val="000000" w:themeColor="text1" w:themeTint="FF" w:themeShade="FF"/>
              </w:rPr>
              <w:t>labour</w:t>
            </w:r>
            <w:proofErr w:type="spellEnd"/>
            <w:r w:rsidRPr="5D7FE275" w:rsidR="001F5BFA">
              <w:rPr>
                <w:rFonts w:ascii="Calibri" w:hAnsi="Calibri" w:eastAsia="Times New Roman" w:cs="Calibri"/>
                <w:b w:val="0"/>
                <w:bCs w:val="0"/>
                <w:color w:val="000000" w:themeColor="text1" w:themeTint="FF" w:themeShade="FF"/>
              </w:rPr>
              <w:t xml:space="preserve"> market status and the participation in education or training of young persons. The quality of such information is heavily dependent on the questionnaire design, the sample size and design and the accuracy of respondents' answers.  </w:t>
            </w:r>
          </w:p>
          <w:p w:rsidR="001F5BFA" w:rsidP="00B41C33" w:rsidRDefault="001F5BFA" w14:paraId="782E5C4D" w14:textId="77777777">
            <w:pPr>
              <w:spacing w:after="0" w:line="240" w:lineRule="auto"/>
              <w:rPr>
                <w:rFonts w:ascii="Calibri" w:hAnsi="Calibri" w:eastAsia="Times New Roman" w:cs="Calibri"/>
                <w:b w:val="0"/>
                <w:bCs w:val="0"/>
                <w:color w:val="000000"/>
              </w:rPr>
            </w:pPr>
          </w:p>
          <w:p w:rsidR="00812FD9" w:rsidP="00B41C33" w:rsidRDefault="001F5BFA" w14:paraId="27E7B66A" w14:textId="642AB85A">
            <w:pPr>
              <w:spacing w:after="0" w:line="240" w:lineRule="auto"/>
              <w:rPr>
                <w:rFonts w:ascii="Calibri" w:hAnsi="Calibri" w:eastAsia="Times New Roman" w:cs="Calibri"/>
                <w:b w:val="0"/>
                <w:bCs w:val="0"/>
                <w:color w:val="000000"/>
              </w:rPr>
            </w:pPr>
            <w:r w:rsidRPr="5D7FE275" w:rsidR="001F5BFA">
              <w:rPr>
                <w:rFonts w:ascii="Calibri" w:hAnsi="Calibri" w:eastAsia="Times New Roman" w:cs="Calibri"/>
                <w:b w:val="0"/>
                <w:bCs w:val="0"/>
                <w:color w:val="000000" w:themeColor="text1" w:themeTint="FF" w:themeShade="FF"/>
              </w:rPr>
              <w:t xml:space="preserve">In terms of the analysis of the indicator, </w:t>
            </w:r>
            <w:r w:rsidRPr="5D7FE275" w:rsidR="001F5BFA">
              <w:rPr>
                <w:rFonts w:ascii="Calibri" w:hAnsi="Calibri" w:eastAsia="Times New Roman" w:cs="Calibri"/>
                <w:b w:val="0"/>
                <w:bCs w:val="0"/>
                <w:color w:val="000000" w:themeColor="text1" w:themeTint="FF" w:themeShade="FF"/>
              </w:rPr>
              <w:t>in order to</w:t>
            </w:r>
            <w:r w:rsidRPr="5D7FE275" w:rsidR="001F5BFA">
              <w:rPr>
                <w:rFonts w:ascii="Calibri" w:hAnsi="Calibri" w:eastAsia="Times New Roman" w:cs="Calibri"/>
                <w:b w:val="0"/>
                <w:bCs w:val="0"/>
                <w:color w:val="000000" w:themeColor="text1" w:themeTint="FF" w:themeShade="FF"/>
              </w:rPr>
              <w:t xml:space="preserve"> avoid misinterpreting it, it is important to bear in mind that it is composed of two different sub-groups </w:t>
            </w:r>
            <w:proofErr w:type="gramStart"/>
            <w:r w:rsidRPr="5D7FE275" w:rsidR="78C86AC0">
              <w:rPr>
                <w:rFonts w:ascii="Calibri" w:hAnsi="Calibri" w:eastAsia="Times New Roman" w:cs="Calibri"/>
                <w:b w:val="0"/>
                <w:bCs w:val="0"/>
                <w:color w:val="000000" w:themeColor="text1" w:themeTint="FF" w:themeShade="FF"/>
              </w:rPr>
              <w:t>\</w:t>
            </w:r>
            <w:r w:rsidRPr="5D7FE275" w:rsidR="001F5BFA">
              <w:rPr>
                <w:rFonts w:ascii="Calibri" w:hAnsi="Calibri" w:eastAsia="Times New Roman" w:cs="Calibri"/>
                <w:b w:val="0"/>
                <w:bCs w:val="0"/>
                <w:color w:val="000000" w:themeColor="text1" w:themeTint="FF" w:themeShade="FF"/>
              </w:rPr>
              <w:t>(</w:t>
            </w:r>
            <w:proofErr w:type="gramEnd"/>
            <w:r w:rsidRPr="5D7FE275" w:rsidR="001F5BFA">
              <w:rPr>
                <w:rFonts w:ascii="Calibri" w:hAnsi="Calibri" w:eastAsia="Times New Roman" w:cs="Calibri"/>
                <w:b w:val="0"/>
                <w:bCs w:val="0"/>
                <w:color w:val="000000" w:themeColor="text1" w:themeTint="FF" w:themeShade="FF"/>
              </w:rPr>
              <w:t xml:space="preserve">unemployed youth not in education or training and youth outside the </w:t>
            </w:r>
            <w:proofErr w:type="spellStart"/>
            <w:r w:rsidRPr="5D7FE275" w:rsidR="001F5BFA">
              <w:rPr>
                <w:rFonts w:ascii="Calibri" w:hAnsi="Calibri" w:eastAsia="Times New Roman" w:cs="Calibri"/>
                <w:b w:val="0"/>
                <w:bCs w:val="0"/>
                <w:color w:val="000000" w:themeColor="text1" w:themeTint="FF" w:themeShade="FF"/>
              </w:rPr>
              <w:t>labour</w:t>
            </w:r>
            <w:proofErr w:type="spellEnd"/>
            <w:r w:rsidRPr="5D7FE275" w:rsidR="001F5BFA">
              <w:rPr>
                <w:rFonts w:ascii="Calibri" w:hAnsi="Calibri" w:eastAsia="Times New Roman" w:cs="Calibri"/>
                <w:b w:val="0"/>
                <w:bCs w:val="0"/>
                <w:color w:val="000000" w:themeColor="text1" w:themeTint="FF" w:themeShade="FF"/>
              </w:rPr>
              <w:t xml:space="preserve"> force not in education or training</w:t>
            </w:r>
            <w:r w:rsidRPr="5D7FE275" w:rsidR="66F11857">
              <w:rPr>
                <w:rFonts w:ascii="Calibri" w:hAnsi="Calibri" w:eastAsia="Times New Roman" w:cs="Calibri"/>
                <w:b w:val="0"/>
                <w:bCs w:val="0"/>
                <w:color w:val="000000" w:themeColor="text1" w:themeTint="FF" w:themeShade="FF"/>
              </w:rPr>
              <w:t>\</w:t>
            </w:r>
            <w:r w:rsidRPr="5D7FE275" w:rsidR="001F5BFA">
              <w:rPr>
                <w:rFonts w:ascii="Calibri" w:hAnsi="Calibri" w:eastAsia="Times New Roman" w:cs="Calibri"/>
                <w:b w:val="0"/>
                <w:bCs w:val="0"/>
                <w:color w:val="000000" w:themeColor="text1" w:themeTint="FF" w:themeShade="FF"/>
              </w:rPr>
              <w:t xml:space="preserve">). The prevalence and composition of each sub-group would have policy implications, and thus should also be considered when </w:t>
            </w:r>
            <w:proofErr w:type="spellStart"/>
            <w:r w:rsidRPr="5D7FE275" w:rsidR="001F5BFA">
              <w:rPr>
                <w:rFonts w:ascii="Calibri" w:hAnsi="Calibri" w:eastAsia="Times New Roman" w:cs="Calibri"/>
                <w:b w:val="0"/>
                <w:bCs w:val="0"/>
                <w:color w:val="000000" w:themeColor="text1" w:themeTint="FF" w:themeShade="FF"/>
              </w:rPr>
              <w:t>analysing</w:t>
            </w:r>
            <w:proofErr w:type="spellEnd"/>
            <w:r w:rsidRPr="5D7FE275" w:rsidR="001F5BFA">
              <w:rPr>
                <w:rFonts w:ascii="Calibri" w:hAnsi="Calibri" w:eastAsia="Times New Roman" w:cs="Calibri"/>
                <w:b w:val="0"/>
                <w:bCs w:val="0"/>
                <w:color w:val="000000" w:themeColor="text1" w:themeTint="FF" w:themeShade="FF"/>
              </w:rPr>
              <w:t xml:space="preserve"> the NEET rate.</w:t>
            </w:r>
          </w:p>
          <w:p w:rsidRPr="00D02A76" w:rsidR="00812FD9" w:rsidP="00B41C33" w:rsidRDefault="00812FD9" w14:paraId="33D1D4C4" w14:textId="7F5127E1">
            <w:pPr>
              <w:spacing w:after="0" w:line="240" w:lineRule="auto"/>
              <w:rPr>
                <w:rFonts w:ascii="Calibri" w:hAnsi="Calibri" w:eastAsia="Times New Roman" w:cs="Calibri"/>
                <w:b w:val="0"/>
                <w:bCs w:val="0"/>
                <w:color w:val="000000"/>
              </w:rPr>
            </w:pPr>
          </w:p>
        </w:tc>
      </w:tr>
      <w:tr w:rsidRPr="00D02A76" w:rsidR="00A1119B" w:rsidTr="5D7FE275" w14:paraId="3A005537" w14:textId="77777777">
        <w:trPr>
          <w:trHeight w:val="900"/>
        </w:trPr>
        <w:tc>
          <w:tcPr>
            <w:tcW w:w="1325" w:type="dxa"/>
            <w:shd w:val="clear" w:color="auto" w:fill="auto"/>
            <w:tcMar/>
            <w:hideMark/>
          </w:tcPr>
          <w:p w:rsidRPr="00D02A76" w:rsidR="00A1119B" w:rsidP="005E54E0" w:rsidRDefault="000E5539" w14:paraId="24481AC4" w14:textId="45A152A9">
            <w:pPr>
              <w:spacing w:after="0" w:line="240" w:lineRule="auto"/>
              <w:jc w:val="right"/>
              <w:rPr>
                <w:rFonts w:ascii="Calibri" w:hAnsi="Calibri" w:eastAsia="Times New Roman" w:cs="Calibri"/>
                <w:color w:val="000000"/>
              </w:rPr>
            </w:pPr>
            <w:r>
              <w:rPr>
                <w:rFonts w:ascii="Calibri" w:hAnsi="Calibri" w:eastAsia="Times New Roman" w:cs="Calibri"/>
                <w:color w:val="000000"/>
              </w:rPr>
              <w:lastRenderedPageBreak/>
              <w:t>I.</w:t>
            </w:r>
            <w:r w:rsidRPr="00D02A76" w:rsidR="00A1119B">
              <w:rPr>
                <w:rFonts w:ascii="Calibri" w:hAnsi="Calibri" w:eastAsia="Times New Roman" w:cs="Calibri"/>
                <w:color w:val="000000"/>
              </w:rPr>
              <w:t>7</w:t>
            </w:r>
          </w:p>
        </w:tc>
        <w:tc>
          <w:tcPr>
            <w:tcW w:w="589" w:type="dxa"/>
            <w:shd w:val="clear" w:color="auto" w:fill="auto"/>
            <w:tcMar/>
            <w:hideMark/>
          </w:tcPr>
          <w:p w:rsidRPr="00D02A76" w:rsidR="00A1119B" w:rsidP="005E54E0" w:rsidRDefault="00A1119B" w14:paraId="57094BF3"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5</w:t>
            </w:r>
          </w:p>
        </w:tc>
        <w:tc>
          <w:tcPr>
            <w:tcW w:w="2798" w:type="dxa"/>
            <w:shd w:val="clear" w:color="auto" w:fill="auto"/>
            <w:tcMar/>
            <w:hideMark/>
          </w:tcPr>
          <w:p w:rsidRPr="00D02A76" w:rsidR="00A1119B" w:rsidP="005E54E0" w:rsidRDefault="00A1119B" w14:paraId="1AB38CB6"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Sources of discrepancies between global and national figures</w:t>
            </w:r>
          </w:p>
        </w:tc>
        <w:tc>
          <w:tcPr>
            <w:tcW w:w="8243" w:type="dxa"/>
            <w:shd w:val="clear" w:color="auto" w:fill="auto"/>
            <w:tcMar/>
            <w:hideMark/>
          </w:tcPr>
          <w:p w:rsidRPr="00D02A76" w:rsidR="00A1119B" w:rsidP="005E54E0" w:rsidRDefault="00A1119B" w14:paraId="7529D703" w14:textId="6E670ED6">
            <w:pPr>
              <w:spacing w:after="0" w:line="240" w:lineRule="auto"/>
              <w:rPr>
                <w:rFonts w:ascii="Calibri" w:hAnsi="Calibri" w:eastAsia="Times New Roman" w:cs="Calibri"/>
                <w:color w:val="000000"/>
              </w:rPr>
            </w:pPr>
          </w:p>
        </w:tc>
      </w:tr>
      <w:tr w:rsidRPr="00D02A76" w:rsidR="00A1119B" w:rsidTr="5D7FE275" w14:paraId="6645B9D9" w14:textId="77777777">
        <w:trPr>
          <w:trHeight w:val="1200"/>
        </w:trPr>
        <w:tc>
          <w:tcPr>
            <w:tcW w:w="1325" w:type="dxa"/>
            <w:shd w:val="clear" w:color="auto" w:fill="auto"/>
            <w:tcMar/>
            <w:hideMark/>
          </w:tcPr>
          <w:p w:rsidRPr="00D02A76" w:rsidR="00A1119B" w:rsidP="005E54E0" w:rsidRDefault="000E5539" w14:paraId="39D1FB4B" w14:textId="58ED0000">
            <w:pPr>
              <w:spacing w:after="0" w:line="240" w:lineRule="auto"/>
              <w:jc w:val="right"/>
              <w:rPr>
                <w:rFonts w:ascii="Calibri" w:hAnsi="Calibri" w:eastAsia="Times New Roman" w:cs="Calibri"/>
                <w:color w:val="000000"/>
              </w:rPr>
            </w:pPr>
            <w:r>
              <w:rPr>
                <w:rFonts w:ascii="Calibri" w:hAnsi="Calibri" w:eastAsia="Times New Roman" w:cs="Calibri"/>
                <w:color w:val="000000"/>
              </w:rPr>
              <w:t>I.</w:t>
            </w:r>
            <w:r w:rsidRPr="00D02A76" w:rsidR="00A1119B">
              <w:rPr>
                <w:rFonts w:ascii="Calibri" w:hAnsi="Calibri" w:eastAsia="Times New Roman" w:cs="Calibri"/>
                <w:color w:val="000000"/>
              </w:rPr>
              <w:t>7</w:t>
            </w:r>
          </w:p>
        </w:tc>
        <w:tc>
          <w:tcPr>
            <w:tcW w:w="589" w:type="dxa"/>
            <w:shd w:val="clear" w:color="auto" w:fill="auto"/>
            <w:tcMar/>
            <w:hideMark/>
          </w:tcPr>
          <w:p w:rsidRPr="00D02A76" w:rsidR="00A1119B" w:rsidP="005E54E0" w:rsidRDefault="00A1119B" w14:paraId="36259A26"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6</w:t>
            </w:r>
          </w:p>
        </w:tc>
        <w:tc>
          <w:tcPr>
            <w:tcW w:w="2798" w:type="dxa"/>
            <w:shd w:val="clear" w:color="auto" w:fill="auto"/>
            <w:tcMar/>
            <w:hideMark/>
          </w:tcPr>
          <w:p w:rsidRPr="00D02A76" w:rsidR="00A1119B" w:rsidP="005E54E0" w:rsidRDefault="00A1119B" w14:paraId="5B977E64"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Process of obtaining data</w:t>
            </w:r>
          </w:p>
        </w:tc>
        <w:tc>
          <w:tcPr>
            <w:tcW w:w="8243" w:type="dxa"/>
            <w:shd w:val="clear" w:color="auto" w:fill="auto"/>
            <w:tcMar/>
          </w:tcPr>
          <w:p w:rsidRPr="00B41C33" w:rsidR="00B41C33" w:rsidP="00B41C33" w:rsidRDefault="00B41C33" w14:paraId="2B7067E2" w14:textId="77777777">
            <w:pPr>
              <w:spacing w:after="0" w:line="240" w:lineRule="auto"/>
              <w:rPr>
                <w:rFonts w:ascii="Calibri" w:hAnsi="Calibri" w:eastAsia="Times New Roman" w:cs="Calibri"/>
                <w:color w:val="000000"/>
              </w:rPr>
            </w:pPr>
            <w:r w:rsidRPr="00B41C33">
              <w:rPr>
                <w:rFonts w:ascii="Calibri" w:hAnsi="Calibri" w:eastAsia="Times New Roman" w:cs="Calibri"/>
                <w:color w:val="000000"/>
              </w:rPr>
              <w:t xml:space="preserve">The preferred official national data source for this indicator is a household-based </w:t>
            </w:r>
            <w:proofErr w:type="spellStart"/>
            <w:r w:rsidRPr="00B41C33">
              <w:rPr>
                <w:rFonts w:ascii="Calibri" w:hAnsi="Calibri" w:eastAsia="Times New Roman" w:cs="Calibri"/>
                <w:color w:val="000000"/>
              </w:rPr>
              <w:t>labour</w:t>
            </w:r>
            <w:proofErr w:type="spellEnd"/>
            <w:r w:rsidRPr="00B41C33">
              <w:rPr>
                <w:rFonts w:ascii="Calibri" w:hAnsi="Calibri" w:eastAsia="Times New Roman" w:cs="Calibri"/>
                <w:color w:val="000000"/>
              </w:rPr>
              <w:t xml:space="preserve"> force survey. In the absence of a </w:t>
            </w:r>
            <w:proofErr w:type="spellStart"/>
            <w:r w:rsidRPr="00B41C33">
              <w:rPr>
                <w:rFonts w:ascii="Calibri" w:hAnsi="Calibri" w:eastAsia="Times New Roman" w:cs="Calibri"/>
                <w:color w:val="000000"/>
              </w:rPr>
              <w:t>labour</w:t>
            </w:r>
            <w:proofErr w:type="spellEnd"/>
            <w:r w:rsidRPr="00B41C33">
              <w:rPr>
                <w:rFonts w:ascii="Calibri" w:hAnsi="Calibri" w:eastAsia="Times New Roman" w:cs="Calibri"/>
                <w:color w:val="000000"/>
              </w:rPr>
              <w:t xml:space="preserve"> force survey, a population census and/or other type of household survey with an appropriate employment module may be used to obtain the required data.</w:t>
            </w:r>
          </w:p>
          <w:p w:rsidRPr="00B41C33" w:rsidR="00B41C33" w:rsidP="00B41C33" w:rsidRDefault="00B41C33" w14:paraId="124E1681" w14:textId="77777777">
            <w:pPr>
              <w:spacing w:after="0" w:line="240" w:lineRule="auto"/>
              <w:rPr>
                <w:rFonts w:ascii="Calibri" w:hAnsi="Calibri" w:eastAsia="Times New Roman" w:cs="Calibri"/>
                <w:color w:val="000000"/>
              </w:rPr>
            </w:pPr>
          </w:p>
          <w:p w:rsidRPr="00D02A76" w:rsidR="00B5580D" w:rsidP="00B41C33" w:rsidRDefault="00B41C33" w14:paraId="5DD8B352" w14:textId="59157BB7">
            <w:pPr>
              <w:spacing w:after="0" w:line="240" w:lineRule="auto"/>
              <w:rPr>
                <w:rFonts w:ascii="Calibri" w:hAnsi="Calibri" w:eastAsia="Times New Roman" w:cs="Calibri"/>
                <w:color w:val="000000"/>
              </w:rPr>
            </w:pPr>
            <w:r w:rsidRPr="5D7FE275" w:rsidR="00B41C33">
              <w:rPr>
                <w:rFonts w:ascii="Calibri" w:hAnsi="Calibri" w:eastAsia="Times New Roman" w:cs="Calibri"/>
                <w:color w:val="000000" w:themeColor="text1" w:themeTint="FF" w:themeShade="FF"/>
              </w:rPr>
              <w:t xml:space="preserve">The ILO Department of Statistics processes national household survey </w:t>
            </w:r>
            <w:proofErr w:type="spellStart"/>
            <w:r w:rsidRPr="5D7FE275" w:rsidR="00B41C33">
              <w:rPr>
                <w:rFonts w:ascii="Calibri" w:hAnsi="Calibri" w:eastAsia="Times New Roman" w:cs="Calibri"/>
                <w:color w:val="000000" w:themeColor="text1" w:themeTint="FF" w:themeShade="FF"/>
              </w:rPr>
              <w:t>microdatasets</w:t>
            </w:r>
            <w:proofErr w:type="spellEnd"/>
            <w:r w:rsidRPr="5D7FE275" w:rsidR="00B41C33">
              <w:rPr>
                <w:rFonts w:ascii="Calibri" w:hAnsi="Calibri" w:eastAsia="Times New Roman" w:cs="Calibri"/>
                <w:color w:val="000000" w:themeColor="text1" w:themeTint="FF" w:themeShade="FF"/>
              </w:rPr>
              <w:t xml:space="preserve"> in line with </w:t>
            </w:r>
            <w:proofErr w:type="gramStart"/>
            <w:r w:rsidRPr="5D7FE275" w:rsidR="00B41C33">
              <w:rPr>
                <w:rFonts w:ascii="Calibri" w:hAnsi="Calibri" w:eastAsia="Times New Roman" w:cs="Calibri"/>
                <w:color w:val="000000" w:themeColor="text1" w:themeTint="FF" w:themeShade="FF"/>
              </w:rPr>
              <w:t>internationally-agreed</w:t>
            </w:r>
            <w:proofErr w:type="gramEnd"/>
            <w:r w:rsidRPr="5D7FE275" w:rsidR="00B41C33">
              <w:rPr>
                <w:rFonts w:ascii="Calibri" w:hAnsi="Calibri" w:eastAsia="Times New Roman" w:cs="Calibri"/>
                <w:color w:val="000000" w:themeColor="text1" w:themeTint="FF" w:themeShade="FF"/>
              </w:rPr>
              <w:t xml:space="preserve"> indicator concepts and definitions set forth by the International Conference of </w:t>
            </w:r>
            <w:r w:rsidRPr="5D7FE275" w:rsidR="00B41C33">
              <w:rPr>
                <w:rFonts w:ascii="Calibri" w:hAnsi="Calibri" w:eastAsia="Times New Roman" w:cs="Calibri"/>
                <w:color w:val="000000" w:themeColor="text1" w:themeTint="FF" w:themeShade="FF"/>
              </w:rPr>
              <w:t>Labour</w:t>
            </w:r>
            <w:r w:rsidRPr="5D7FE275" w:rsidR="00B41C33">
              <w:rPr>
                <w:rFonts w:ascii="Calibri" w:hAnsi="Calibri" w:eastAsia="Times New Roman" w:cs="Calibri"/>
                <w:color w:val="000000" w:themeColor="text1" w:themeTint="FF" w:themeShade="FF"/>
              </w:rPr>
              <w:t xml:space="preserve"> Statisticians. For data that could not be obtained through this processing or directly from government websites, the ILO sends out an annual ILOSTAT questionnaire to all relevant agencies within each country </w:t>
            </w:r>
            <w:r w:rsidRPr="5D7FE275" w:rsidR="31039304">
              <w:rPr>
                <w:rFonts w:ascii="Calibri" w:hAnsi="Calibri" w:eastAsia="Times New Roman" w:cs="Calibri"/>
                <w:color w:val="000000" w:themeColor="text1" w:themeTint="FF" w:themeShade="FF"/>
              </w:rPr>
              <w:t>\</w:t>
            </w:r>
            <w:r w:rsidRPr="5D7FE275" w:rsidR="00B41C33">
              <w:rPr>
                <w:rFonts w:ascii="Calibri" w:hAnsi="Calibri" w:eastAsia="Times New Roman" w:cs="Calibri"/>
                <w:color w:val="000000" w:themeColor="text1" w:themeTint="FF" w:themeShade="FF"/>
              </w:rPr>
              <w:t xml:space="preserve">(national statistical office, </w:t>
            </w:r>
            <w:proofErr w:type="spellStart"/>
            <w:r w:rsidRPr="5D7FE275" w:rsidR="00B41C33">
              <w:rPr>
                <w:rFonts w:ascii="Calibri" w:hAnsi="Calibri" w:eastAsia="Times New Roman" w:cs="Calibri"/>
                <w:color w:val="000000" w:themeColor="text1" w:themeTint="FF" w:themeShade="FF"/>
              </w:rPr>
              <w:t>labour</w:t>
            </w:r>
            <w:proofErr w:type="spellEnd"/>
            <w:r w:rsidRPr="5D7FE275" w:rsidR="00B41C33">
              <w:rPr>
                <w:rFonts w:ascii="Calibri" w:hAnsi="Calibri" w:eastAsia="Times New Roman" w:cs="Calibri"/>
                <w:color w:val="000000" w:themeColor="text1" w:themeTint="FF" w:themeShade="FF"/>
              </w:rPr>
              <w:t xml:space="preserve"> ministry, etc.</w:t>
            </w:r>
            <w:r w:rsidRPr="5D7FE275" w:rsidR="30CE0B5B">
              <w:rPr>
                <w:rFonts w:ascii="Calibri" w:hAnsi="Calibri" w:eastAsia="Times New Roman" w:cs="Calibri"/>
                <w:color w:val="000000" w:themeColor="text1" w:themeTint="FF" w:themeShade="FF"/>
              </w:rPr>
              <w:t>\</w:t>
            </w:r>
            <w:r w:rsidRPr="5D7FE275" w:rsidR="00B41C33">
              <w:rPr>
                <w:rFonts w:ascii="Calibri" w:hAnsi="Calibri" w:eastAsia="Times New Roman" w:cs="Calibri"/>
                <w:color w:val="000000" w:themeColor="text1" w:themeTint="FF" w:themeShade="FF"/>
              </w:rPr>
              <w:t xml:space="preserve">) requesting the latest annual data and any revisions on numerous </w:t>
            </w:r>
            <w:r w:rsidRPr="5D7FE275" w:rsidR="00B41C33">
              <w:rPr>
                <w:rFonts w:ascii="Calibri" w:hAnsi="Calibri" w:eastAsia="Times New Roman" w:cs="Calibri"/>
                <w:color w:val="000000" w:themeColor="text1" w:themeTint="FF" w:themeShade="FF"/>
              </w:rPr>
              <w:t>labour</w:t>
            </w:r>
            <w:r w:rsidRPr="5D7FE275" w:rsidR="00B41C33">
              <w:rPr>
                <w:rFonts w:ascii="Calibri" w:hAnsi="Calibri" w:eastAsia="Times New Roman" w:cs="Calibri"/>
                <w:color w:val="000000" w:themeColor="text1" w:themeTint="FF" w:themeShade="FF"/>
              </w:rPr>
              <w:t xml:space="preserve"> market topics and indicators, including many SDG indicators.</w:t>
            </w:r>
          </w:p>
        </w:tc>
      </w:tr>
      <w:tr w:rsidRPr="00D02A76" w:rsidR="00A1119B" w:rsidTr="5D7FE275" w14:paraId="4F02EC93" w14:textId="77777777">
        <w:trPr>
          <w:trHeight w:val="1500"/>
        </w:trPr>
        <w:tc>
          <w:tcPr>
            <w:tcW w:w="1325" w:type="dxa"/>
            <w:shd w:val="clear" w:color="auto" w:fill="auto"/>
            <w:tcMar/>
            <w:hideMark/>
          </w:tcPr>
          <w:p w:rsidRPr="00D02A76" w:rsidR="00A1119B" w:rsidP="005E54E0" w:rsidRDefault="000E5539" w14:paraId="1BF7AF19" w14:textId="1725DB57">
            <w:pPr>
              <w:spacing w:after="0" w:line="240" w:lineRule="auto"/>
              <w:jc w:val="right"/>
              <w:rPr>
                <w:rFonts w:ascii="Calibri" w:hAnsi="Calibri" w:eastAsia="Times New Roman" w:cs="Calibri"/>
                <w:color w:val="000000"/>
              </w:rPr>
            </w:pPr>
            <w:r>
              <w:rPr>
                <w:rFonts w:ascii="Calibri" w:hAnsi="Calibri" w:eastAsia="Times New Roman" w:cs="Calibri"/>
                <w:color w:val="000000"/>
              </w:rPr>
              <w:t>I.</w:t>
            </w:r>
            <w:r w:rsidRPr="00D02A76" w:rsidR="00A1119B">
              <w:rPr>
                <w:rFonts w:ascii="Calibri" w:hAnsi="Calibri" w:eastAsia="Times New Roman" w:cs="Calibri"/>
                <w:color w:val="000000"/>
              </w:rPr>
              <w:t>7</w:t>
            </w:r>
          </w:p>
        </w:tc>
        <w:tc>
          <w:tcPr>
            <w:tcW w:w="589" w:type="dxa"/>
            <w:shd w:val="clear" w:color="auto" w:fill="auto"/>
            <w:tcMar/>
            <w:hideMark/>
          </w:tcPr>
          <w:p w:rsidRPr="00D02A76" w:rsidR="00A1119B" w:rsidP="005E54E0" w:rsidRDefault="00A1119B" w14:paraId="453CDEE7"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7</w:t>
            </w:r>
          </w:p>
        </w:tc>
        <w:tc>
          <w:tcPr>
            <w:tcW w:w="2798" w:type="dxa"/>
            <w:shd w:val="clear" w:color="auto" w:fill="auto"/>
            <w:tcMar/>
            <w:hideMark/>
          </w:tcPr>
          <w:p w:rsidRPr="00D02A76" w:rsidR="00A1119B" w:rsidP="005E54E0" w:rsidRDefault="00A1119B" w14:paraId="4B40282C"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Treatment of missing values</w:t>
            </w:r>
          </w:p>
        </w:tc>
        <w:tc>
          <w:tcPr>
            <w:tcW w:w="8243" w:type="dxa"/>
            <w:shd w:val="clear" w:color="auto" w:fill="auto"/>
            <w:tcMar/>
          </w:tcPr>
          <w:p w:rsidRPr="00D02A76" w:rsidR="00A1119B" w:rsidP="005E54E0" w:rsidRDefault="00A1119B" w14:paraId="7751FB2B" w14:textId="2C73B149">
            <w:pPr>
              <w:spacing w:after="0" w:line="240" w:lineRule="auto"/>
              <w:rPr>
                <w:rFonts w:ascii="Calibri" w:hAnsi="Calibri" w:eastAsia="Times New Roman" w:cs="Calibri"/>
                <w:color w:val="000000"/>
              </w:rPr>
            </w:pPr>
          </w:p>
        </w:tc>
      </w:tr>
      <w:tr w:rsidRPr="00D02A76" w:rsidR="00A1119B" w:rsidTr="5D7FE275" w14:paraId="2686634E" w14:textId="77777777">
        <w:trPr>
          <w:trHeight w:val="1200"/>
        </w:trPr>
        <w:tc>
          <w:tcPr>
            <w:tcW w:w="1325" w:type="dxa"/>
            <w:shd w:val="clear" w:color="auto" w:fill="auto"/>
            <w:tcMar/>
            <w:hideMark/>
          </w:tcPr>
          <w:p w:rsidRPr="00D02A76" w:rsidR="00A1119B" w:rsidP="005E54E0" w:rsidRDefault="000E5539" w14:paraId="3E3A985F" w14:textId="225C5C31">
            <w:pPr>
              <w:spacing w:after="0" w:line="240" w:lineRule="auto"/>
              <w:jc w:val="right"/>
              <w:rPr>
                <w:rFonts w:ascii="Calibri" w:hAnsi="Calibri" w:eastAsia="Times New Roman" w:cs="Calibri"/>
                <w:color w:val="000000"/>
              </w:rPr>
            </w:pPr>
            <w:r>
              <w:rPr>
                <w:rFonts w:ascii="Calibri" w:hAnsi="Calibri" w:eastAsia="Times New Roman" w:cs="Calibri"/>
                <w:color w:val="000000"/>
              </w:rPr>
              <w:lastRenderedPageBreak/>
              <w:t>I.</w:t>
            </w:r>
            <w:r w:rsidRPr="00D02A76" w:rsidR="00A1119B">
              <w:rPr>
                <w:rFonts w:ascii="Calibri" w:hAnsi="Calibri" w:eastAsia="Times New Roman" w:cs="Calibri"/>
                <w:color w:val="000000"/>
              </w:rPr>
              <w:t>7</w:t>
            </w:r>
          </w:p>
        </w:tc>
        <w:tc>
          <w:tcPr>
            <w:tcW w:w="589" w:type="dxa"/>
            <w:shd w:val="clear" w:color="auto" w:fill="auto"/>
            <w:tcMar/>
            <w:hideMark/>
          </w:tcPr>
          <w:p w:rsidRPr="00D02A76" w:rsidR="00A1119B" w:rsidP="005E54E0" w:rsidRDefault="00A1119B" w14:paraId="7F51E5A8"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8</w:t>
            </w:r>
          </w:p>
        </w:tc>
        <w:tc>
          <w:tcPr>
            <w:tcW w:w="2798" w:type="dxa"/>
            <w:shd w:val="clear" w:color="auto" w:fill="auto"/>
            <w:tcMar/>
            <w:hideMark/>
          </w:tcPr>
          <w:p w:rsidRPr="00D02A76" w:rsidR="00A1119B" w:rsidP="005E54E0" w:rsidRDefault="00A1119B" w14:paraId="03E460A3"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Data availability and assessment of countries’ capacity</w:t>
            </w:r>
          </w:p>
        </w:tc>
        <w:tc>
          <w:tcPr>
            <w:tcW w:w="8243" w:type="dxa"/>
            <w:shd w:val="clear" w:color="auto" w:fill="auto"/>
            <w:tcMar/>
          </w:tcPr>
          <w:p w:rsidRPr="00D02A76" w:rsidR="004C1851" w:rsidP="005E54E0" w:rsidRDefault="004C1851" w14:paraId="6B5BF167" w14:textId="26D918C4">
            <w:pPr>
              <w:spacing w:after="0" w:line="240" w:lineRule="auto"/>
              <w:rPr>
                <w:rFonts w:ascii="Calibri" w:hAnsi="Calibri" w:eastAsia="Times New Roman" w:cs="Calibri"/>
                <w:color w:val="000000"/>
              </w:rPr>
            </w:pPr>
          </w:p>
        </w:tc>
      </w:tr>
      <w:tr w:rsidRPr="00D02A76" w:rsidR="00A1119B" w:rsidTr="5D7FE275" w14:paraId="32C72C0A" w14:textId="77777777">
        <w:trPr>
          <w:trHeight w:val="600"/>
        </w:trPr>
        <w:tc>
          <w:tcPr>
            <w:tcW w:w="1325" w:type="dxa"/>
            <w:shd w:val="clear" w:color="auto" w:fill="auto"/>
            <w:tcMar/>
            <w:hideMark/>
          </w:tcPr>
          <w:p w:rsidRPr="00D02A76" w:rsidR="00A1119B" w:rsidP="005E54E0" w:rsidRDefault="000E5539" w14:paraId="0C9C5D70" w14:textId="4C49977F">
            <w:pPr>
              <w:spacing w:after="0" w:line="240" w:lineRule="auto"/>
              <w:jc w:val="right"/>
              <w:rPr>
                <w:rFonts w:ascii="Calibri" w:hAnsi="Calibri" w:eastAsia="Times New Roman" w:cs="Calibri"/>
                <w:color w:val="000000"/>
              </w:rPr>
            </w:pPr>
            <w:r>
              <w:rPr>
                <w:rFonts w:ascii="Calibri" w:hAnsi="Calibri" w:eastAsia="Times New Roman" w:cs="Calibri"/>
                <w:color w:val="000000"/>
              </w:rPr>
              <w:t>I.</w:t>
            </w:r>
            <w:r w:rsidRPr="00D02A76" w:rsidR="00A1119B">
              <w:rPr>
                <w:rFonts w:ascii="Calibri" w:hAnsi="Calibri" w:eastAsia="Times New Roman" w:cs="Calibri"/>
                <w:color w:val="000000"/>
              </w:rPr>
              <w:t>7</w:t>
            </w:r>
          </w:p>
        </w:tc>
        <w:tc>
          <w:tcPr>
            <w:tcW w:w="589" w:type="dxa"/>
            <w:shd w:val="clear" w:color="auto" w:fill="auto"/>
            <w:tcMar/>
            <w:hideMark/>
          </w:tcPr>
          <w:p w:rsidRPr="00D02A76" w:rsidR="00A1119B" w:rsidP="005E54E0" w:rsidRDefault="00A1119B" w14:paraId="1073E45D" w14:textId="77777777">
            <w:pPr>
              <w:spacing w:after="0" w:line="240" w:lineRule="auto"/>
              <w:jc w:val="right"/>
              <w:rPr>
                <w:rFonts w:ascii="Calibri" w:hAnsi="Calibri" w:eastAsia="Times New Roman" w:cs="Calibri"/>
                <w:color w:val="000000"/>
              </w:rPr>
            </w:pPr>
            <w:r w:rsidRPr="00D02A76">
              <w:rPr>
                <w:rFonts w:ascii="Calibri" w:hAnsi="Calibri" w:eastAsia="Times New Roman" w:cs="Calibri"/>
                <w:color w:val="000000"/>
              </w:rPr>
              <w:t>9</w:t>
            </w:r>
          </w:p>
        </w:tc>
        <w:tc>
          <w:tcPr>
            <w:tcW w:w="2798" w:type="dxa"/>
            <w:shd w:val="clear" w:color="auto" w:fill="auto"/>
            <w:tcMar/>
            <w:hideMark/>
          </w:tcPr>
          <w:p w:rsidRPr="00D02A76" w:rsidR="00A1119B" w:rsidP="005E54E0" w:rsidRDefault="00A1119B" w14:paraId="490C78C2" w14:textId="77777777">
            <w:pPr>
              <w:spacing w:after="0" w:line="240" w:lineRule="auto"/>
              <w:rPr>
                <w:rFonts w:ascii="Calibri" w:hAnsi="Calibri" w:eastAsia="Times New Roman" w:cs="Calibri"/>
                <w:color w:val="000000"/>
              </w:rPr>
            </w:pPr>
            <w:r w:rsidRPr="00D02A76">
              <w:rPr>
                <w:rFonts w:ascii="Calibri" w:hAnsi="Calibri" w:eastAsia="Times New Roman" w:cs="Calibri"/>
                <w:color w:val="000000"/>
              </w:rPr>
              <w:t>Expected time of release</w:t>
            </w:r>
          </w:p>
        </w:tc>
        <w:tc>
          <w:tcPr>
            <w:tcW w:w="8243" w:type="dxa"/>
            <w:shd w:val="clear" w:color="auto" w:fill="auto"/>
            <w:tcMar/>
          </w:tcPr>
          <w:p w:rsidRPr="00D02A76" w:rsidR="004C1851" w:rsidP="005E54E0" w:rsidRDefault="00C30795" w14:paraId="7E81946C" w14:textId="1FBDE541">
            <w:pPr>
              <w:spacing w:after="0" w:line="240" w:lineRule="auto"/>
              <w:rPr>
                <w:rFonts w:ascii="Calibri" w:hAnsi="Calibri" w:eastAsia="Times New Roman" w:cs="Calibri"/>
                <w:color w:val="000000"/>
              </w:rPr>
            </w:pPr>
            <w:r>
              <w:rPr>
                <w:rFonts w:ascii="Calibri" w:hAnsi="Calibri" w:eastAsia="Times New Roman" w:cs="Calibri"/>
                <w:color w:val="000000"/>
              </w:rPr>
              <w:t>continuous</w:t>
            </w:r>
          </w:p>
        </w:tc>
      </w:tr>
      <w:tr w:rsidRPr="00D02A76" w:rsidR="000E5539" w:rsidTr="5D7FE275" w14:paraId="69DA3B4C" w14:textId="77777777">
        <w:trPr>
          <w:trHeight w:val="600"/>
        </w:trPr>
        <w:tc>
          <w:tcPr>
            <w:tcW w:w="1325" w:type="dxa"/>
            <w:shd w:val="clear" w:color="auto" w:fill="auto"/>
            <w:tcMar/>
          </w:tcPr>
          <w:p w:rsidR="000E5539" w:rsidP="005E54E0" w:rsidRDefault="000E5539" w14:paraId="5842E24E" w14:textId="3E45B8DB">
            <w:pPr>
              <w:spacing w:after="0" w:line="240" w:lineRule="auto"/>
              <w:jc w:val="right"/>
              <w:rPr>
                <w:rFonts w:ascii="Calibri" w:hAnsi="Calibri" w:eastAsia="Times New Roman" w:cs="Calibri"/>
                <w:color w:val="000000"/>
              </w:rPr>
            </w:pPr>
            <w:r>
              <w:rPr>
                <w:rFonts w:ascii="Calibri" w:hAnsi="Calibri" w:eastAsia="Times New Roman" w:cs="Calibri"/>
                <w:color w:val="000000"/>
              </w:rPr>
              <w:t>I.7</w:t>
            </w:r>
          </w:p>
        </w:tc>
        <w:tc>
          <w:tcPr>
            <w:tcW w:w="589" w:type="dxa"/>
            <w:shd w:val="clear" w:color="auto" w:fill="auto"/>
            <w:tcMar/>
          </w:tcPr>
          <w:p w:rsidRPr="00D02A76" w:rsidR="000E5539" w:rsidP="005E54E0" w:rsidRDefault="000E5539" w14:paraId="18F09F4F" w14:textId="25FDEECD">
            <w:pPr>
              <w:spacing w:after="0" w:line="240" w:lineRule="auto"/>
              <w:jc w:val="right"/>
              <w:rPr>
                <w:rFonts w:ascii="Calibri" w:hAnsi="Calibri" w:eastAsia="Times New Roman" w:cs="Calibri"/>
                <w:color w:val="000000"/>
              </w:rPr>
            </w:pPr>
            <w:r>
              <w:rPr>
                <w:rFonts w:ascii="Calibri" w:hAnsi="Calibri" w:eastAsia="Times New Roman" w:cs="Calibri"/>
                <w:color w:val="000000"/>
              </w:rPr>
              <w:t>10</w:t>
            </w:r>
          </w:p>
        </w:tc>
        <w:tc>
          <w:tcPr>
            <w:tcW w:w="2798" w:type="dxa"/>
            <w:shd w:val="clear" w:color="auto" w:fill="auto"/>
            <w:tcMar/>
          </w:tcPr>
          <w:p w:rsidRPr="00D02A76" w:rsidR="000E5539" w:rsidP="005E54E0" w:rsidRDefault="000E5539" w14:paraId="621C4C6D" w14:textId="1BA6690B">
            <w:pPr>
              <w:spacing w:after="0" w:line="240" w:lineRule="auto"/>
              <w:rPr>
                <w:rFonts w:ascii="Calibri" w:hAnsi="Calibri" w:eastAsia="Times New Roman" w:cs="Calibri"/>
                <w:color w:val="000000"/>
              </w:rPr>
            </w:pPr>
            <w:r>
              <w:rPr>
                <w:rFonts w:ascii="Calibri" w:hAnsi="Calibri" w:eastAsia="Times New Roman" w:cs="Calibri"/>
                <w:color w:val="000000"/>
              </w:rPr>
              <w:t>Data source</w:t>
            </w:r>
          </w:p>
        </w:tc>
        <w:tc>
          <w:tcPr>
            <w:tcW w:w="8243" w:type="dxa"/>
            <w:shd w:val="clear" w:color="auto" w:fill="auto"/>
            <w:tcMar/>
          </w:tcPr>
          <w:p w:rsidRPr="00751DA9" w:rsidR="00751DA9" w:rsidP="00751DA9" w:rsidRDefault="00751DA9" w14:paraId="2158CD00" w14:textId="6B8F4F91">
            <w:pPr>
              <w:spacing w:after="0" w:line="240" w:lineRule="auto"/>
              <w:rPr>
                <w:rFonts w:ascii="Calibri" w:hAnsi="Calibri" w:eastAsia="Times New Roman" w:cs="Calibri"/>
                <w:color w:val="000000"/>
              </w:rPr>
            </w:pPr>
            <w:r w:rsidRPr="00751DA9">
              <w:rPr>
                <w:rFonts w:ascii="Calibri" w:hAnsi="Calibri" w:eastAsia="Times New Roman" w:cs="Calibri"/>
                <w:color w:val="000000"/>
              </w:rPr>
              <w:t xml:space="preserve">Data and metadata were extracted from Global SDG Indicators Database on </w:t>
            </w:r>
            <w:r w:rsidR="00DD2FE2">
              <w:rPr>
                <w:rFonts w:ascii="Calibri" w:hAnsi="Calibri" w:eastAsia="Times New Roman" w:cs="Calibri"/>
                <w:color w:val="000000"/>
              </w:rPr>
              <w:t>8</w:t>
            </w:r>
            <w:r w:rsidRPr="00751DA9">
              <w:rPr>
                <w:rFonts w:ascii="Calibri" w:hAnsi="Calibri" w:eastAsia="Times New Roman" w:cs="Calibri"/>
                <w:color w:val="000000"/>
              </w:rPr>
              <w:t xml:space="preserve"> </w:t>
            </w:r>
            <w:r w:rsidR="00DD2FE2">
              <w:rPr>
                <w:rFonts w:ascii="Calibri" w:hAnsi="Calibri" w:eastAsia="Times New Roman" w:cs="Calibri"/>
                <w:color w:val="000000"/>
              </w:rPr>
              <w:t>July</w:t>
            </w:r>
            <w:r w:rsidRPr="00751DA9">
              <w:rPr>
                <w:rFonts w:ascii="Calibri" w:hAnsi="Calibri" w:eastAsia="Times New Roman" w:cs="Calibri"/>
                <w:color w:val="000000"/>
              </w:rPr>
              <w:t xml:space="preserve"> 2021. </w:t>
            </w:r>
          </w:p>
          <w:p w:rsidRPr="00751DA9" w:rsidR="00751DA9" w:rsidP="00751DA9" w:rsidRDefault="00751DA9" w14:paraId="680F0E18" w14:textId="77777777">
            <w:pPr>
              <w:spacing w:after="0" w:line="240" w:lineRule="auto"/>
              <w:rPr>
                <w:rFonts w:ascii="Calibri" w:hAnsi="Calibri" w:eastAsia="Times New Roman" w:cs="Calibri"/>
                <w:color w:val="000000"/>
              </w:rPr>
            </w:pPr>
          </w:p>
          <w:p w:rsidRPr="00751DA9" w:rsidR="00751DA9" w:rsidP="00751DA9" w:rsidRDefault="00751DA9" w14:paraId="249C8B42" w14:textId="4CD08A0F">
            <w:pPr>
              <w:spacing w:after="0" w:line="240" w:lineRule="auto"/>
              <w:rPr>
                <w:rFonts w:ascii="Calibri" w:hAnsi="Calibri" w:eastAsia="Times New Roman" w:cs="Calibri"/>
                <w:color w:val="000000"/>
              </w:rPr>
            </w:pPr>
            <w:r w:rsidRPr="00751DA9">
              <w:rPr>
                <w:rFonts w:ascii="Calibri" w:hAnsi="Calibri" w:eastAsia="Times New Roman" w:cs="Calibri"/>
                <w:color w:val="000000"/>
              </w:rPr>
              <w:t>For more information, please go to the following:</w:t>
            </w:r>
          </w:p>
          <w:p w:rsidR="00DD2FE2" w:rsidP="00DD2FE2" w:rsidRDefault="00751DA9" w14:paraId="06493682" w14:textId="1304FF15">
            <w:pPr>
              <w:pStyle w:val="ListParagraph"/>
              <w:numPr>
                <w:ilvl w:val="0"/>
                <w:numId w:val="1"/>
              </w:numPr>
              <w:spacing w:after="0" w:line="240" w:lineRule="auto"/>
              <w:rPr>
                <w:rFonts w:ascii="Calibri" w:hAnsi="Calibri" w:eastAsia="Times New Roman" w:cs="Calibri"/>
                <w:color w:val="000000"/>
              </w:rPr>
            </w:pPr>
            <w:r w:rsidRPr="5D7FE275" w:rsidR="18C364C4">
              <w:rPr>
                <w:rFonts w:ascii="Calibri" w:hAnsi="Calibri" w:eastAsia="Times New Roman" w:cs="Calibri"/>
                <w:color w:val="000000" w:themeColor="text1" w:themeTint="FF" w:themeShade="FF"/>
              </w:rPr>
              <w:t>[</w:t>
            </w:r>
            <w:r w:rsidRPr="5D7FE275" w:rsidR="00751DA9">
              <w:rPr>
                <w:rFonts w:ascii="Calibri" w:hAnsi="Calibri" w:eastAsia="Times New Roman" w:cs="Calibri"/>
                <w:color w:val="000000" w:themeColor="text1" w:themeTint="FF" w:themeShade="FF"/>
              </w:rPr>
              <w:t>https://unstats.un.org/sdgs/indicators/database/</w:t>
            </w:r>
            <w:r w:rsidRPr="5D7FE275" w:rsidR="38E9B4B0">
              <w:rPr>
                <w:rFonts w:ascii="Calibri" w:hAnsi="Calibri" w:eastAsia="Times New Roman" w:cs="Calibri"/>
                <w:color w:val="000000" w:themeColor="text1" w:themeTint="FF" w:themeShade="FF"/>
              </w:rPr>
              <w:t>](https://unstats.un.org/sdgs/indicators/database/)</w:t>
            </w:r>
          </w:p>
          <w:p w:rsidR="000E5539" w:rsidP="00DD2FE2" w:rsidRDefault="00DD2FE2" w14:paraId="2276C2A9" w14:textId="36F57821">
            <w:pPr>
              <w:pStyle w:val="ListParagraph"/>
              <w:numPr>
                <w:ilvl w:val="0"/>
                <w:numId w:val="1"/>
              </w:numPr>
              <w:spacing w:after="0" w:line="240" w:lineRule="auto"/>
              <w:rPr>
                <w:rFonts w:ascii="Calibri" w:hAnsi="Calibri" w:eastAsia="Times New Roman" w:cs="Calibri"/>
                <w:color w:val="000000"/>
              </w:rPr>
            </w:pPr>
            <w:r w:rsidRPr="5D7FE275" w:rsidR="38E9B4B0">
              <w:rPr>
                <w:rFonts w:ascii="Calibri" w:hAnsi="Calibri" w:eastAsia="Times New Roman" w:cs="Calibri"/>
              </w:rPr>
              <w:t>[</w:t>
            </w:r>
            <w:hyperlink r:id="R0f9f24533d824301">
              <w:r w:rsidRPr="5D7FE275" w:rsidR="00DD2FE2">
                <w:rPr>
                  <w:rStyle w:val="Hyperlink"/>
                  <w:rFonts w:ascii="Calibri" w:hAnsi="Calibri" w:eastAsia="Times New Roman" w:cs="Calibri"/>
                </w:rPr>
                <w:t>https://unstats.un.org/sdgs/metadata/files/Metadata-08-06-01.pdf</w:t>
              </w:r>
              <w:r w:rsidRPr="5D7FE275" w:rsidR="5F47E7E9">
                <w:rPr>
                  <w:rStyle w:val="Hyperlink"/>
                  <w:rFonts w:ascii="Calibri" w:hAnsi="Calibri" w:eastAsia="Times New Roman" w:cs="Calibri"/>
                </w:rPr>
                <w:t>](</w:t>
              </w:r>
            </w:hyperlink>
            <w:hyperlink r:id="Rcfae0d8ff4814a73">
              <w:r w:rsidRPr="5D7FE275" w:rsidR="5F47E7E9">
                <w:rPr>
                  <w:rStyle w:val="Hyperlink"/>
                  <w:rFonts w:ascii="Calibri" w:hAnsi="Calibri" w:eastAsia="Times New Roman" w:cs="Calibri"/>
                </w:rPr>
                <w:t>https://unstats.un.org/sdgs/metadata/files/Metadata-08-06-01.pdf)</w:t>
              </w:r>
            </w:hyperlink>
          </w:p>
          <w:p w:rsidRPr="00DD2FE2" w:rsidR="00DD2FE2" w:rsidP="00DD2FE2" w:rsidRDefault="00DD2FE2" w14:paraId="72ACCA4F" w14:textId="1311870D">
            <w:pPr>
              <w:pStyle w:val="ListParagraph"/>
              <w:spacing w:after="0" w:line="240" w:lineRule="auto"/>
              <w:rPr>
                <w:rFonts w:ascii="Calibri" w:hAnsi="Calibri" w:eastAsia="Times New Roman" w:cs="Calibri"/>
                <w:color w:val="000000"/>
              </w:rPr>
            </w:pPr>
          </w:p>
        </w:tc>
      </w:tr>
    </w:tbl>
    <w:p w:rsidR="00CA7C96" w:rsidRDefault="00CA7C96" w14:paraId="7A128EB9" w14:textId="77777777"/>
    <w:sectPr w:rsidR="00CA7C96" w:rsidSect="00A1119B">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E94A58"/>
    <w:multiLevelType w:val="hybridMultilevel"/>
    <w:tmpl w:val="94C8375A"/>
    <w:lvl w:ilvl="0" w:tplc="9566DCC8">
      <w:numFmt w:val="bullet"/>
      <w:lvlText w:val="-"/>
      <w:lvlJc w:val="left"/>
      <w:pPr>
        <w:ind w:left="720" w:hanging="360"/>
      </w:pPr>
      <w:rPr>
        <w:rFonts w:hint="default" w:ascii="Calibri" w:hAnsi="Calibri" w:eastAsia="Times New Roman" w:cs="Calibr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19B"/>
    <w:rsid w:val="0000739B"/>
    <w:rsid w:val="000E5539"/>
    <w:rsid w:val="00194C5D"/>
    <w:rsid w:val="001C6D31"/>
    <w:rsid w:val="001F5BFA"/>
    <w:rsid w:val="002A333E"/>
    <w:rsid w:val="002E1BD4"/>
    <w:rsid w:val="004C1851"/>
    <w:rsid w:val="00630CCF"/>
    <w:rsid w:val="00687C31"/>
    <w:rsid w:val="00751DA9"/>
    <w:rsid w:val="00786C68"/>
    <w:rsid w:val="00812FD9"/>
    <w:rsid w:val="00850077"/>
    <w:rsid w:val="0086358A"/>
    <w:rsid w:val="0091630E"/>
    <w:rsid w:val="009E57EB"/>
    <w:rsid w:val="00A1119B"/>
    <w:rsid w:val="00A131E6"/>
    <w:rsid w:val="00A64800"/>
    <w:rsid w:val="00B41C33"/>
    <w:rsid w:val="00B5580D"/>
    <w:rsid w:val="00B631D5"/>
    <w:rsid w:val="00B7099B"/>
    <w:rsid w:val="00C30795"/>
    <w:rsid w:val="00C650E0"/>
    <w:rsid w:val="00CA7C96"/>
    <w:rsid w:val="00DD2FE2"/>
    <w:rsid w:val="00DD4671"/>
    <w:rsid w:val="00E25607"/>
    <w:rsid w:val="00EB6747"/>
    <w:rsid w:val="00F34FEA"/>
    <w:rsid w:val="00F61688"/>
    <w:rsid w:val="00FB36FC"/>
    <w:rsid w:val="060EABFE"/>
    <w:rsid w:val="0B7FD950"/>
    <w:rsid w:val="0C9020B2"/>
    <w:rsid w:val="0D9D813E"/>
    <w:rsid w:val="0EA4D5F0"/>
    <w:rsid w:val="1438ECF0"/>
    <w:rsid w:val="15C58D55"/>
    <w:rsid w:val="17D4C6C6"/>
    <w:rsid w:val="18C364C4"/>
    <w:rsid w:val="19557B5D"/>
    <w:rsid w:val="1B548C0A"/>
    <w:rsid w:val="1E4FF4A0"/>
    <w:rsid w:val="1F35D7D0"/>
    <w:rsid w:val="21B20D00"/>
    <w:rsid w:val="23C447BD"/>
    <w:rsid w:val="24988DF1"/>
    <w:rsid w:val="256F4E8F"/>
    <w:rsid w:val="27D51609"/>
    <w:rsid w:val="2CFB4D0B"/>
    <w:rsid w:val="2D364FB9"/>
    <w:rsid w:val="2E0EEE1A"/>
    <w:rsid w:val="30CE0B5B"/>
    <w:rsid w:val="31039304"/>
    <w:rsid w:val="3683991D"/>
    <w:rsid w:val="36A71A15"/>
    <w:rsid w:val="38E9B4B0"/>
    <w:rsid w:val="3AA497A4"/>
    <w:rsid w:val="3AF65847"/>
    <w:rsid w:val="3EC2909A"/>
    <w:rsid w:val="3EC47C6E"/>
    <w:rsid w:val="3F4ACB8A"/>
    <w:rsid w:val="413CF39A"/>
    <w:rsid w:val="41840744"/>
    <w:rsid w:val="4305BD6F"/>
    <w:rsid w:val="4B32F091"/>
    <w:rsid w:val="4B5BD818"/>
    <w:rsid w:val="50CACAEE"/>
    <w:rsid w:val="5372C771"/>
    <w:rsid w:val="55265671"/>
    <w:rsid w:val="564B89D6"/>
    <w:rsid w:val="5A15B2B3"/>
    <w:rsid w:val="5A51B3F5"/>
    <w:rsid w:val="5CBDE04E"/>
    <w:rsid w:val="5D7FE275"/>
    <w:rsid w:val="5F47E7E9"/>
    <w:rsid w:val="61DA6EBB"/>
    <w:rsid w:val="659B0D1B"/>
    <w:rsid w:val="66331385"/>
    <w:rsid w:val="66F11857"/>
    <w:rsid w:val="6B11C1F1"/>
    <w:rsid w:val="6D6EF0A9"/>
    <w:rsid w:val="707212EB"/>
    <w:rsid w:val="749C2764"/>
    <w:rsid w:val="75BF582E"/>
    <w:rsid w:val="76D8A94F"/>
    <w:rsid w:val="78C86AC0"/>
    <w:rsid w:val="7AFFAF88"/>
    <w:rsid w:val="7D71AAA2"/>
    <w:rsid w:val="7FF032B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2EE08"/>
  <w15:chartTrackingRefBased/>
  <w15:docId w15:val="{780C2FFB-49C0-4F60-A784-D81EC34F8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EastAsia"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1119B"/>
    <w:rPr>
      <w:rFonts w:eastAsiaTheme="minorHAnsi"/>
      <w:lang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normaltextrun" w:customStyle="1">
    <w:name w:val="normaltextrun"/>
    <w:basedOn w:val="DefaultParagraphFont"/>
    <w:rsid w:val="00A1119B"/>
  </w:style>
  <w:style w:type="character" w:styleId="eop" w:customStyle="1">
    <w:name w:val="eop"/>
    <w:basedOn w:val="DefaultParagraphFont"/>
    <w:rsid w:val="00A1119B"/>
  </w:style>
  <w:style w:type="character" w:styleId="Hyperlink">
    <w:name w:val="Hyperlink"/>
    <w:basedOn w:val="DefaultParagraphFont"/>
    <w:uiPriority w:val="99"/>
    <w:unhideWhenUsed/>
    <w:rsid w:val="00194C5D"/>
    <w:rPr>
      <w:color w:val="0563C1" w:themeColor="hyperlink"/>
      <w:u w:val="single"/>
    </w:rPr>
  </w:style>
  <w:style w:type="character" w:styleId="UnresolvedMention">
    <w:name w:val="Unresolved Mention"/>
    <w:basedOn w:val="DefaultParagraphFont"/>
    <w:uiPriority w:val="99"/>
    <w:semiHidden/>
    <w:unhideWhenUsed/>
    <w:rsid w:val="00194C5D"/>
    <w:rPr>
      <w:color w:val="605E5C"/>
      <w:shd w:val="clear" w:color="auto" w:fill="E1DFDD"/>
    </w:rPr>
  </w:style>
  <w:style w:type="character" w:styleId="PlaceholderText">
    <w:name w:val="Placeholder Text"/>
    <w:basedOn w:val="DefaultParagraphFont"/>
    <w:uiPriority w:val="99"/>
    <w:semiHidden/>
    <w:rsid w:val="00850077"/>
    <w:rPr>
      <w:color w:val="808080"/>
    </w:rPr>
  </w:style>
  <w:style w:type="paragraph" w:styleId="ListParagraph">
    <w:name w:val="List Paragraph"/>
    <w:basedOn w:val="Normal"/>
    <w:uiPriority w:val="34"/>
    <w:qFormat/>
    <w:rsid w:val="00DD2F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543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customXml" Target="../customXml/item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customXml" Target="../customXml/item2.xml" Id="rId11" /><Relationship Type="http://schemas.openxmlformats.org/officeDocument/2006/relationships/customXml" Target="../customXml/item1.xml" Id="rId10"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yperlink" Target="mailto:kapsos@ilo.org" TargetMode="External" Id="R4736b0cb45824bdf" /><Relationship Type="http://schemas.openxmlformats.org/officeDocument/2006/relationships/hyperlink" Target="http://www.ilo.org/ilostat" TargetMode="External" Id="R35819300e59e4661" /><Relationship Type="http://schemas.openxmlformats.org/officeDocument/2006/relationships/hyperlink" Target="http://www.ilo.org/ilostat" TargetMode="External" Id="R085dd159a5494c8e" /><Relationship Type="http://schemas.openxmlformats.org/officeDocument/2006/relationships/hyperlink" Target="https://unstats.un.org/sdgs/metadata/files/Metadata-08-06-01.pdf](" TargetMode="External" Id="R0f9f24533d824301" /><Relationship Type="http://schemas.openxmlformats.org/officeDocument/2006/relationships/hyperlink" Target="https://unstats.un.org/sdgs/metadata/files/Metadata-08-06-01.pdf" TargetMode="External" Id="Rcfae0d8ff4814a7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Props1.xml><?xml version="1.0" encoding="utf-8"?>
<ds:datastoreItem xmlns:ds="http://schemas.openxmlformats.org/officeDocument/2006/customXml" ds:itemID="{64C9D013-63DF-4856-AC23-585E565C3294}"/>
</file>

<file path=customXml/itemProps2.xml><?xml version="1.0" encoding="utf-8"?>
<ds:datastoreItem xmlns:ds="http://schemas.openxmlformats.org/officeDocument/2006/customXml" ds:itemID="{400E443A-E1EE-4A50-A70D-3B62CEA436EC}"/>
</file>

<file path=customXml/itemProps3.xml><?xml version="1.0" encoding="utf-8"?>
<ds:datastoreItem xmlns:ds="http://schemas.openxmlformats.org/officeDocument/2006/customXml" ds:itemID="{010E9BCF-022D-44FF-9ECB-E34017F21A3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Lingyan Hu</dc:creator>
  <keywords/>
  <dc:description/>
  <lastModifiedBy>Madita Schulte</lastModifiedBy>
  <revision>25</revision>
  <dcterms:created xsi:type="dcterms:W3CDTF">2021-08-31T21:25:00.0000000Z</dcterms:created>
  <dcterms:modified xsi:type="dcterms:W3CDTF">2021-09-08T07:38:24.6653541Z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