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865"/>
        <w:gridCol w:w="2195"/>
        <w:gridCol w:w="5995"/>
      </w:tblGrid>
      <w:tr w:rsidR="008911D7" w:rsidRPr="005E1907" w14:paraId="65149AA4" w14:textId="77777777" w:rsidTr="51745D35">
        <w:trPr>
          <w:trHeight w:val="96"/>
        </w:trPr>
        <w:tc>
          <w:tcPr>
            <w:tcW w:w="715" w:type="dxa"/>
            <w:shd w:val="clear" w:color="auto" w:fill="auto"/>
          </w:tcPr>
          <w:p w14:paraId="6A5F1F37" w14:textId="0EB371AD" w:rsidR="008911D7" w:rsidRPr="00225845" w:rsidRDefault="008911D7" w:rsidP="008911D7">
            <w:pPr>
              <w:rPr>
                <w:lang w:val="en-US"/>
              </w:rPr>
            </w:pPr>
            <w:r>
              <w:rPr>
                <w:lang w:val="en-US"/>
              </w:rPr>
              <w:t>INDICATOR_NUM</w:t>
            </w:r>
          </w:p>
        </w:tc>
        <w:tc>
          <w:tcPr>
            <w:tcW w:w="865" w:type="dxa"/>
            <w:shd w:val="clear" w:color="auto" w:fill="auto"/>
          </w:tcPr>
          <w:p w14:paraId="5E3D6409" w14:textId="4E596C16" w:rsidR="008911D7" w:rsidRDefault="008911D7" w:rsidP="008911D7">
            <w:pPr>
              <w:rPr>
                <w:lang w:val="en-US"/>
              </w:rPr>
            </w:pPr>
            <w:r>
              <w:rPr>
                <w:lang w:val="en-US"/>
              </w:rPr>
              <w:t>METADATA_CATEGORY</w:t>
            </w:r>
          </w:p>
        </w:tc>
        <w:tc>
          <w:tcPr>
            <w:tcW w:w="2195" w:type="dxa"/>
            <w:shd w:val="clear" w:color="auto" w:fill="auto"/>
          </w:tcPr>
          <w:p w14:paraId="74338C0D" w14:textId="1DBF6BB6" w:rsidR="008911D7" w:rsidRDefault="008911D7" w:rsidP="0C06129D">
            <w:pPr>
              <w:rPr>
                <w:rStyle w:val="normaltextrun"/>
                <w:rFonts w:ascii="Calibri" w:hAnsi="Calibri" w:cs="Calibri"/>
                <w:color w:val="000000"/>
                <w:shd w:val="clear" w:color="auto" w:fill="FFFFFF"/>
              </w:rPr>
            </w:pPr>
            <w:r w:rsidRPr="0C06129D">
              <w:rPr>
                <w:rStyle w:val="normaltextrun"/>
                <w:rFonts w:ascii="Calibri" w:hAnsi="Calibri" w:cs="Calibri"/>
                <w:color w:val="000000"/>
                <w:shd w:val="clear" w:color="auto" w:fill="FFFFFF"/>
              </w:rPr>
              <w:t>METADATA_CATEGORY_DESC</w:t>
            </w:r>
          </w:p>
        </w:tc>
        <w:tc>
          <w:tcPr>
            <w:tcW w:w="5995" w:type="dxa"/>
            <w:shd w:val="clear" w:color="auto" w:fill="auto"/>
          </w:tcPr>
          <w:p w14:paraId="7890C64E" w14:textId="7C0EB437" w:rsidR="008911D7" w:rsidRPr="005E1907" w:rsidRDefault="008911D7" w:rsidP="008911D7">
            <w:pPr>
              <w:spacing w:after="0"/>
              <w:rPr>
                <w:lang w:val="en-US"/>
              </w:rPr>
            </w:pPr>
            <w:r>
              <w:rPr>
                <w:lang w:val="en-US"/>
              </w:rPr>
              <w:t>METADATA_DESCRIPTION</w:t>
            </w:r>
          </w:p>
        </w:tc>
      </w:tr>
      <w:tr w:rsidR="008911D7" w:rsidRPr="005E1907" w14:paraId="5BFDE3FE" w14:textId="77777777" w:rsidTr="51745D35">
        <w:trPr>
          <w:trHeight w:val="1610"/>
        </w:trPr>
        <w:tc>
          <w:tcPr>
            <w:tcW w:w="715" w:type="dxa"/>
            <w:shd w:val="clear" w:color="auto" w:fill="auto"/>
          </w:tcPr>
          <w:p w14:paraId="3B10E9AF" w14:textId="3310B669" w:rsidR="008911D7" w:rsidRPr="005E1907" w:rsidRDefault="008911D7" w:rsidP="008911D7">
            <w:pPr>
              <w:rPr>
                <w:lang w:val="en-US"/>
              </w:rPr>
            </w:pPr>
            <w:r w:rsidRPr="00225845">
              <w:rPr>
                <w:lang w:val="en-US"/>
              </w:rPr>
              <w:t>V.3</w:t>
            </w:r>
          </w:p>
        </w:tc>
        <w:tc>
          <w:tcPr>
            <w:tcW w:w="865" w:type="dxa"/>
            <w:shd w:val="clear" w:color="auto" w:fill="auto"/>
          </w:tcPr>
          <w:p w14:paraId="12E1A60F" w14:textId="1E00C57E" w:rsidR="008911D7" w:rsidRPr="005E1907" w:rsidRDefault="008911D7" w:rsidP="008911D7">
            <w:pPr>
              <w:rPr>
                <w:lang w:val="en-US"/>
              </w:rPr>
            </w:pPr>
            <w:r>
              <w:rPr>
                <w:lang w:val="en-US"/>
              </w:rPr>
              <w:t>1</w:t>
            </w:r>
          </w:p>
        </w:tc>
        <w:tc>
          <w:tcPr>
            <w:tcW w:w="2195" w:type="dxa"/>
            <w:shd w:val="clear" w:color="auto" w:fill="auto"/>
          </w:tcPr>
          <w:p w14:paraId="75AC4BDD" w14:textId="1EA546B2" w:rsidR="008911D7" w:rsidRPr="005E1907" w:rsidRDefault="008911D7" w:rsidP="51745D35">
            <w:pPr>
              <w:rPr>
                <w:lang w:val="en-US"/>
              </w:rPr>
            </w:pPr>
            <w:r w:rsidRPr="51745D35">
              <w:rPr>
                <w:rStyle w:val="normaltextrun"/>
                <w:rFonts w:ascii="Calibri" w:hAnsi="Calibri" w:cs="Calibri"/>
                <w:color w:val="000000"/>
                <w:shd w:val="clear" w:color="auto" w:fill="FFFFFF"/>
              </w:rPr>
              <w:t>Contact point in international agency</w:t>
            </w:r>
            <w:r w:rsidRPr="51745D35">
              <w:rPr>
                <w:rStyle w:val="eop"/>
                <w:rFonts w:ascii="Calibri" w:hAnsi="Calibri" w:cs="Calibri"/>
                <w:color w:val="000000"/>
                <w:shd w:val="clear" w:color="auto" w:fill="FFFFFF"/>
              </w:rPr>
              <w:t> </w:t>
            </w:r>
          </w:p>
        </w:tc>
        <w:tc>
          <w:tcPr>
            <w:tcW w:w="5995" w:type="dxa"/>
            <w:shd w:val="clear" w:color="auto" w:fill="auto"/>
          </w:tcPr>
          <w:p w14:paraId="134A9001" w14:textId="77777777" w:rsidR="008911D7" w:rsidRPr="008911D7" w:rsidRDefault="008911D7" w:rsidP="008911D7">
            <w:pPr>
              <w:spacing w:after="0"/>
              <w:rPr>
                <w:lang w:val="en-US"/>
              </w:rPr>
            </w:pPr>
            <w:r w:rsidRPr="008911D7">
              <w:rPr>
                <w:lang w:val="en-US"/>
              </w:rPr>
              <w:t>Claudia Cappa</w:t>
            </w:r>
          </w:p>
          <w:p w14:paraId="7C7545E8" w14:textId="01640150" w:rsidR="008911D7" w:rsidRPr="008911D7" w:rsidRDefault="008911D7" w:rsidP="008911D7">
            <w:pPr>
              <w:spacing w:after="0"/>
              <w:rPr>
                <w:lang w:val="en-US"/>
              </w:rPr>
            </w:pPr>
            <w:r w:rsidRPr="008911D7">
              <w:rPr>
                <w:lang w:val="en-US"/>
              </w:rPr>
              <w:t>Senior Adviser, Statistics, Child Protection and Development</w:t>
            </w:r>
          </w:p>
          <w:p w14:paraId="3A07D722" w14:textId="5A780768" w:rsidR="008911D7" w:rsidRPr="008911D7" w:rsidRDefault="008911D7" w:rsidP="51745D35">
            <w:pPr>
              <w:spacing w:after="0"/>
              <w:rPr>
                <w:lang w:val="en-US"/>
              </w:rPr>
            </w:pPr>
            <w:r w:rsidRPr="51745D35">
              <w:rPr>
                <w:lang w:val="en-US"/>
              </w:rPr>
              <w:t>UNICEF</w:t>
            </w:r>
            <w:r>
              <w:br/>
            </w:r>
            <w:r w:rsidR="7809102E" w:rsidRPr="51745D35">
              <w:rPr>
                <w:lang w:val="en-US"/>
              </w:rPr>
              <w:t>[</w:t>
            </w:r>
            <w:r w:rsidRPr="001212CA">
              <w:rPr>
                <w:lang w:val="en-US"/>
              </w:rPr>
              <w:t>ccappa@unicef.org</w:t>
            </w:r>
            <w:r w:rsidR="75103544" w:rsidRPr="001212CA">
              <w:rPr>
                <w:lang w:val="en-US"/>
              </w:rPr>
              <w:t>](</w:t>
            </w:r>
            <w:r w:rsidR="7725DBA2" w:rsidRPr="001212CA">
              <w:rPr>
                <w:lang w:val="en-US"/>
              </w:rPr>
              <w:t>mailto:</w:t>
            </w:r>
            <w:r w:rsidR="75103544" w:rsidRPr="001212CA">
              <w:rPr>
                <w:lang w:val="en-US"/>
              </w:rPr>
              <w:t>ccappa@unicef.org)</w:t>
            </w:r>
          </w:p>
          <w:p w14:paraId="6DE742E3" w14:textId="284ADB4D" w:rsidR="008911D7" w:rsidRPr="008911D7" w:rsidRDefault="75103544" w:rsidP="51745D35">
            <w:pPr>
              <w:spacing w:after="0"/>
              <w:rPr>
                <w:lang w:val="en-US"/>
              </w:rPr>
            </w:pPr>
            <w:r w:rsidRPr="51745D35">
              <w:rPr>
                <w:lang w:val="en-US"/>
              </w:rPr>
              <w:t>[</w:t>
            </w:r>
            <w:r w:rsidR="652103C8" w:rsidRPr="51745D35">
              <w:rPr>
                <w:lang w:val="en-US"/>
              </w:rPr>
              <w:t>d</w:t>
            </w:r>
            <w:r w:rsidR="008911D7" w:rsidRPr="51745D35">
              <w:rPr>
                <w:lang w:val="en-US"/>
              </w:rPr>
              <w:t>ata.unicef.org</w:t>
            </w:r>
            <w:r w:rsidR="08516265" w:rsidRPr="51745D35">
              <w:rPr>
                <w:lang w:val="en-US"/>
              </w:rPr>
              <w:t>](data.unicef.org)</w:t>
            </w:r>
          </w:p>
        </w:tc>
      </w:tr>
      <w:tr w:rsidR="008911D7" w:rsidRPr="007C160B" w14:paraId="3F594D5C" w14:textId="77777777" w:rsidTr="51745D35">
        <w:trPr>
          <w:trHeight w:val="3950"/>
        </w:trPr>
        <w:tc>
          <w:tcPr>
            <w:tcW w:w="715" w:type="dxa"/>
            <w:shd w:val="clear" w:color="auto" w:fill="auto"/>
            <w:hideMark/>
          </w:tcPr>
          <w:p w14:paraId="6401B25F" w14:textId="6BDC1475" w:rsidR="008911D7" w:rsidRPr="007C160B" w:rsidRDefault="008911D7" w:rsidP="008911D7">
            <w:pPr>
              <w:rPr>
                <w:lang w:val="en-US"/>
              </w:rPr>
            </w:pPr>
            <w:r w:rsidRPr="00225845">
              <w:rPr>
                <w:lang w:val="en-US"/>
              </w:rPr>
              <w:t>V.3</w:t>
            </w:r>
          </w:p>
        </w:tc>
        <w:tc>
          <w:tcPr>
            <w:tcW w:w="865" w:type="dxa"/>
            <w:shd w:val="clear" w:color="auto" w:fill="auto"/>
            <w:hideMark/>
          </w:tcPr>
          <w:p w14:paraId="3024C05A" w14:textId="77777777" w:rsidR="008911D7" w:rsidRPr="007C160B" w:rsidRDefault="008911D7" w:rsidP="008911D7">
            <w:pPr>
              <w:rPr>
                <w:lang w:val="en-US"/>
              </w:rPr>
            </w:pPr>
            <w:r w:rsidRPr="007C160B">
              <w:rPr>
                <w:lang w:val="en-US"/>
              </w:rPr>
              <w:t>2</w:t>
            </w:r>
          </w:p>
        </w:tc>
        <w:tc>
          <w:tcPr>
            <w:tcW w:w="2195" w:type="dxa"/>
            <w:shd w:val="clear" w:color="auto" w:fill="auto"/>
            <w:hideMark/>
          </w:tcPr>
          <w:p w14:paraId="0CF40E5F" w14:textId="77777777" w:rsidR="008911D7" w:rsidRPr="007C160B" w:rsidRDefault="008911D7" w:rsidP="51745D35">
            <w:pPr>
              <w:rPr>
                <w:lang w:val="en-US"/>
              </w:rPr>
            </w:pPr>
            <w:r w:rsidRPr="51745D35">
              <w:rPr>
                <w:lang w:val="en-US"/>
              </w:rPr>
              <w:t>International agreed definition</w:t>
            </w:r>
          </w:p>
        </w:tc>
        <w:tc>
          <w:tcPr>
            <w:tcW w:w="5995" w:type="dxa"/>
            <w:shd w:val="clear" w:color="auto" w:fill="auto"/>
          </w:tcPr>
          <w:p w14:paraId="03838479" w14:textId="6F0BD522" w:rsidR="008911D7" w:rsidRDefault="65940461" w:rsidP="008911D7">
            <w:pPr>
              <w:rPr>
                <w:lang w:val="en-US"/>
              </w:rPr>
            </w:pPr>
            <w:r w:rsidRPr="51745D35">
              <w:rPr>
                <w:lang w:val="en-US"/>
              </w:rPr>
              <w:t>**</w:t>
            </w:r>
            <w:r w:rsidR="008911D7" w:rsidRPr="51745D35">
              <w:rPr>
                <w:lang w:val="en-US"/>
              </w:rPr>
              <w:t>Definition</w:t>
            </w:r>
            <w:r w:rsidR="7DE8ADC2" w:rsidRPr="51745D35">
              <w:rPr>
                <w:lang w:val="en-US"/>
              </w:rPr>
              <w:t>**</w:t>
            </w:r>
            <w:r w:rsidR="008911D7">
              <w:br/>
            </w:r>
            <w:r w:rsidR="008911D7" w:rsidRPr="51745D35">
              <w:rPr>
                <w:lang w:val="en-US"/>
              </w:rPr>
              <w:t>This indicator can be measured among smaller age groups, with the experience of younger women representing FGM/C that has occurred more recently and the experience of older women representing levels of the practice in the past. At the regional and global level, this indicator is currently being reported as the proportion of adolescent girls aged 15-19 years who have undergone female genital mutilation.</w:t>
            </w:r>
          </w:p>
          <w:p w14:paraId="6782FA5D" w14:textId="46923469" w:rsidR="0C06129D" w:rsidRDefault="0C06129D" w:rsidP="0C06129D">
            <w:pPr>
              <w:rPr>
                <w:lang w:val="en-US"/>
              </w:rPr>
            </w:pPr>
          </w:p>
          <w:p w14:paraId="09D8058B" w14:textId="7DB02937" w:rsidR="008911D7" w:rsidRPr="007C160B" w:rsidRDefault="19590BA1" w:rsidP="008911D7">
            <w:pPr>
              <w:rPr>
                <w:lang w:val="en-US"/>
              </w:rPr>
            </w:pPr>
            <w:r w:rsidRPr="51745D35">
              <w:rPr>
                <w:lang w:val="en-US"/>
              </w:rPr>
              <w:t>**</w:t>
            </w:r>
            <w:r w:rsidR="008911D7" w:rsidRPr="51745D35">
              <w:rPr>
                <w:lang w:val="en-US"/>
              </w:rPr>
              <w:t>Concepts</w:t>
            </w:r>
            <w:r w:rsidR="568452CD" w:rsidRPr="51745D35">
              <w:rPr>
                <w:lang w:val="en-US"/>
              </w:rPr>
              <w:t>**</w:t>
            </w:r>
            <w:r w:rsidR="008911D7">
              <w:br/>
            </w:r>
            <w:r w:rsidR="008911D7" w:rsidRPr="51745D35">
              <w:rPr>
                <w:lang w:val="en-US"/>
              </w:rPr>
              <w:t xml:space="preserve">Female genital mutilation </w:t>
            </w:r>
            <w:r w:rsidR="21BFF51D" w:rsidRPr="51745D35">
              <w:rPr>
                <w:lang w:val="en-US"/>
              </w:rPr>
              <w:t>\</w:t>
            </w:r>
            <w:r w:rsidR="008911D7" w:rsidRPr="51745D35">
              <w:rPr>
                <w:lang w:val="en-US"/>
              </w:rPr>
              <w:t>(FGM</w:t>
            </w:r>
            <w:r w:rsidR="6415C3F3" w:rsidRPr="51745D35">
              <w:rPr>
                <w:lang w:val="en-US"/>
              </w:rPr>
              <w:t>\</w:t>
            </w:r>
            <w:r w:rsidR="008911D7" w:rsidRPr="51745D35">
              <w:rPr>
                <w:lang w:val="en-US"/>
              </w:rPr>
              <w:t xml:space="preserve">) refers to “all procedures involving partial or total removal of the female external genitalia or other injury to the female genital organs for non-medical reasons" </w:t>
            </w:r>
            <w:r w:rsidR="0BA055D1" w:rsidRPr="51745D35">
              <w:rPr>
                <w:lang w:val="en-US"/>
              </w:rPr>
              <w:t>\</w:t>
            </w:r>
            <w:r w:rsidR="008911D7" w:rsidRPr="51745D35">
              <w:rPr>
                <w:lang w:val="en-US"/>
              </w:rPr>
              <w:t>(World Health Organization, Eliminating Female Genital Mutilation: An interagency statement, WHO, UNFPA, UNICEF, UNIFEM, OHCHR, UNHCR, UNECA, UNESCO, UNDP, UNAIDS, WHO, Geneva, 2008, p.4</w:t>
            </w:r>
            <w:r w:rsidR="0283DE73" w:rsidRPr="51745D35">
              <w:rPr>
                <w:lang w:val="en-US"/>
              </w:rPr>
              <w:t>\</w:t>
            </w:r>
            <w:r w:rsidR="008911D7" w:rsidRPr="51745D35">
              <w:rPr>
                <w:lang w:val="en-US"/>
              </w:rPr>
              <w:t>)</w:t>
            </w:r>
            <w:r w:rsidR="5FE4BAAD" w:rsidRPr="51745D35">
              <w:rPr>
                <w:lang w:val="en-US"/>
              </w:rPr>
              <w:t>.</w:t>
            </w:r>
          </w:p>
        </w:tc>
      </w:tr>
      <w:tr w:rsidR="008911D7" w:rsidRPr="007C160B" w14:paraId="13A3B0A0" w14:textId="77777777" w:rsidTr="51745D35">
        <w:trPr>
          <w:trHeight w:val="260"/>
        </w:trPr>
        <w:tc>
          <w:tcPr>
            <w:tcW w:w="715" w:type="dxa"/>
            <w:shd w:val="clear" w:color="auto" w:fill="auto"/>
            <w:hideMark/>
          </w:tcPr>
          <w:p w14:paraId="03D02054" w14:textId="168340AC" w:rsidR="008911D7" w:rsidRPr="007C160B" w:rsidRDefault="008911D7" w:rsidP="008911D7">
            <w:pPr>
              <w:rPr>
                <w:lang w:val="en-US"/>
              </w:rPr>
            </w:pPr>
            <w:r w:rsidRPr="00485133">
              <w:rPr>
                <w:lang w:val="en-US"/>
              </w:rPr>
              <w:t>V.3</w:t>
            </w:r>
          </w:p>
        </w:tc>
        <w:tc>
          <w:tcPr>
            <w:tcW w:w="865" w:type="dxa"/>
            <w:shd w:val="clear" w:color="auto" w:fill="auto"/>
            <w:hideMark/>
          </w:tcPr>
          <w:p w14:paraId="6274F108" w14:textId="77777777" w:rsidR="008911D7" w:rsidRPr="007C160B" w:rsidRDefault="008911D7" w:rsidP="008911D7">
            <w:pPr>
              <w:rPr>
                <w:lang w:val="en-US"/>
              </w:rPr>
            </w:pPr>
            <w:r w:rsidRPr="007C160B">
              <w:rPr>
                <w:lang w:val="en-US"/>
              </w:rPr>
              <w:t>3</w:t>
            </w:r>
          </w:p>
        </w:tc>
        <w:tc>
          <w:tcPr>
            <w:tcW w:w="2195" w:type="dxa"/>
            <w:shd w:val="clear" w:color="auto" w:fill="auto"/>
            <w:hideMark/>
          </w:tcPr>
          <w:p w14:paraId="3B4FBACA" w14:textId="77777777" w:rsidR="008911D7" w:rsidRPr="007C160B" w:rsidRDefault="008911D7" w:rsidP="51745D35">
            <w:pPr>
              <w:rPr>
                <w:lang w:val="en-US"/>
              </w:rPr>
            </w:pPr>
            <w:r w:rsidRPr="51745D35">
              <w:rPr>
                <w:lang w:val="en-US"/>
              </w:rPr>
              <w:t>Method of computation</w:t>
            </w:r>
          </w:p>
        </w:tc>
        <w:tc>
          <w:tcPr>
            <w:tcW w:w="5995" w:type="dxa"/>
            <w:shd w:val="clear" w:color="auto" w:fill="auto"/>
          </w:tcPr>
          <w:p w14:paraId="65C01786" w14:textId="1A0F8004" w:rsidR="008911D7" w:rsidRDefault="008911D7" w:rsidP="008911D7">
            <w:pPr>
              <w:rPr>
                <w:lang w:val="en-US"/>
              </w:rPr>
            </w:pPr>
            <w:r w:rsidRPr="51745D35">
              <w:rPr>
                <w:lang w:val="en-US"/>
              </w:rPr>
              <w:t xml:space="preserve">Proportion of girls and women aged 15-49 years who have undergone female genital mutilation = </w:t>
            </w:r>
            <w:r w:rsidR="56784E3B" w:rsidRPr="51745D35">
              <w:rPr>
                <w:lang w:val="en-US"/>
              </w:rPr>
              <w:t>\</w:t>
            </w:r>
            <w:r w:rsidRPr="51745D35">
              <w:rPr>
                <w:lang w:val="en-US"/>
              </w:rPr>
              <w:t>(Number of girls and women aged 15-49 who have undergone FGM / total number of girls and women aged 15-49 in the population</w:t>
            </w:r>
            <w:r w:rsidR="2816E559" w:rsidRPr="51745D35">
              <w:rPr>
                <w:lang w:val="en-US"/>
              </w:rPr>
              <w:t>\</w:t>
            </w:r>
            <w:r w:rsidRPr="51745D35">
              <w:rPr>
                <w:lang w:val="en-US"/>
              </w:rPr>
              <w:t>) x 100</w:t>
            </w:r>
          </w:p>
          <w:p w14:paraId="38D57C8F" w14:textId="23B76723" w:rsidR="0C06129D" w:rsidRDefault="0C06129D" w:rsidP="0C06129D">
            <w:pPr>
              <w:rPr>
                <w:lang w:val="en-US"/>
              </w:rPr>
            </w:pPr>
          </w:p>
          <w:p w14:paraId="02BFECB9" w14:textId="698A7EFC" w:rsidR="008911D7" w:rsidRDefault="59B6A7DC" w:rsidP="008911D7">
            <w:pPr>
              <w:rPr>
                <w:lang w:val="en-US"/>
              </w:rPr>
            </w:pPr>
            <w:r w:rsidRPr="51745D35">
              <w:rPr>
                <w:lang w:val="en-US"/>
              </w:rPr>
              <w:t>**</w:t>
            </w:r>
            <w:r w:rsidR="00A76E8A" w:rsidRPr="51745D35">
              <w:rPr>
                <w:lang w:val="en-US"/>
              </w:rPr>
              <w:t>R</w:t>
            </w:r>
            <w:r w:rsidR="008911D7" w:rsidRPr="51745D35">
              <w:rPr>
                <w:lang w:val="en-US"/>
              </w:rPr>
              <w:t>egional aggregates</w:t>
            </w:r>
            <w:r w:rsidR="5055DEEC" w:rsidRPr="51745D35">
              <w:rPr>
                <w:lang w:val="en-US"/>
              </w:rPr>
              <w:t>**</w:t>
            </w:r>
            <w:r w:rsidR="008911D7" w:rsidRPr="51745D35">
              <w:rPr>
                <w:lang w:val="en-US"/>
              </w:rPr>
              <w:t xml:space="preserve"> are weighted averages of countries with available data within the region.</w:t>
            </w:r>
          </w:p>
          <w:p w14:paraId="5B6DBCC1" w14:textId="00F0EE42" w:rsidR="0C06129D" w:rsidRDefault="0C06129D" w:rsidP="0C06129D">
            <w:pPr>
              <w:rPr>
                <w:lang w:val="en-US"/>
              </w:rPr>
            </w:pPr>
          </w:p>
          <w:p w14:paraId="7CBDAD06" w14:textId="2ACB9F9F" w:rsidR="008911D7" w:rsidRPr="007C160B" w:rsidRDefault="5CDEE49F" w:rsidP="008911D7">
            <w:pPr>
              <w:rPr>
                <w:lang w:val="en-US"/>
              </w:rPr>
            </w:pPr>
            <w:r w:rsidRPr="51745D35">
              <w:rPr>
                <w:lang w:val="en-US"/>
              </w:rPr>
              <w:t>**</w:t>
            </w:r>
            <w:r w:rsidR="008911D7" w:rsidRPr="51745D35">
              <w:rPr>
                <w:lang w:val="en-US"/>
              </w:rPr>
              <w:t>Disaggregation</w:t>
            </w:r>
            <w:r w:rsidR="5312C255" w:rsidRPr="51745D35">
              <w:rPr>
                <w:lang w:val="en-US"/>
              </w:rPr>
              <w:t>**</w:t>
            </w:r>
            <w:r w:rsidR="008911D7">
              <w:br/>
            </w:r>
            <w:r w:rsidR="008911D7" w:rsidRPr="51745D35">
              <w:rPr>
                <w:lang w:val="en-US"/>
              </w:rPr>
              <w:t xml:space="preserve">Age </w:t>
            </w:r>
            <w:r w:rsidR="4B497F99" w:rsidRPr="51745D35">
              <w:rPr>
                <w:lang w:val="en-US"/>
              </w:rPr>
              <w:t>\</w:t>
            </w:r>
            <w:r w:rsidR="008911D7" w:rsidRPr="51745D35">
              <w:rPr>
                <w:lang w:val="en-US"/>
              </w:rPr>
              <w:t>(15-49 years at the national level, 15-19 years at the regional level</w:t>
            </w:r>
            <w:r w:rsidR="440A9EDF" w:rsidRPr="51745D35">
              <w:rPr>
                <w:lang w:val="en-US"/>
              </w:rPr>
              <w:t>\</w:t>
            </w:r>
            <w:r w:rsidR="008911D7" w:rsidRPr="51745D35">
              <w:rPr>
                <w:lang w:val="en-US"/>
              </w:rPr>
              <w:t>)</w:t>
            </w:r>
          </w:p>
        </w:tc>
      </w:tr>
      <w:tr w:rsidR="008911D7" w:rsidRPr="007C160B" w14:paraId="70556A17" w14:textId="77777777" w:rsidTr="51745D35">
        <w:trPr>
          <w:trHeight w:val="800"/>
        </w:trPr>
        <w:tc>
          <w:tcPr>
            <w:tcW w:w="715" w:type="dxa"/>
            <w:shd w:val="clear" w:color="auto" w:fill="auto"/>
            <w:hideMark/>
          </w:tcPr>
          <w:p w14:paraId="7DA56E19" w14:textId="035D4DCD" w:rsidR="008911D7" w:rsidRPr="007C160B" w:rsidRDefault="008911D7" w:rsidP="008911D7">
            <w:pPr>
              <w:rPr>
                <w:lang w:val="en-US"/>
              </w:rPr>
            </w:pPr>
            <w:r w:rsidRPr="00485133">
              <w:rPr>
                <w:lang w:val="en-US"/>
              </w:rPr>
              <w:t>V.3</w:t>
            </w:r>
          </w:p>
        </w:tc>
        <w:tc>
          <w:tcPr>
            <w:tcW w:w="865" w:type="dxa"/>
            <w:shd w:val="clear" w:color="auto" w:fill="auto"/>
            <w:hideMark/>
          </w:tcPr>
          <w:p w14:paraId="4E7DA45A" w14:textId="77777777" w:rsidR="008911D7" w:rsidRPr="007C160B" w:rsidRDefault="008911D7" w:rsidP="008911D7">
            <w:pPr>
              <w:rPr>
                <w:lang w:val="en-US"/>
              </w:rPr>
            </w:pPr>
            <w:r w:rsidRPr="007C160B">
              <w:rPr>
                <w:lang w:val="en-US"/>
              </w:rPr>
              <w:t>4</w:t>
            </w:r>
          </w:p>
        </w:tc>
        <w:tc>
          <w:tcPr>
            <w:tcW w:w="2195" w:type="dxa"/>
            <w:shd w:val="clear" w:color="auto" w:fill="auto"/>
            <w:hideMark/>
          </w:tcPr>
          <w:p w14:paraId="4516E07E" w14:textId="77777777" w:rsidR="008911D7" w:rsidRPr="007C160B" w:rsidRDefault="008911D7" w:rsidP="51745D35">
            <w:pPr>
              <w:rPr>
                <w:lang w:val="en-US"/>
              </w:rPr>
            </w:pPr>
            <w:r w:rsidRPr="51745D35">
              <w:rPr>
                <w:lang w:val="en-US"/>
              </w:rPr>
              <w:t xml:space="preserve">Importance of the indicator in addressing gender </w:t>
            </w:r>
            <w:r w:rsidRPr="51745D35">
              <w:rPr>
                <w:lang w:val="en-US"/>
              </w:rPr>
              <w:lastRenderedPageBreak/>
              <w:t>issues and its limitation</w:t>
            </w:r>
          </w:p>
        </w:tc>
        <w:tc>
          <w:tcPr>
            <w:tcW w:w="5995" w:type="dxa"/>
            <w:shd w:val="clear" w:color="auto" w:fill="auto"/>
          </w:tcPr>
          <w:p w14:paraId="22317021" w14:textId="34E31B50" w:rsidR="008911D7" w:rsidRDefault="006310C3" w:rsidP="51745D35">
            <w:pPr>
              <w:rPr>
                <w:lang w:val="en-US"/>
              </w:rPr>
            </w:pPr>
            <w:r w:rsidRPr="51745D35">
              <w:rPr>
                <w:lang w:val="en-US"/>
              </w:rPr>
              <w:lastRenderedPageBreak/>
              <w:t>**</w:t>
            </w:r>
            <w:r w:rsidR="061B0A22" w:rsidRPr="51745D35">
              <w:rPr>
                <w:lang w:val="en-US"/>
              </w:rPr>
              <w:t>Rationale</w:t>
            </w:r>
            <w:r w:rsidR="6AAE2400" w:rsidRPr="51745D35">
              <w:rPr>
                <w:lang w:val="en-US"/>
              </w:rPr>
              <w:t>**</w:t>
            </w:r>
          </w:p>
          <w:p w14:paraId="664CDA44" w14:textId="65823D0D" w:rsidR="008911D7" w:rsidRDefault="008911D7" w:rsidP="008911D7">
            <w:pPr>
              <w:rPr>
                <w:lang w:val="en-US"/>
              </w:rPr>
            </w:pPr>
            <w:r w:rsidRPr="51F04B1E">
              <w:rPr>
                <w:lang w:val="en-US"/>
              </w:rPr>
              <w:lastRenderedPageBreak/>
              <w:t>FGM is a violation of girls’ and women’s human rights. There is a large body of literature documenting the adverse health consequences of FGM over both the short and long term. The practice of FGM is a direct manifestation of gender inequality</w:t>
            </w:r>
            <w:r w:rsidR="62621A7F" w:rsidRPr="51F04B1E">
              <w:rPr>
                <w:lang w:val="en-US"/>
              </w:rPr>
              <w:t>.</w:t>
            </w:r>
            <w:r w:rsidRPr="51F04B1E">
              <w:rPr>
                <w:lang w:val="en-US"/>
              </w:rPr>
              <w:t xml:space="preserve"> FGM is condemned by a number of international treaties and conventions. Since FGM is regarded as a traditional practice prejudicial to the health of children and is, in most cases, performed on minors, it violates the Convention on the Rights of the Child. Existing national legislation in many countries also include explicit bans against FGM.</w:t>
            </w:r>
            <w:r>
              <w:br/>
            </w:r>
          </w:p>
          <w:p w14:paraId="7FB0FE2E" w14:textId="489627AA" w:rsidR="008911D7" w:rsidRPr="007C160B" w:rsidRDefault="42508A47" w:rsidP="51745D35">
            <w:pPr>
              <w:rPr>
                <w:lang w:val="en-US"/>
              </w:rPr>
            </w:pPr>
            <w:r w:rsidRPr="51745D35">
              <w:rPr>
                <w:lang w:val="en-US"/>
              </w:rPr>
              <w:t>**</w:t>
            </w:r>
            <w:r w:rsidR="008911D7" w:rsidRPr="51745D35">
              <w:rPr>
                <w:lang w:val="en-US"/>
              </w:rPr>
              <w:t>Comments and limitations</w:t>
            </w:r>
            <w:r w:rsidR="50B688AA" w:rsidRPr="51745D35">
              <w:rPr>
                <w:lang w:val="en-US"/>
              </w:rPr>
              <w:t>**</w:t>
            </w:r>
            <w:r w:rsidR="008911D7">
              <w:br/>
            </w:r>
            <w:r w:rsidR="008911D7" w:rsidRPr="51745D35">
              <w:rPr>
                <w:lang w:val="en-US"/>
              </w:rPr>
              <w:t xml:space="preserve">There are existing tools and mechanisms for data collection that countries have implemented to monitor the situation with regards to this indicator. The modules used to collect information on the circumcision status of girls aged 0-14 and girls and women aged 15-49 in the DHS and MICS have been fully harmonized. </w:t>
            </w:r>
          </w:p>
          <w:p w14:paraId="551E8D57" w14:textId="1925AAAC" w:rsidR="008911D7" w:rsidRPr="007C160B" w:rsidRDefault="008911D7" w:rsidP="51745D35">
            <w:pPr>
              <w:rPr>
                <w:lang w:val="en-US"/>
              </w:rPr>
            </w:pPr>
            <w:r>
              <w:br/>
            </w:r>
            <w:r w:rsidRPr="51745D35">
              <w:rPr>
                <w:lang w:val="en-US"/>
              </w:rPr>
              <w:t>Data on FGM inform policymakers of critically important variables in an effort to better understand the practice and develop policies for its abandonment. That said, these data must be analysed in light of the extremely delicate and often sensitive nature of the topic. Self-reported data on FGM need to be treated</w:t>
            </w:r>
            <w:r>
              <w:t xml:space="preserve"> </w:t>
            </w:r>
            <w:r w:rsidRPr="51745D35">
              <w:rPr>
                <w:lang w:val="en-US"/>
              </w:rPr>
              <w:t xml:space="preserve">with caution for several reasons. Women may be unwilling to disclose having undergone the procedure because of the sensitivity of the issue or the illegal status of the practice in their country. In addition, women may be unaware that they have been cut or of the extent of the cutting, particularly if FGM was performed at an early age. </w:t>
            </w:r>
          </w:p>
          <w:p w14:paraId="7F7E4E8A" w14:textId="09C7A7F0" w:rsidR="008911D7" w:rsidRPr="007C160B" w:rsidRDefault="008911D7" w:rsidP="51745D35">
            <w:pPr>
              <w:rPr>
                <w:lang w:val="en-US"/>
              </w:rPr>
            </w:pPr>
            <w:r>
              <w:br/>
            </w:r>
            <w:r w:rsidRPr="51745D35">
              <w:rPr>
                <w:lang w:val="en-US"/>
              </w:rPr>
              <w:t xml:space="preserve">Data users should also keep in mind the retrospective nature of these data, which results in this indicator not being sensitive to recent change. For more details on interpretation and common pitfalls for this indicator, see: A Generation to Protect: Monitoring violence exploitation and abuse of children within the SDG framework </w:t>
            </w:r>
            <w:r w:rsidR="08D438C7" w:rsidRPr="51745D35">
              <w:rPr>
                <w:lang w:val="en-US"/>
              </w:rPr>
              <w:t>\</w:t>
            </w:r>
            <w:r w:rsidRPr="51745D35">
              <w:rPr>
                <w:lang w:val="en-US"/>
              </w:rPr>
              <w:t>(UNICEF 2020</w:t>
            </w:r>
            <w:r w:rsidR="57870F91" w:rsidRPr="51745D35">
              <w:rPr>
                <w:lang w:val="en-US"/>
              </w:rPr>
              <w:t>\</w:t>
            </w:r>
            <w:r w:rsidRPr="51745D35">
              <w:rPr>
                <w:lang w:val="en-US"/>
              </w:rPr>
              <w:t>).</w:t>
            </w:r>
          </w:p>
          <w:p w14:paraId="19AF2CC6" w14:textId="256806F0" w:rsidR="008911D7" w:rsidRPr="007C160B" w:rsidRDefault="008911D7" w:rsidP="51745D35">
            <w:pPr>
              <w:rPr>
                <w:lang w:val="en-US"/>
              </w:rPr>
            </w:pPr>
          </w:p>
        </w:tc>
      </w:tr>
      <w:tr w:rsidR="007C160B" w:rsidRPr="007C160B" w14:paraId="249D225C" w14:textId="77777777" w:rsidTr="51745D35">
        <w:trPr>
          <w:trHeight w:val="900"/>
        </w:trPr>
        <w:tc>
          <w:tcPr>
            <w:tcW w:w="715" w:type="dxa"/>
            <w:shd w:val="clear" w:color="auto" w:fill="auto"/>
            <w:hideMark/>
          </w:tcPr>
          <w:p w14:paraId="35D62C40" w14:textId="109A33F6" w:rsidR="007C160B" w:rsidRPr="007C160B" w:rsidRDefault="008911D7" w:rsidP="007C160B">
            <w:pPr>
              <w:rPr>
                <w:lang w:val="en-US"/>
              </w:rPr>
            </w:pPr>
            <w:r>
              <w:rPr>
                <w:lang w:val="en-US"/>
              </w:rPr>
              <w:lastRenderedPageBreak/>
              <w:t>V.3</w:t>
            </w:r>
          </w:p>
        </w:tc>
        <w:tc>
          <w:tcPr>
            <w:tcW w:w="865" w:type="dxa"/>
            <w:shd w:val="clear" w:color="auto" w:fill="auto"/>
            <w:hideMark/>
          </w:tcPr>
          <w:p w14:paraId="746C6C1D" w14:textId="77777777" w:rsidR="007C160B" w:rsidRPr="007C160B" w:rsidRDefault="007C160B" w:rsidP="007C160B">
            <w:pPr>
              <w:rPr>
                <w:lang w:val="en-US"/>
              </w:rPr>
            </w:pPr>
            <w:r w:rsidRPr="007C160B">
              <w:rPr>
                <w:lang w:val="en-US"/>
              </w:rPr>
              <w:t>5</w:t>
            </w:r>
          </w:p>
        </w:tc>
        <w:tc>
          <w:tcPr>
            <w:tcW w:w="2195" w:type="dxa"/>
            <w:shd w:val="clear" w:color="auto" w:fill="auto"/>
            <w:hideMark/>
          </w:tcPr>
          <w:p w14:paraId="7E7C7EB4" w14:textId="77777777" w:rsidR="007C160B" w:rsidRPr="007C160B" w:rsidRDefault="007C160B" w:rsidP="51745D35">
            <w:pPr>
              <w:rPr>
                <w:lang w:val="en-US"/>
              </w:rPr>
            </w:pPr>
            <w:r w:rsidRPr="51745D35">
              <w:rPr>
                <w:lang w:val="en-US"/>
              </w:rPr>
              <w:t>Sources of discrepancies between global and national figures</w:t>
            </w:r>
          </w:p>
        </w:tc>
        <w:tc>
          <w:tcPr>
            <w:tcW w:w="5995" w:type="dxa"/>
            <w:shd w:val="clear" w:color="auto" w:fill="auto"/>
          </w:tcPr>
          <w:p w14:paraId="0915CE6F" w14:textId="762A12BB" w:rsidR="007C160B" w:rsidRPr="007C160B" w:rsidRDefault="008911D7" w:rsidP="007C160B">
            <w:pPr>
              <w:rPr>
                <w:lang w:val="en-US"/>
              </w:rPr>
            </w:pPr>
            <w:r w:rsidRPr="008911D7">
              <w:rPr>
                <w:lang w:val="en-US"/>
              </w:rPr>
              <w:t>The estimates compiled and presented at global level come directly from nationally produced data and are not adjusted or recalculated.</w:t>
            </w:r>
          </w:p>
        </w:tc>
      </w:tr>
      <w:tr w:rsidR="008911D7" w:rsidRPr="007C160B" w14:paraId="7C102BAC" w14:textId="77777777" w:rsidTr="51745D35">
        <w:trPr>
          <w:trHeight w:val="900"/>
        </w:trPr>
        <w:tc>
          <w:tcPr>
            <w:tcW w:w="715" w:type="dxa"/>
            <w:shd w:val="clear" w:color="auto" w:fill="auto"/>
          </w:tcPr>
          <w:p w14:paraId="06DD2B9C" w14:textId="1F09445B" w:rsidR="008911D7" w:rsidRPr="007C160B" w:rsidRDefault="008911D7" w:rsidP="008911D7">
            <w:pPr>
              <w:rPr>
                <w:lang w:val="en-US"/>
              </w:rPr>
            </w:pPr>
            <w:r w:rsidRPr="00121179">
              <w:rPr>
                <w:lang w:val="en-US"/>
              </w:rPr>
              <w:lastRenderedPageBreak/>
              <w:t>V.3</w:t>
            </w:r>
          </w:p>
        </w:tc>
        <w:tc>
          <w:tcPr>
            <w:tcW w:w="865" w:type="dxa"/>
            <w:shd w:val="clear" w:color="auto" w:fill="auto"/>
          </w:tcPr>
          <w:p w14:paraId="6DDEC50E" w14:textId="77777777" w:rsidR="008911D7" w:rsidRPr="007C160B" w:rsidRDefault="008911D7" w:rsidP="008911D7">
            <w:pPr>
              <w:rPr>
                <w:lang w:val="en-US"/>
              </w:rPr>
            </w:pPr>
            <w:r w:rsidRPr="007C160B">
              <w:rPr>
                <w:lang w:val="en-US"/>
              </w:rPr>
              <w:t>6</w:t>
            </w:r>
          </w:p>
        </w:tc>
        <w:tc>
          <w:tcPr>
            <w:tcW w:w="2195" w:type="dxa"/>
            <w:shd w:val="clear" w:color="auto" w:fill="auto"/>
          </w:tcPr>
          <w:p w14:paraId="163A8B92" w14:textId="77777777" w:rsidR="008911D7" w:rsidRPr="007C160B" w:rsidRDefault="008911D7" w:rsidP="51745D35">
            <w:pPr>
              <w:rPr>
                <w:lang w:val="en-US"/>
              </w:rPr>
            </w:pPr>
            <w:r w:rsidRPr="51745D35">
              <w:rPr>
                <w:lang w:val="en-US"/>
              </w:rPr>
              <w:t>Process of obtaining data</w:t>
            </w:r>
          </w:p>
        </w:tc>
        <w:tc>
          <w:tcPr>
            <w:tcW w:w="5995" w:type="dxa"/>
            <w:shd w:val="clear" w:color="auto" w:fill="auto"/>
          </w:tcPr>
          <w:p w14:paraId="0D110F3C" w14:textId="012F478A" w:rsidR="008911D7" w:rsidRDefault="008911D7" w:rsidP="008911D7">
            <w:pPr>
              <w:rPr>
                <w:lang w:val="en-US"/>
              </w:rPr>
            </w:pPr>
            <w:r w:rsidRPr="0C06129D">
              <w:rPr>
                <w:lang w:val="en-US"/>
              </w:rPr>
              <w:t>Household surveys such as UNICEF-supported MICS and DHS have been collecting data on this indicator in low- and middle-income countries since the late 1980s. In some countries, such data are also collected through other national household surveys.</w:t>
            </w:r>
          </w:p>
          <w:p w14:paraId="7BEF91BB" w14:textId="0A95B04C" w:rsidR="008911D7" w:rsidRPr="007C160B" w:rsidRDefault="008911D7" w:rsidP="51F04B1E">
            <w:pPr>
              <w:rPr>
                <w:lang w:val="en-US"/>
              </w:rPr>
            </w:pPr>
            <w:r>
              <w:br/>
            </w:r>
            <w:r w:rsidRPr="51745D35">
              <w:rPr>
                <w:lang w:val="en-US"/>
              </w:rPr>
              <w:t xml:space="preserve">UNICEF undertakes a wide consultative process of compiling and assessing data from national sources for the purposes of updating its global databases on the situation of children. Up until 2017, the mechanism UNICEF used to collaborate with national authorities on ensuring data quality and international comparability on key indicators of relevance to children was known as Country Data Reporting on the Indicators for the Goals </w:t>
            </w:r>
            <w:r w:rsidR="426192BC" w:rsidRPr="51745D35">
              <w:rPr>
                <w:lang w:val="en-US"/>
              </w:rPr>
              <w:t>\</w:t>
            </w:r>
            <w:r w:rsidRPr="51745D35">
              <w:rPr>
                <w:lang w:val="en-US"/>
              </w:rPr>
              <w:t>(CRING</w:t>
            </w:r>
            <w:r w:rsidR="3ED0B1F8" w:rsidRPr="51745D35">
              <w:rPr>
                <w:lang w:val="en-US"/>
              </w:rPr>
              <w:t>\</w:t>
            </w:r>
            <w:r w:rsidRPr="51745D35">
              <w:rPr>
                <w:lang w:val="en-US"/>
              </w:rPr>
              <w:t xml:space="preserve">). </w:t>
            </w:r>
          </w:p>
          <w:p w14:paraId="1ABCC2FF" w14:textId="2483FACF" w:rsidR="51745D35" w:rsidRDefault="51745D35" w:rsidP="51745D35">
            <w:pPr>
              <w:rPr>
                <w:lang w:val="en-US"/>
              </w:rPr>
            </w:pPr>
          </w:p>
          <w:p w14:paraId="2F87F140" w14:textId="73F47C44" w:rsidR="008911D7" w:rsidRPr="007C160B" w:rsidRDefault="008911D7" w:rsidP="51745D35">
            <w:pPr>
              <w:rPr>
                <w:lang w:val="en-US"/>
              </w:rPr>
            </w:pPr>
            <w:r w:rsidRPr="51745D35">
              <w:rPr>
                <w:lang w:val="en-US"/>
              </w:rPr>
              <w:t>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rigour,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Once reviewed, feedback is made available to countries on whether or not specific data points are accepted, and if not, the reasons why.</w:t>
            </w:r>
          </w:p>
          <w:p w14:paraId="5F091FA7" w14:textId="7E4CEBAF" w:rsidR="008911D7" w:rsidRPr="007C160B" w:rsidRDefault="008911D7" w:rsidP="51745D35">
            <w:pPr>
              <w:rPr>
                <w:lang w:val="en-US"/>
              </w:rPr>
            </w:pPr>
          </w:p>
        </w:tc>
      </w:tr>
      <w:tr w:rsidR="008911D7" w:rsidRPr="007C160B" w14:paraId="5F40C825" w14:textId="77777777" w:rsidTr="51745D35">
        <w:trPr>
          <w:trHeight w:val="900"/>
        </w:trPr>
        <w:tc>
          <w:tcPr>
            <w:tcW w:w="715" w:type="dxa"/>
            <w:shd w:val="clear" w:color="auto" w:fill="auto"/>
            <w:hideMark/>
          </w:tcPr>
          <w:p w14:paraId="24B07E1A" w14:textId="514994E7" w:rsidR="008911D7" w:rsidRPr="007C160B" w:rsidRDefault="008911D7" w:rsidP="008911D7">
            <w:pPr>
              <w:rPr>
                <w:lang w:val="en-US"/>
              </w:rPr>
            </w:pPr>
            <w:r w:rsidRPr="00121179">
              <w:rPr>
                <w:lang w:val="en-US"/>
              </w:rPr>
              <w:t>V.3</w:t>
            </w:r>
          </w:p>
        </w:tc>
        <w:tc>
          <w:tcPr>
            <w:tcW w:w="865" w:type="dxa"/>
            <w:shd w:val="clear" w:color="auto" w:fill="auto"/>
            <w:hideMark/>
          </w:tcPr>
          <w:p w14:paraId="21E2831D" w14:textId="77777777" w:rsidR="008911D7" w:rsidRPr="007C160B" w:rsidRDefault="008911D7" w:rsidP="008911D7">
            <w:pPr>
              <w:rPr>
                <w:lang w:val="en-US"/>
              </w:rPr>
            </w:pPr>
            <w:r w:rsidRPr="007C160B">
              <w:rPr>
                <w:lang w:val="en-US"/>
              </w:rPr>
              <w:t>7</w:t>
            </w:r>
          </w:p>
        </w:tc>
        <w:tc>
          <w:tcPr>
            <w:tcW w:w="2195" w:type="dxa"/>
            <w:shd w:val="clear" w:color="auto" w:fill="auto"/>
            <w:hideMark/>
          </w:tcPr>
          <w:p w14:paraId="09CCB6F2" w14:textId="77777777" w:rsidR="008911D7" w:rsidRPr="007C160B" w:rsidRDefault="008911D7" w:rsidP="51745D35">
            <w:pPr>
              <w:rPr>
                <w:lang w:val="en-US"/>
              </w:rPr>
            </w:pPr>
            <w:r w:rsidRPr="51745D35">
              <w:rPr>
                <w:lang w:val="en-US"/>
              </w:rPr>
              <w:t>Treatment of missing values</w:t>
            </w:r>
          </w:p>
        </w:tc>
        <w:tc>
          <w:tcPr>
            <w:tcW w:w="5995" w:type="dxa"/>
            <w:shd w:val="clear" w:color="auto" w:fill="auto"/>
          </w:tcPr>
          <w:p w14:paraId="18F32EC9" w14:textId="7498ED20" w:rsidR="008911D7" w:rsidRDefault="1B83C9D1" w:rsidP="008911D7">
            <w:pPr>
              <w:rPr>
                <w:lang w:val="en-US"/>
              </w:rPr>
            </w:pPr>
            <w:r w:rsidRPr="51745D35">
              <w:rPr>
                <w:lang w:val="en-US"/>
              </w:rPr>
              <w:t>**</w:t>
            </w:r>
            <w:r w:rsidR="008911D7" w:rsidRPr="51745D35">
              <w:rPr>
                <w:lang w:val="en-US"/>
              </w:rPr>
              <w:t>At country level</w:t>
            </w:r>
            <w:r w:rsidR="58188444" w:rsidRPr="51745D35">
              <w:rPr>
                <w:lang w:val="en-US"/>
              </w:rPr>
              <w:t>**</w:t>
            </w:r>
            <w:r w:rsidR="008911D7">
              <w:br/>
            </w:r>
            <w:r w:rsidR="008911D7" w:rsidRPr="51745D35">
              <w:rPr>
                <w:lang w:val="en-US"/>
              </w:rPr>
              <w:t>When data for a country are entirely missing, UNICEF does not publish any country-level estimate.</w:t>
            </w:r>
          </w:p>
          <w:p w14:paraId="0E4B0C31" w14:textId="553C4370" w:rsidR="51745D35" w:rsidRDefault="51745D35" w:rsidP="51745D35">
            <w:pPr>
              <w:rPr>
                <w:lang w:val="en-US"/>
              </w:rPr>
            </w:pPr>
          </w:p>
          <w:p w14:paraId="4B6437D9" w14:textId="75B2E704" w:rsidR="008911D7" w:rsidRPr="007C160B" w:rsidRDefault="37FF04F6" w:rsidP="51745D35">
            <w:pPr>
              <w:rPr>
                <w:lang w:val="en-US"/>
              </w:rPr>
            </w:pPr>
            <w:r w:rsidRPr="51745D35">
              <w:rPr>
                <w:lang w:val="en-US"/>
              </w:rPr>
              <w:t>**</w:t>
            </w:r>
            <w:r w:rsidR="008911D7" w:rsidRPr="51745D35">
              <w:rPr>
                <w:lang w:val="en-US"/>
              </w:rPr>
              <w:t xml:space="preserve">At regional and global levels </w:t>
            </w:r>
            <w:r w:rsidR="58A7CA97" w:rsidRPr="51745D35">
              <w:rPr>
                <w:lang w:val="en-US"/>
              </w:rPr>
              <w:t>**</w:t>
            </w:r>
            <w:r w:rsidR="008911D7">
              <w:br/>
            </w:r>
            <w:r w:rsidR="008911D7" w:rsidRPr="51745D35">
              <w:rPr>
                <w:lang w:val="en-US"/>
              </w:rPr>
              <w:t>Regional aggregates are only published when at least 50 per cent of the regional population for the relevant age group are covered by the available data.</w:t>
            </w:r>
          </w:p>
          <w:p w14:paraId="0D93195D" w14:textId="3CBE9DDF" w:rsidR="008911D7" w:rsidRPr="007C160B" w:rsidRDefault="008911D7" w:rsidP="51745D35">
            <w:pPr>
              <w:rPr>
                <w:lang w:val="en-US"/>
              </w:rPr>
            </w:pPr>
          </w:p>
        </w:tc>
      </w:tr>
      <w:tr w:rsidR="008911D7" w:rsidRPr="007C160B" w14:paraId="1E4BD65D" w14:textId="77777777" w:rsidTr="51745D35">
        <w:trPr>
          <w:trHeight w:val="832"/>
        </w:trPr>
        <w:tc>
          <w:tcPr>
            <w:tcW w:w="715" w:type="dxa"/>
            <w:shd w:val="clear" w:color="auto" w:fill="auto"/>
            <w:hideMark/>
          </w:tcPr>
          <w:p w14:paraId="02FB614E" w14:textId="0E31562A" w:rsidR="008911D7" w:rsidRPr="007C160B" w:rsidRDefault="008911D7" w:rsidP="008911D7">
            <w:pPr>
              <w:rPr>
                <w:lang w:val="en-US"/>
              </w:rPr>
            </w:pPr>
            <w:r w:rsidRPr="00A463C7">
              <w:rPr>
                <w:lang w:val="en-US"/>
              </w:rPr>
              <w:lastRenderedPageBreak/>
              <w:t>V.3</w:t>
            </w:r>
          </w:p>
        </w:tc>
        <w:tc>
          <w:tcPr>
            <w:tcW w:w="865" w:type="dxa"/>
            <w:shd w:val="clear" w:color="auto" w:fill="auto"/>
            <w:hideMark/>
          </w:tcPr>
          <w:p w14:paraId="00D097E6" w14:textId="77777777" w:rsidR="008911D7" w:rsidRPr="007C160B" w:rsidRDefault="008911D7" w:rsidP="008911D7">
            <w:pPr>
              <w:rPr>
                <w:lang w:val="en-US"/>
              </w:rPr>
            </w:pPr>
            <w:r w:rsidRPr="007C160B">
              <w:rPr>
                <w:lang w:val="en-US"/>
              </w:rPr>
              <w:t>8</w:t>
            </w:r>
          </w:p>
        </w:tc>
        <w:tc>
          <w:tcPr>
            <w:tcW w:w="2195" w:type="dxa"/>
            <w:shd w:val="clear" w:color="auto" w:fill="auto"/>
            <w:hideMark/>
          </w:tcPr>
          <w:p w14:paraId="5D600CA0" w14:textId="77777777" w:rsidR="008911D7" w:rsidRPr="007C160B" w:rsidRDefault="008911D7" w:rsidP="51745D35">
            <w:pPr>
              <w:rPr>
                <w:lang w:val="en-US"/>
              </w:rPr>
            </w:pPr>
            <w:r w:rsidRPr="51745D35">
              <w:rPr>
                <w:lang w:val="en-US"/>
              </w:rPr>
              <w:t>Data availability and assessment of countries’ capacity</w:t>
            </w:r>
          </w:p>
        </w:tc>
        <w:tc>
          <w:tcPr>
            <w:tcW w:w="5995" w:type="dxa"/>
            <w:shd w:val="clear" w:color="auto" w:fill="auto"/>
          </w:tcPr>
          <w:p w14:paraId="48D13E32" w14:textId="089352C1" w:rsidR="008911D7" w:rsidRPr="007C160B" w:rsidRDefault="008911D7" w:rsidP="008911D7">
            <w:pPr>
              <w:rPr>
                <w:lang w:val="en-US"/>
              </w:rPr>
            </w:pPr>
          </w:p>
        </w:tc>
      </w:tr>
      <w:tr w:rsidR="008911D7" w:rsidRPr="007C160B" w14:paraId="5DDCF696" w14:textId="77777777" w:rsidTr="51745D35">
        <w:trPr>
          <w:trHeight w:val="769"/>
        </w:trPr>
        <w:tc>
          <w:tcPr>
            <w:tcW w:w="715" w:type="dxa"/>
            <w:shd w:val="clear" w:color="auto" w:fill="auto"/>
            <w:hideMark/>
          </w:tcPr>
          <w:p w14:paraId="59FD67CF" w14:textId="00B28ACE" w:rsidR="008911D7" w:rsidRPr="007C160B" w:rsidRDefault="008911D7" w:rsidP="008911D7">
            <w:pPr>
              <w:rPr>
                <w:lang w:val="en-US"/>
              </w:rPr>
            </w:pPr>
            <w:r w:rsidRPr="00A463C7">
              <w:rPr>
                <w:lang w:val="en-US"/>
              </w:rPr>
              <w:t>V.3</w:t>
            </w:r>
          </w:p>
        </w:tc>
        <w:tc>
          <w:tcPr>
            <w:tcW w:w="865" w:type="dxa"/>
            <w:shd w:val="clear" w:color="auto" w:fill="auto"/>
            <w:hideMark/>
          </w:tcPr>
          <w:p w14:paraId="698464EF" w14:textId="77777777" w:rsidR="008911D7" w:rsidRPr="007C160B" w:rsidRDefault="008911D7" w:rsidP="008911D7">
            <w:pPr>
              <w:rPr>
                <w:lang w:val="en-US"/>
              </w:rPr>
            </w:pPr>
            <w:r w:rsidRPr="007C160B">
              <w:rPr>
                <w:lang w:val="en-US"/>
              </w:rPr>
              <w:t>9</w:t>
            </w:r>
          </w:p>
        </w:tc>
        <w:tc>
          <w:tcPr>
            <w:tcW w:w="2195" w:type="dxa"/>
            <w:shd w:val="clear" w:color="auto" w:fill="auto"/>
            <w:hideMark/>
          </w:tcPr>
          <w:p w14:paraId="172124E1" w14:textId="77777777" w:rsidR="008911D7" w:rsidRPr="007C160B" w:rsidRDefault="008911D7" w:rsidP="51745D35">
            <w:pPr>
              <w:rPr>
                <w:lang w:val="en-US"/>
              </w:rPr>
            </w:pPr>
            <w:r w:rsidRPr="51745D35">
              <w:rPr>
                <w:lang w:val="en-US"/>
              </w:rPr>
              <w:t>Expected time of release</w:t>
            </w:r>
          </w:p>
        </w:tc>
        <w:tc>
          <w:tcPr>
            <w:tcW w:w="5995" w:type="dxa"/>
            <w:shd w:val="clear" w:color="auto" w:fill="auto"/>
          </w:tcPr>
          <w:p w14:paraId="3372CE15" w14:textId="1750A59E" w:rsidR="008911D7" w:rsidRPr="007C160B" w:rsidRDefault="008911D7" w:rsidP="09054555">
            <w:pPr>
              <w:rPr>
                <w:lang w:val="en-US"/>
              </w:rPr>
            </w:pPr>
            <w:r w:rsidRPr="09054555">
              <w:rPr>
                <w:lang w:val="en-US"/>
              </w:rPr>
              <w:t>UNICEF will undertake an annual country consultation likely between December and January every year to allow for review and processing of the feedback received in order to meet global SDG reporting deadlines.</w:t>
            </w:r>
          </w:p>
          <w:p w14:paraId="3AF75B66" w14:textId="1C20D88F" w:rsidR="008911D7" w:rsidRPr="007C160B" w:rsidRDefault="008911D7" w:rsidP="09054555">
            <w:pPr>
              <w:rPr>
                <w:lang w:val="en-US"/>
              </w:rPr>
            </w:pPr>
          </w:p>
          <w:p w14:paraId="5B1E5192" w14:textId="2EDE150A" w:rsidR="008911D7" w:rsidRPr="007C160B" w:rsidRDefault="29E4798B" w:rsidP="51745D35">
            <w:pPr>
              <w:rPr>
                <w:lang w:val="en-US"/>
              </w:rPr>
            </w:pPr>
            <w:r w:rsidRPr="51745D35">
              <w:rPr>
                <w:lang w:val="en-US"/>
              </w:rPr>
              <w:t>Data release calender: March 2021</w:t>
            </w:r>
          </w:p>
          <w:p w14:paraId="6D908F79" w14:textId="71359076" w:rsidR="008911D7" w:rsidRPr="007C160B" w:rsidRDefault="008911D7" w:rsidP="09054555">
            <w:pPr>
              <w:rPr>
                <w:lang w:val="en-US"/>
              </w:rPr>
            </w:pPr>
          </w:p>
        </w:tc>
      </w:tr>
      <w:tr w:rsidR="005E1907" w:rsidRPr="007C160B" w14:paraId="518B27F0" w14:textId="77777777" w:rsidTr="51745D35">
        <w:trPr>
          <w:trHeight w:val="769"/>
        </w:trPr>
        <w:tc>
          <w:tcPr>
            <w:tcW w:w="715" w:type="dxa"/>
            <w:shd w:val="clear" w:color="auto" w:fill="auto"/>
          </w:tcPr>
          <w:p w14:paraId="4C8AA1F8" w14:textId="709DD6FB" w:rsidR="005E1907" w:rsidRPr="007C160B" w:rsidRDefault="00B059FD" w:rsidP="007C160B">
            <w:pPr>
              <w:rPr>
                <w:lang w:val="en-US"/>
              </w:rPr>
            </w:pPr>
            <w:r>
              <w:rPr>
                <w:lang w:val="en-US"/>
              </w:rPr>
              <w:t>V.</w:t>
            </w:r>
            <w:r w:rsidR="008911D7">
              <w:rPr>
                <w:lang w:val="en-US"/>
              </w:rPr>
              <w:t>3</w:t>
            </w:r>
          </w:p>
        </w:tc>
        <w:tc>
          <w:tcPr>
            <w:tcW w:w="865" w:type="dxa"/>
            <w:shd w:val="clear" w:color="auto" w:fill="auto"/>
          </w:tcPr>
          <w:p w14:paraId="7D74929D" w14:textId="157D8E7C" w:rsidR="005E1907" w:rsidRPr="007C160B" w:rsidRDefault="005E1907" w:rsidP="007C160B">
            <w:pPr>
              <w:rPr>
                <w:lang w:val="en-US"/>
              </w:rPr>
            </w:pPr>
            <w:r>
              <w:rPr>
                <w:lang w:val="en-US"/>
              </w:rPr>
              <w:t>10</w:t>
            </w:r>
          </w:p>
        </w:tc>
        <w:tc>
          <w:tcPr>
            <w:tcW w:w="2195" w:type="dxa"/>
            <w:shd w:val="clear" w:color="auto" w:fill="auto"/>
          </w:tcPr>
          <w:p w14:paraId="7C2983F9" w14:textId="5F72ECFD" w:rsidR="005E1907" w:rsidRPr="007C160B" w:rsidRDefault="005E1907" w:rsidP="51745D35">
            <w:pPr>
              <w:rPr>
                <w:lang w:val="en-US"/>
              </w:rPr>
            </w:pPr>
            <w:r w:rsidRPr="51745D35">
              <w:rPr>
                <w:lang w:val="en-US"/>
              </w:rPr>
              <w:t>Data source</w:t>
            </w:r>
          </w:p>
        </w:tc>
        <w:tc>
          <w:tcPr>
            <w:tcW w:w="5995" w:type="dxa"/>
            <w:shd w:val="clear" w:color="auto" w:fill="auto"/>
          </w:tcPr>
          <w:p w14:paraId="742274EE" w14:textId="068D55AF" w:rsidR="005E1907" w:rsidRPr="005E1907" w:rsidRDefault="005E1907" w:rsidP="005E1907">
            <w:pPr>
              <w:rPr>
                <w:lang w:val="en-US"/>
              </w:rPr>
            </w:pPr>
            <w:r w:rsidRPr="0C06129D">
              <w:rPr>
                <w:lang w:val="en-US"/>
              </w:rPr>
              <w:t xml:space="preserve">Data and metadata were extracted from Global SDG Indicators Database on 10 August 2021. </w:t>
            </w:r>
          </w:p>
          <w:p w14:paraId="23F47211" w14:textId="17F17BDE" w:rsidR="0C06129D" w:rsidRDefault="0C06129D" w:rsidP="0C06129D">
            <w:pPr>
              <w:rPr>
                <w:lang w:val="en-US"/>
              </w:rPr>
            </w:pPr>
          </w:p>
          <w:p w14:paraId="608A5873" w14:textId="771CDFA8" w:rsidR="005E1907" w:rsidRPr="005E1907" w:rsidRDefault="005E1907" w:rsidP="005E1907">
            <w:pPr>
              <w:rPr>
                <w:lang w:val="en-US"/>
              </w:rPr>
            </w:pPr>
            <w:r w:rsidRPr="005E1907">
              <w:rPr>
                <w:lang w:val="en-US"/>
              </w:rPr>
              <w:t xml:space="preserve">For more information, please go to the following:  </w:t>
            </w:r>
          </w:p>
          <w:p w14:paraId="7B5C1973" w14:textId="5CACD376" w:rsidR="005E1907" w:rsidRDefault="47791DF8" w:rsidP="008911D7">
            <w:pPr>
              <w:pStyle w:val="ListParagraph"/>
              <w:numPr>
                <w:ilvl w:val="0"/>
                <w:numId w:val="2"/>
              </w:numPr>
              <w:rPr>
                <w:lang w:val="en-US"/>
              </w:rPr>
            </w:pPr>
            <w:r w:rsidRPr="51745D35">
              <w:rPr>
                <w:lang w:val="en-US"/>
              </w:rPr>
              <w:t>[</w:t>
            </w:r>
            <w:r w:rsidR="00B059FD" w:rsidRPr="001212CA">
              <w:rPr>
                <w:lang w:val="en-US"/>
              </w:rPr>
              <w:t>https://unstats.un.org/sdgs/indicators/database/</w:t>
            </w:r>
            <w:r w:rsidR="5C8CD180" w:rsidRPr="001212CA">
              <w:rPr>
                <w:lang w:val="en-US"/>
              </w:rPr>
              <w:t>](https://unstats.un.org/sdgs/indicators/database/)</w:t>
            </w:r>
          </w:p>
          <w:p w14:paraId="5FB8D9DF" w14:textId="411F035E" w:rsidR="008911D7" w:rsidRPr="008911D7" w:rsidRDefault="5C8CD180" w:rsidP="008911D7">
            <w:pPr>
              <w:pStyle w:val="ListParagraph"/>
              <w:numPr>
                <w:ilvl w:val="0"/>
                <w:numId w:val="2"/>
              </w:numPr>
              <w:rPr>
                <w:lang w:val="en-US"/>
              </w:rPr>
            </w:pPr>
            <w:r w:rsidRPr="51745D35">
              <w:rPr>
                <w:lang w:val="en-US"/>
              </w:rPr>
              <w:t>[</w:t>
            </w:r>
            <w:r w:rsidR="008911D7" w:rsidRPr="001212CA">
              <w:rPr>
                <w:lang w:val="en-US"/>
              </w:rPr>
              <w:t>https://unstats.un.org/sdgs/metadata/files/Metadata-05-03-02.pdf</w:t>
            </w:r>
            <w:r w:rsidR="79FD86EF" w:rsidRPr="001212CA">
              <w:rPr>
                <w:lang w:val="en-US"/>
              </w:rPr>
              <w:t>](https://unstats.un.org/sdgs/metadata/files/Metadata-05-03-02.pdf)</w:t>
            </w:r>
          </w:p>
        </w:tc>
      </w:tr>
    </w:tbl>
    <w:p w14:paraId="6C5A5F82" w14:textId="77777777" w:rsidR="004E3C3F" w:rsidRPr="007C160B" w:rsidRDefault="004E3C3F">
      <w:pPr>
        <w:rPr>
          <w:lang w:val="en-US"/>
        </w:rPr>
      </w:pPr>
    </w:p>
    <w:sectPr w:rsidR="004E3C3F" w:rsidRPr="007C160B" w:rsidSect="00FD0BD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A3741"/>
    <w:multiLevelType w:val="hybridMultilevel"/>
    <w:tmpl w:val="CC36B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7B4E32"/>
    <w:multiLevelType w:val="hybridMultilevel"/>
    <w:tmpl w:val="B9962F2E"/>
    <w:lvl w:ilvl="0" w:tplc="A704E848">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0B"/>
    <w:rsid w:val="001212CA"/>
    <w:rsid w:val="0036680E"/>
    <w:rsid w:val="004E3C3F"/>
    <w:rsid w:val="005E1907"/>
    <w:rsid w:val="006310C3"/>
    <w:rsid w:val="007C160B"/>
    <w:rsid w:val="008911D7"/>
    <w:rsid w:val="009F270F"/>
    <w:rsid w:val="00A76E8A"/>
    <w:rsid w:val="00B059FD"/>
    <w:rsid w:val="00EC56CA"/>
    <w:rsid w:val="00EF09E8"/>
    <w:rsid w:val="00FD0BD4"/>
    <w:rsid w:val="023D0B80"/>
    <w:rsid w:val="0283DE73"/>
    <w:rsid w:val="061B0A22"/>
    <w:rsid w:val="08516265"/>
    <w:rsid w:val="08D438C7"/>
    <w:rsid w:val="09054555"/>
    <w:rsid w:val="0BA055D1"/>
    <w:rsid w:val="0C06129D"/>
    <w:rsid w:val="15DE0A13"/>
    <w:rsid w:val="167A5B03"/>
    <w:rsid w:val="187C7DC0"/>
    <w:rsid w:val="19590BA1"/>
    <w:rsid w:val="1B83C9D1"/>
    <w:rsid w:val="1BB41E82"/>
    <w:rsid w:val="21BFF51D"/>
    <w:rsid w:val="2816E559"/>
    <w:rsid w:val="29E4798B"/>
    <w:rsid w:val="37AF699F"/>
    <w:rsid w:val="37FF04F6"/>
    <w:rsid w:val="3AE70A61"/>
    <w:rsid w:val="3B595698"/>
    <w:rsid w:val="3ED0B1F8"/>
    <w:rsid w:val="42508A47"/>
    <w:rsid w:val="426192BC"/>
    <w:rsid w:val="440A9EDF"/>
    <w:rsid w:val="47791DF8"/>
    <w:rsid w:val="4B497F99"/>
    <w:rsid w:val="4E3CBC73"/>
    <w:rsid w:val="5055DEEC"/>
    <w:rsid w:val="50B688AA"/>
    <w:rsid w:val="51745D35"/>
    <w:rsid w:val="51F04B1E"/>
    <w:rsid w:val="5312C255"/>
    <w:rsid w:val="56784E3B"/>
    <w:rsid w:val="568452CD"/>
    <w:rsid w:val="57870F91"/>
    <w:rsid w:val="58188444"/>
    <w:rsid w:val="58A7CA97"/>
    <w:rsid w:val="59B6A7DC"/>
    <w:rsid w:val="5C8CD180"/>
    <w:rsid w:val="5CDEE49F"/>
    <w:rsid w:val="5FE4BAAD"/>
    <w:rsid w:val="6101711E"/>
    <w:rsid w:val="62621A7F"/>
    <w:rsid w:val="62651B95"/>
    <w:rsid w:val="6400EBF6"/>
    <w:rsid w:val="6415C3F3"/>
    <w:rsid w:val="652103C8"/>
    <w:rsid w:val="65940461"/>
    <w:rsid w:val="6AAE2400"/>
    <w:rsid w:val="73CE7717"/>
    <w:rsid w:val="75103544"/>
    <w:rsid w:val="7725DBA2"/>
    <w:rsid w:val="7809102E"/>
    <w:rsid w:val="7951E32E"/>
    <w:rsid w:val="79FD86EF"/>
    <w:rsid w:val="7DE8AD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C455"/>
  <w15:chartTrackingRefBased/>
  <w15:docId w15:val="{C84D8655-8674-4C9C-B9E9-EE2CA6C9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C16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C160B"/>
  </w:style>
  <w:style w:type="character" w:customStyle="1" w:styleId="eop">
    <w:name w:val="eop"/>
    <w:basedOn w:val="DefaultParagraphFont"/>
    <w:rsid w:val="007C160B"/>
  </w:style>
  <w:style w:type="character" w:styleId="Hyperlink">
    <w:name w:val="Hyperlink"/>
    <w:basedOn w:val="DefaultParagraphFont"/>
    <w:uiPriority w:val="99"/>
    <w:unhideWhenUsed/>
    <w:rsid w:val="007C160B"/>
    <w:rPr>
      <w:color w:val="0563C1" w:themeColor="hyperlink"/>
      <w:u w:val="single"/>
    </w:rPr>
  </w:style>
  <w:style w:type="character" w:styleId="UnresolvedMention">
    <w:name w:val="Unresolved Mention"/>
    <w:basedOn w:val="DefaultParagraphFont"/>
    <w:uiPriority w:val="99"/>
    <w:semiHidden/>
    <w:unhideWhenUsed/>
    <w:rsid w:val="007C160B"/>
    <w:rPr>
      <w:color w:val="605E5C"/>
      <w:shd w:val="clear" w:color="auto" w:fill="E1DFDD"/>
    </w:rPr>
  </w:style>
  <w:style w:type="paragraph" w:styleId="ListParagraph">
    <w:name w:val="List Paragraph"/>
    <w:basedOn w:val="Normal"/>
    <w:uiPriority w:val="34"/>
    <w:qFormat/>
    <w:rsid w:val="007C1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2558981">
      <w:bodyDiv w:val="1"/>
      <w:marLeft w:val="0"/>
      <w:marRight w:val="0"/>
      <w:marTop w:val="0"/>
      <w:marBottom w:val="0"/>
      <w:divBdr>
        <w:top w:val="none" w:sz="0" w:space="0" w:color="auto"/>
        <w:left w:val="none" w:sz="0" w:space="0" w:color="auto"/>
        <w:bottom w:val="none" w:sz="0" w:space="0" w:color="auto"/>
        <w:right w:val="none" w:sz="0" w:space="0" w:color="auto"/>
      </w:divBdr>
      <w:divsChild>
        <w:div w:id="1379359059">
          <w:marLeft w:val="0"/>
          <w:marRight w:val="0"/>
          <w:marTop w:val="0"/>
          <w:marBottom w:val="0"/>
          <w:divBdr>
            <w:top w:val="none" w:sz="0" w:space="0" w:color="auto"/>
            <w:left w:val="none" w:sz="0" w:space="0" w:color="auto"/>
            <w:bottom w:val="none" w:sz="0" w:space="0" w:color="auto"/>
            <w:right w:val="none" w:sz="0" w:space="0" w:color="auto"/>
          </w:divBdr>
          <w:divsChild>
            <w:div w:id="174880782">
              <w:marLeft w:val="0"/>
              <w:marRight w:val="0"/>
              <w:marTop w:val="0"/>
              <w:marBottom w:val="0"/>
              <w:divBdr>
                <w:top w:val="none" w:sz="0" w:space="0" w:color="auto"/>
                <w:left w:val="none" w:sz="0" w:space="0" w:color="auto"/>
                <w:bottom w:val="none" w:sz="0" w:space="0" w:color="auto"/>
                <w:right w:val="none" w:sz="0" w:space="0" w:color="auto"/>
              </w:divBdr>
            </w:div>
          </w:divsChild>
        </w:div>
        <w:div w:id="2112311781">
          <w:marLeft w:val="0"/>
          <w:marRight w:val="0"/>
          <w:marTop w:val="0"/>
          <w:marBottom w:val="0"/>
          <w:divBdr>
            <w:top w:val="none" w:sz="0" w:space="0" w:color="auto"/>
            <w:left w:val="none" w:sz="0" w:space="0" w:color="auto"/>
            <w:bottom w:val="none" w:sz="0" w:space="0" w:color="auto"/>
            <w:right w:val="none" w:sz="0" w:space="0" w:color="auto"/>
          </w:divBdr>
          <w:divsChild>
            <w:div w:id="2030334440">
              <w:marLeft w:val="0"/>
              <w:marRight w:val="0"/>
              <w:marTop w:val="0"/>
              <w:marBottom w:val="0"/>
              <w:divBdr>
                <w:top w:val="none" w:sz="0" w:space="0" w:color="auto"/>
                <w:left w:val="none" w:sz="0" w:space="0" w:color="auto"/>
                <w:bottom w:val="none" w:sz="0" w:space="0" w:color="auto"/>
                <w:right w:val="none" w:sz="0" w:space="0" w:color="auto"/>
              </w:divBdr>
            </w:div>
          </w:divsChild>
        </w:div>
        <w:div w:id="261887411">
          <w:marLeft w:val="0"/>
          <w:marRight w:val="0"/>
          <w:marTop w:val="0"/>
          <w:marBottom w:val="0"/>
          <w:divBdr>
            <w:top w:val="none" w:sz="0" w:space="0" w:color="auto"/>
            <w:left w:val="none" w:sz="0" w:space="0" w:color="auto"/>
            <w:bottom w:val="none" w:sz="0" w:space="0" w:color="auto"/>
            <w:right w:val="none" w:sz="0" w:space="0" w:color="auto"/>
          </w:divBdr>
          <w:divsChild>
            <w:div w:id="1613047244">
              <w:marLeft w:val="0"/>
              <w:marRight w:val="0"/>
              <w:marTop w:val="0"/>
              <w:marBottom w:val="0"/>
              <w:divBdr>
                <w:top w:val="none" w:sz="0" w:space="0" w:color="auto"/>
                <w:left w:val="none" w:sz="0" w:space="0" w:color="auto"/>
                <w:bottom w:val="none" w:sz="0" w:space="0" w:color="auto"/>
                <w:right w:val="none" w:sz="0" w:space="0" w:color="auto"/>
              </w:divBdr>
            </w:div>
          </w:divsChild>
        </w:div>
        <w:div w:id="301278322">
          <w:marLeft w:val="0"/>
          <w:marRight w:val="0"/>
          <w:marTop w:val="0"/>
          <w:marBottom w:val="0"/>
          <w:divBdr>
            <w:top w:val="none" w:sz="0" w:space="0" w:color="auto"/>
            <w:left w:val="none" w:sz="0" w:space="0" w:color="auto"/>
            <w:bottom w:val="none" w:sz="0" w:space="0" w:color="auto"/>
            <w:right w:val="none" w:sz="0" w:space="0" w:color="auto"/>
          </w:divBdr>
          <w:divsChild>
            <w:div w:id="18803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0BEE97-DD88-4B91-82DC-60E202576FA2}">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C2EA6AA9-7A3D-46F3-9A93-2817A9509887}">
  <ds:schemaRefs>
    <ds:schemaRef ds:uri="http://schemas.microsoft.com/sharepoint/v3/contenttype/forms"/>
  </ds:schemaRefs>
</ds:datastoreItem>
</file>

<file path=customXml/itemProps3.xml><?xml version="1.0" encoding="utf-8"?>
<ds:datastoreItem xmlns:ds="http://schemas.openxmlformats.org/officeDocument/2006/customXml" ds:itemID="{C4F43E43-537E-497E-BD7F-33C410243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Madita S.</dc:creator>
  <cp:keywords/>
  <dc:description/>
  <cp:lastModifiedBy>Luis Gerardo Gonzalez Morales</cp:lastModifiedBy>
  <cp:revision>7</cp:revision>
  <dcterms:created xsi:type="dcterms:W3CDTF">2021-08-25T09:36:00Z</dcterms:created>
  <dcterms:modified xsi:type="dcterms:W3CDTF">2021-09-12T08:01:00Z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