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2123"/>
        <w:gridCol w:w="2693"/>
        <w:gridCol w:w="6698"/>
      </w:tblGrid>
      <w:tr w:rsidR="5D9F2597" w14:paraId="176C121C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06C874" w14:textId="5B305561" w:rsidR="1796285C" w:rsidRDefault="1796285C" w:rsidP="5D9F2597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5D9F259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INDICATOR_NUM</w:t>
            </w:r>
          </w:p>
          <w:p w14:paraId="7AC3F25B" w14:textId="3211EB8C" w:rsidR="5D9F2597" w:rsidRDefault="5D9F2597" w:rsidP="5D9F2597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5871B1E6" w14:textId="3391ABC1" w:rsidR="5D9F2597" w:rsidRDefault="5D9F2597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81AE7" w14:textId="25875276" w:rsidR="1796285C" w:rsidRDefault="1796285C" w:rsidP="5D9F2597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5D9F259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METADATA_CATEGORY</w:t>
            </w:r>
          </w:p>
          <w:p w14:paraId="5DC357A7" w14:textId="585981B9" w:rsidR="5D9F2597" w:rsidRDefault="5D9F2597" w:rsidP="5D9F2597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049E6EEA" w14:textId="10AB125F" w:rsidR="5D9F2597" w:rsidRDefault="5D9F2597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E7CA2" w14:textId="6ABD3F4D" w:rsidR="1796285C" w:rsidRDefault="1796285C" w:rsidP="5D9F2597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5D9F259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METADATA_CATEGORY_DESC</w:t>
            </w:r>
          </w:p>
          <w:p w14:paraId="71EBC663" w14:textId="44A865BA" w:rsidR="5D9F2597" w:rsidRDefault="5D9F2597" w:rsidP="5D9F2597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2A33109D" w14:textId="63510153" w:rsidR="5D9F2597" w:rsidRDefault="5D9F2597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E2694" w14:textId="2E5FD11E" w:rsidR="1796285C" w:rsidRDefault="1796285C" w:rsidP="5D9F2597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5D9F259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METADATA_DESCRIPTION</w:t>
            </w:r>
          </w:p>
          <w:p w14:paraId="7025704E" w14:textId="39C25E14" w:rsidR="5D9F2597" w:rsidRDefault="5D9F2597" w:rsidP="5D9F2597">
            <w:pPr>
              <w:rPr>
                <w:rFonts w:ascii="Calibri" w:eastAsia="Calibri" w:hAnsi="Calibri" w:cs="Calibri"/>
              </w:rPr>
            </w:pPr>
          </w:p>
          <w:p w14:paraId="2A23519A" w14:textId="22443108" w:rsidR="5D9F2597" w:rsidRDefault="5D9F2597" w:rsidP="5D9F259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02100C" w:rsidRPr="00155B79" w14:paraId="4612C4C5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36CE4E" w14:textId="442AE812" w:rsidR="175735C4" w:rsidRDefault="22067EB9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F0EE8A" w14:textId="5E7D3A24" w:rsidR="20A380E8" w:rsidRDefault="20A380E8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175735C4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17C2E" w14:textId="77777777" w:rsidR="0002100C" w:rsidRPr="00155B79" w:rsidRDefault="0002100C" w:rsidP="461AF24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461AF24C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Contact point in international agency</w:t>
            </w:r>
            <w:r w:rsidRPr="461AF24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838BA" w14:textId="5363A30F" w:rsidR="5BF4537C" w:rsidRDefault="5BF4537C" w:rsidP="5D9F259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</w:rPr>
              <w:t>N</w:t>
            </w:r>
            <w:r w:rsidR="2B234ABA" w:rsidRPr="5D9F2597">
              <w:rPr>
                <w:rFonts w:ascii="Calibri" w:eastAsia="Times New Roman" w:hAnsi="Calibri" w:cs="Calibri"/>
                <w:sz w:val="20"/>
                <w:szCs w:val="20"/>
              </w:rPr>
              <w:t xml:space="preserve">ame: Marie-Claire Sodergren </w:t>
            </w:r>
          </w:p>
          <w:p w14:paraId="63B5FC24" w14:textId="29CB7B96" w:rsidR="2B234ABA" w:rsidRDefault="2B234ABA" w:rsidP="5D9F259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</w:rPr>
              <w:t>Agency: ILO</w:t>
            </w:r>
          </w:p>
          <w:p w14:paraId="13FA99EF" w14:textId="00176F05" w:rsidR="2B234ABA" w:rsidRDefault="2B234ABA" w:rsidP="5D9F259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</w:rPr>
              <w:t xml:space="preserve">Title: Economist, Department of Statistics </w:t>
            </w:r>
          </w:p>
          <w:p w14:paraId="1506A215" w14:textId="7C0A06E2" w:rsidR="2B234ABA" w:rsidRDefault="65E8E117" w:rsidP="5D9F259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1929B2F0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proofErr w:type="gramStart"/>
            <w:r w:rsidRPr="1929B2F0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2B234ABA" w:rsidRPr="1929B2F0">
              <w:rPr>
                <w:rFonts w:ascii="Calibri" w:eastAsia="Times New Roman" w:hAnsi="Calibri" w:cs="Calibri"/>
                <w:sz w:val="20"/>
                <w:szCs w:val="20"/>
              </w:rPr>
              <w:t>odergren@ilo.org</w:t>
            </w:r>
            <w:r w:rsidR="55C67287" w:rsidRPr="1929B2F0">
              <w:rPr>
                <w:rFonts w:ascii="Calibri" w:eastAsia="Times New Roman" w:hAnsi="Calibri" w:cs="Calibri"/>
                <w:sz w:val="20"/>
                <w:szCs w:val="20"/>
              </w:rPr>
              <w:t>](</w:t>
            </w:r>
            <w:proofErr w:type="gramEnd"/>
            <w:r w:rsidR="55C67287" w:rsidRPr="1929B2F0">
              <w:rPr>
                <w:rFonts w:ascii="Calibri" w:eastAsia="Times New Roman" w:hAnsi="Calibri" w:cs="Calibri"/>
                <w:sz w:val="20"/>
                <w:szCs w:val="20"/>
              </w:rPr>
              <w:t>mailto:sodergren@ilo.org)</w:t>
            </w:r>
          </w:p>
          <w:p w14:paraId="5865674E" w14:textId="5F7AFE0D" w:rsidR="2B234ABA" w:rsidRDefault="55C67287" w:rsidP="5D9F259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1929B2F0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proofErr w:type="gramStart"/>
            <w:r w:rsidR="2B234ABA" w:rsidRPr="1929B2F0">
              <w:rPr>
                <w:rFonts w:ascii="Calibri" w:eastAsia="Times New Roman" w:hAnsi="Calibri" w:cs="Calibri"/>
                <w:sz w:val="20"/>
                <w:szCs w:val="20"/>
              </w:rPr>
              <w:t>ilostat.ilo.org</w:t>
            </w:r>
            <w:r w:rsidR="3815CF9C" w:rsidRPr="1929B2F0">
              <w:rPr>
                <w:rFonts w:ascii="Calibri" w:eastAsia="Times New Roman" w:hAnsi="Calibri" w:cs="Calibri"/>
                <w:sz w:val="20"/>
                <w:szCs w:val="20"/>
              </w:rPr>
              <w:t>](</w:t>
            </w:r>
            <w:proofErr w:type="gramEnd"/>
            <w:r w:rsidR="3815CF9C" w:rsidRPr="1929B2F0">
              <w:rPr>
                <w:rFonts w:ascii="Calibri" w:eastAsia="Times New Roman" w:hAnsi="Calibri" w:cs="Calibri"/>
                <w:sz w:val="20"/>
                <w:szCs w:val="20"/>
              </w:rPr>
              <w:t>ilostat.ilo.org)</w:t>
            </w:r>
          </w:p>
          <w:p w14:paraId="1780DFB4" w14:textId="5385A6E5" w:rsidR="0002100C" w:rsidRPr="00155B79" w:rsidRDefault="0002100C" w:rsidP="461AF24C">
            <w:pPr>
              <w:textAlignment w:val="baseline"/>
              <w:rPr>
                <w:rStyle w:val="eop"/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02100C" w:rsidRPr="00155B79" w14:paraId="2EE2BC90" w14:textId="77777777" w:rsidTr="1929B2F0">
        <w:trPr>
          <w:trHeight w:val="1125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B1DB11" w14:textId="442AE812" w:rsidR="3C71AE8F" w:rsidRDefault="0B6573AB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471FA3C4" w14:textId="3B41180F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ACB95" w14:textId="385B4961" w:rsidR="09427200" w:rsidRDefault="7B6880A9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A53D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International agreed definition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148A3" w14:textId="365BECE9" w:rsidR="0002100C" w:rsidRDefault="0002100C" w:rsidP="1929B2F0">
            <w:p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force participation rate is the number of persons in the 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force as a percentage of the working-age population. The 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force is the sum of the number of persons employed and the number of persons unemployed. Thus, the measurement of the 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force participation rate requires the measurement of both employment and unemployment. Employment comprises all persons of working age who during a specified brief period, such as one week or one day, were in the following categories: </w:t>
            </w:r>
          </w:p>
          <w:p w14:paraId="7FDD9AEB" w14:textId="746562B4" w:rsidR="0002100C" w:rsidRDefault="0002100C" w:rsidP="1929B2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paid employment </w:t>
            </w:r>
            <w:proofErr w:type="gramStart"/>
            <w:r w:rsidR="48081058" w:rsidRPr="1929B2F0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1929B2F0">
              <w:rPr>
                <w:rFonts w:ascii="Calibri" w:hAnsi="Calibri" w:cs="Calibri"/>
                <w:sz w:val="20"/>
                <w:szCs w:val="20"/>
              </w:rPr>
              <w:t>whether at work or with a job but not at work</w:t>
            </w:r>
            <w:r w:rsidR="36B92531" w:rsidRPr="1929B2F0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>
              <w:rPr>
                <w:rFonts w:ascii="Calibri" w:hAnsi="Calibri" w:cs="Calibri"/>
                <w:sz w:val="20"/>
                <w:szCs w:val="20"/>
              </w:rPr>
              <w:t xml:space="preserve">); </w:t>
            </w:r>
          </w:p>
          <w:p w14:paraId="376A55F7" w14:textId="41B6408C" w:rsidR="0002100C" w:rsidRDefault="0002100C" w:rsidP="1929B2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or self-employment </w:t>
            </w:r>
            <w:proofErr w:type="gramStart"/>
            <w:r w:rsidR="5AFB86E7" w:rsidRPr="1929B2F0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1929B2F0">
              <w:rPr>
                <w:rFonts w:ascii="Calibri" w:hAnsi="Calibri" w:cs="Calibri"/>
                <w:sz w:val="20"/>
                <w:szCs w:val="20"/>
              </w:rPr>
              <w:t>whether at work or with an enterprise but not at work</w:t>
            </w:r>
            <w:r w:rsidR="0D9E7214" w:rsidRPr="1929B2F0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>
              <w:rPr>
                <w:rFonts w:ascii="Calibri" w:hAnsi="Calibri" w:cs="Calibri"/>
                <w:sz w:val="20"/>
                <w:szCs w:val="20"/>
              </w:rPr>
              <w:t xml:space="preserve">). </w:t>
            </w:r>
          </w:p>
          <w:p w14:paraId="73302012" w14:textId="1C56BC61" w:rsidR="0002100C" w:rsidRDefault="0002100C" w:rsidP="1929B2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145DBE" w14:textId="0140810C" w:rsidR="0002100C" w:rsidRDefault="0002100C" w:rsidP="1929B2F0">
            <w:p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The unemployed comprise all persons of working age who were: </w:t>
            </w:r>
          </w:p>
          <w:p w14:paraId="6F95A099" w14:textId="510AC8DB" w:rsidR="0002100C" w:rsidRDefault="0002100C" w:rsidP="1929B2F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without work during the reference period, </w:t>
            </w:r>
            <w:proofErr w:type="gramStart"/>
            <w:r w:rsidRPr="1929B2F0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were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not in paid employment or self-employment; </w:t>
            </w:r>
          </w:p>
          <w:p w14:paraId="115D6BD7" w14:textId="1C89D513" w:rsidR="0002100C" w:rsidRDefault="0002100C" w:rsidP="1929B2F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currently available for work, </w:t>
            </w:r>
            <w:proofErr w:type="gramStart"/>
            <w:r w:rsidRPr="1929B2F0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were available for paid employment or self-employment during the reference period; </w:t>
            </w:r>
          </w:p>
          <w:p w14:paraId="5291316A" w14:textId="686D16E6" w:rsidR="0002100C" w:rsidRDefault="0002100C" w:rsidP="1929B2F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and seeking work, </w:t>
            </w:r>
            <w:proofErr w:type="gramStart"/>
            <w:r w:rsidRPr="1929B2F0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had taken specific steps in a specified recent period to seek paid employment or self-employment. </w:t>
            </w:r>
          </w:p>
          <w:p w14:paraId="4CA1CCE0" w14:textId="77777777" w:rsidR="0002100C" w:rsidRDefault="0002100C" w:rsidP="00A048A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4DCF8FF" w14:textId="29D6C735" w:rsidR="0002100C" w:rsidRDefault="0002100C" w:rsidP="461AF24C">
            <w:pPr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The working-age population is the population above the legal working age, but for statistical purposes it comprises all persons above a specified minimum age threshold for which an inquiry on economic activity is made. To promote international comparability, the working-age population is often defined as all persons aged 15 and older, but this may vary from country to country based on national laws and practices </w:t>
            </w:r>
            <w:proofErr w:type="gramStart"/>
            <w:r w:rsidR="3D1FBB95" w:rsidRPr="1929B2F0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1929B2F0">
              <w:rPr>
                <w:rFonts w:ascii="Calibri" w:hAnsi="Calibri" w:cs="Calibri"/>
                <w:sz w:val="20"/>
                <w:szCs w:val="20"/>
              </w:rPr>
              <w:t>some countries also apply an upper age limit</w:t>
            </w:r>
            <w:r w:rsidR="05F763E4" w:rsidRPr="1929B2F0">
              <w:rPr>
                <w:rFonts w:ascii="Calibri" w:hAnsi="Calibri" w:cs="Calibri"/>
                <w:sz w:val="20"/>
                <w:szCs w:val="20"/>
              </w:rPr>
              <w:t>\</w:t>
            </w:r>
            <w:r w:rsidRPr="1929B2F0">
              <w:rPr>
                <w:rFonts w:ascii="Calibri" w:hAnsi="Calibri" w:cs="Calibri"/>
                <w:sz w:val="20"/>
                <w:szCs w:val="20"/>
              </w:rPr>
              <w:t>).</w:t>
            </w:r>
          </w:p>
          <w:p w14:paraId="42BB84CE" w14:textId="62DAABE7" w:rsidR="0002100C" w:rsidRPr="00155B79" w:rsidRDefault="0002100C" w:rsidP="461AF24C">
            <w:pPr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  <w:tr w:rsidR="0002100C" w:rsidRPr="00155B79" w14:paraId="3FDBEFC2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B1402" w14:textId="442AE812" w:rsidR="3C71AE8F" w:rsidRDefault="05DB07D4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1D8BD081" w14:textId="4FBEB009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E20E" w14:textId="658AEC8F" w:rsidR="09427200" w:rsidRDefault="1A96B8E2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89F1A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Method of computation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C52FD" w14:textId="0B4DA41E" w:rsidR="0002100C" w:rsidRPr="00B044CE" w:rsidRDefault="0002100C" w:rsidP="1929B2F0">
            <w:p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force participation rate is calculated as follows:</w:t>
            </w:r>
          </w:p>
          <w:p w14:paraId="64B114C0" w14:textId="2FC0D903" w:rsidR="0002100C" w:rsidRPr="00B044CE" w:rsidRDefault="0D93D677" w:rsidP="1929B2F0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lastRenderedPageBreak/>
              <w:t>as the *</w:t>
            </w:r>
            <w:proofErr w:type="spellStart"/>
            <w:r w:rsidRPr="1929B2F0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1929B2F0">
              <w:rPr>
                <w:rFonts w:ascii="Calibri" w:hAnsi="Calibri" w:cs="Calibri"/>
                <w:sz w:val="20"/>
                <w:szCs w:val="20"/>
              </w:rPr>
              <w:t xml:space="preserve"> force* divided by the *working-age population*, and then multiplied by </w:t>
            </w:r>
            <w:proofErr w:type="gramStart"/>
            <w:r w:rsidRPr="1929B2F0">
              <w:rPr>
                <w:rFonts w:ascii="Calibri" w:hAnsi="Calibri" w:cs="Calibri"/>
                <w:sz w:val="20"/>
                <w:szCs w:val="20"/>
              </w:rPr>
              <w:t>100;</w:t>
            </w:r>
            <w:proofErr w:type="gramEnd"/>
          </w:p>
          <w:p w14:paraId="0C6CAAAA" w14:textId="7D7A163F" w:rsidR="0002100C" w:rsidRPr="00B044CE" w:rsidRDefault="0D93D677" w:rsidP="1929B2F0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929B2F0">
              <w:rPr>
                <w:rFonts w:ascii="Calibri" w:hAnsi="Calibri" w:cs="Calibri"/>
                <w:sz w:val="20"/>
                <w:szCs w:val="20"/>
              </w:rPr>
              <w:t xml:space="preserve">or as the *sum of persons employed and unemployed*, which is then divided by the *working-age population*, and then multiplied by 100. </w:t>
            </w:r>
            <w:r w:rsidR="0002100C" w:rsidRPr="1929B2F0">
              <w:rPr>
                <w:rFonts w:ascii="Calibri" w:hAnsi="Calibri" w:cs="Calibri"/>
                <w:sz w:val="20"/>
                <w:szCs w:val="20"/>
              </w:rPr>
              <w:t xml:space="preserve">                                  </w:t>
            </w:r>
          </w:p>
        </w:tc>
      </w:tr>
      <w:tr w:rsidR="0002100C" w:rsidRPr="00155B79" w14:paraId="5740DFF9" w14:textId="77777777" w:rsidTr="1929B2F0">
        <w:trPr>
          <w:trHeight w:val="2505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FA921" w14:textId="442AE812" w:rsidR="3C71AE8F" w:rsidRDefault="58661BB8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lastRenderedPageBreak/>
              <w:t>I.3</w:t>
            </w:r>
          </w:p>
          <w:p w14:paraId="1A52D0DF" w14:textId="0F27AF58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FB0813" w14:textId="4CDE6443" w:rsidR="3AE3456F" w:rsidRDefault="47256453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9C190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Importance of the indicator in addressing gender issues and its limitation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4AF1" w14:textId="594B09A5" w:rsidR="6D814335" w:rsidRDefault="6D814335" w:rsidP="1929B2F0">
            <w:pPr>
              <w:rPr>
                <w:sz w:val="20"/>
                <w:szCs w:val="20"/>
              </w:rPr>
            </w:pPr>
            <w:r w:rsidRPr="1929B2F0">
              <w:rPr>
                <w:sz w:val="20"/>
                <w:szCs w:val="20"/>
              </w:rPr>
              <w:t xml:space="preserve">The indicator for </w:t>
            </w:r>
            <w:proofErr w:type="spellStart"/>
            <w:r w:rsidRPr="1929B2F0">
              <w:rPr>
                <w:sz w:val="20"/>
                <w:szCs w:val="20"/>
              </w:rPr>
              <w:t>labour</w:t>
            </w:r>
            <w:proofErr w:type="spellEnd"/>
            <w:r w:rsidRPr="1929B2F0">
              <w:rPr>
                <w:sz w:val="20"/>
                <w:szCs w:val="20"/>
              </w:rPr>
              <w:t xml:space="preserve"> force participation rate plays a central role in the study of the factors that determine the size and composition of a country’s human resources and in making projections of the future supply of </w:t>
            </w:r>
            <w:proofErr w:type="spellStart"/>
            <w:r w:rsidRPr="1929B2F0">
              <w:rPr>
                <w:sz w:val="20"/>
                <w:szCs w:val="20"/>
              </w:rPr>
              <w:t>labour</w:t>
            </w:r>
            <w:proofErr w:type="spellEnd"/>
            <w:r w:rsidRPr="1929B2F0">
              <w:rPr>
                <w:sz w:val="20"/>
                <w:szCs w:val="20"/>
              </w:rPr>
              <w:t xml:space="preserve">. To some degree, the way in which the </w:t>
            </w:r>
            <w:proofErr w:type="spellStart"/>
            <w:r w:rsidRPr="1929B2F0">
              <w:rPr>
                <w:sz w:val="20"/>
                <w:szCs w:val="20"/>
              </w:rPr>
              <w:t>labour</w:t>
            </w:r>
            <w:proofErr w:type="spellEnd"/>
            <w:r w:rsidRPr="1929B2F0">
              <w:rPr>
                <w:sz w:val="20"/>
                <w:szCs w:val="20"/>
              </w:rPr>
              <w:t xml:space="preserve"> force is measured can </w:t>
            </w:r>
            <w:proofErr w:type="gramStart"/>
            <w:r w:rsidRPr="1929B2F0">
              <w:rPr>
                <w:sz w:val="20"/>
                <w:szCs w:val="20"/>
              </w:rPr>
              <w:t>have an effect on</w:t>
            </w:r>
            <w:proofErr w:type="gramEnd"/>
            <w:r w:rsidRPr="1929B2F0">
              <w:rPr>
                <w:sz w:val="20"/>
                <w:szCs w:val="20"/>
              </w:rPr>
              <w:t xml:space="preserve"> the extent to which men and women are included in </w:t>
            </w:r>
            <w:proofErr w:type="spellStart"/>
            <w:r w:rsidRPr="1929B2F0">
              <w:rPr>
                <w:sz w:val="20"/>
                <w:szCs w:val="20"/>
              </w:rPr>
              <w:t>labour</w:t>
            </w:r>
            <w:proofErr w:type="spellEnd"/>
            <w:r w:rsidRPr="1929B2F0">
              <w:rPr>
                <w:sz w:val="20"/>
                <w:szCs w:val="20"/>
              </w:rPr>
              <w:t xml:space="preserve"> force estimates. Unless specific probes are built into the data collection instrument, certain groups of workers may be underestimated – particularly the number of employed persons who </w:t>
            </w:r>
          </w:p>
          <w:p w14:paraId="0D3F79E0" w14:textId="1252F3A9" w:rsidR="6D814335" w:rsidRDefault="6D814335" w:rsidP="1929B2F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1929B2F0">
              <w:rPr>
                <w:sz w:val="20"/>
                <w:szCs w:val="20"/>
              </w:rPr>
              <w:t xml:space="preserve">work for only a few hours in the reference period, especially if they do not do so regularly, </w:t>
            </w:r>
          </w:p>
          <w:p w14:paraId="2B7DE807" w14:textId="34C30141" w:rsidR="6D814335" w:rsidRDefault="6D814335" w:rsidP="1929B2F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1929B2F0">
              <w:rPr>
                <w:sz w:val="20"/>
                <w:szCs w:val="20"/>
              </w:rPr>
              <w:t xml:space="preserve">are in unpaid employment, </w:t>
            </w:r>
          </w:p>
          <w:p w14:paraId="4AD2C769" w14:textId="59F95B09" w:rsidR="6D814335" w:rsidRDefault="6D814335" w:rsidP="1929B2F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1929B2F0">
              <w:rPr>
                <w:sz w:val="20"/>
                <w:szCs w:val="20"/>
              </w:rPr>
              <w:t xml:space="preserve">or work near or in their home, thus mixing work and personal activities during the day. </w:t>
            </w:r>
          </w:p>
          <w:p w14:paraId="6EDEB189" w14:textId="4CB86B06" w:rsidR="6D814335" w:rsidRDefault="6D814335" w:rsidP="1929B2F0">
            <w:pPr>
              <w:rPr>
                <w:sz w:val="20"/>
                <w:szCs w:val="20"/>
              </w:rPr>
            </w:pPr>
            <w:r w:rsidRPr="1929B2F0">
              <w:rPr>
                <w:sz w:val="20"/>
                <w:szCs w:val="20"/>
              </w:rPr>
              <w:t xml:space="preserve">Since women, more so than men, are found in these situations, it is to be expected that the number of women in employment </w:t>
            </w:r>
            <w:proofErr w:type="gramStart"/>
            <w:r w:rsidR="5DBF0FE2" w:rsidRPr="1929B2F0">
              <w:rPr>
                <w:sz w:val="20"/>
                <w:szCs w:val="20"/>
              </w:rPr>
              <w:t>\</w:t>
            </w:r>
            <w:r w:rsidRPr="1929B2F0">
              <w:rPr>
                <w:sz w:val="20"/>
                <w:szCs w:val="20"/>
              </w:rPr>
              <w:t>(</w:t>
            </w:r>
            <w:proofErr w:type="gramEnd"/>
            <w:r w:rsidRPr="1929B2F0">
              <w:rPr>
                <w:sz w:val="20"/>
                <w:szCs w:val="20"/>
              </w:rPr>
              <w:t xml:space="preserve">and thus the female </w:t>
            </w:r>
            <w:proofErr w:type="spellStart"/>
            <w:r w:rsidRPr="1929B2F0">
              <w:rPr>
                <w:sz w:val="20"/>
                <w:szCs w:val="20"/>
              </w:rPr>
              <w:t>labour</w:t>
            </w:r>
            <w:proofErr w:type="spellEnd"/>
            <w:r w:rsidRPr="1929B2F0">
              <w:rPr>
                <w:sz w:val="20"/>
                <w:szCs w:val="20"/>
              </w:rPr>
              <w:t xml:space="preserve"> force</w:t>
            </w:r>
            <w:r w:rsidR="01C32321" w:rsidRPr="1929B2F0">
              <w:rPr>
                <w:sz w:val="20"/>
                <w:szCs w:val="20"/>
              </w:rPr>
              <w:t>\</w:t>
            </w:r>
            <w:r w:rsidRPr="1929B2F0">
              <w:rPr>
                <w:sz w:val="20"/>
                <w:szCs w:val="20"/>
              </w:rPr>
              <w:t>) will tend to be underestimated to a larger extent than the number of men.</w:t>
            </w:r>
          </w:p>
          <w:p w14:paraId="1409CE6D" w14:textId="77777777" w:rsidR="0002100C" w:rsidRPr="00225A04" w:rsidRDefault="0002100C" w:rsidP="00C20FFB">
            <w:p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2100C" w:rsidRPr="00155B79" w14:paraId="20F5317B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998FFB" w14:textId="442AE812" w:rsidR="3C71AE8F" w:rsidRDefault="19EAE69E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52B791E8" w14:textId="1C39A58F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A1F52" w14:textId="6A11F6DE" w:rsidR="3AE3456F" w:rsidRDefault="256B33FC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D2C05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Sources of discrepancies between global and national figures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EB07B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Do not apply</w:t>
            </w:r>
          </w:p>
        </w:tc>
      </w:tr>
      <w:tr w:rsidR="0002100C" w:rsidRPr="00155B79" w14:paraId="0DFA5F09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15F00F" w14:textId="442AE812" w:rsidR="3C71AE8F" w:rsidRDefault="49A263E1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4501B700" w14:textId="34B91779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D620D" w14:textId="402F8C59" w:rsidR="3AE3456F" w:rsidRDefault="75FA15A6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6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80A81" w14:textId="77777777" w:rsidR="0002100C" w:rsidRPr="00155B79" w:rsidRDefault="0002100C" w:rsidP="461AF24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461AF24C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Process of obtaining data</w:t>
            </w:r>
            <w:r w:rsidRPr="461AF24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E770B" w14:textId="61099317" w:rsidR="0002100C" w:rsidRPr="00155B79" w:rsidRDefault="5D8F5B9E" w:rsidP="461AF24C">
            <w:pPr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Labour</w:t>
            </w:r>
            <w:proofErr w:type="spell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force surveys are the preferred source of information for determining the </w:t>
            </w:r>
            <w:proofErr w:type="spell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labour</w:t>
            </w:r>
            <w:proofErr w:type="spell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force participation rate and related indicators. Such surveys can be designed to cover virtually the entire non-institutional population of a given country, all branches of economic activity, all sectors of the economy and all categories of workers, including the self-employed, contributing family workers, casual </w:t>
            </w:r>
            <w:proofErr w:type="gram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workers</w:t>
            </w:r>
            <w:proofErr w:type="gram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and multiple jobholders. In addition, such surveys generally provide an opportunity for the simultaneous measurement of the employed, the unemployed and persons outside the </w:t>
            </w:r>
            <w:proofErr w:type="spell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labour</w:t>
            </w:r>
            <w:proofErr w:type="spell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force in a coherent framework. </w:t>
            </w:r>
          </w:p>
          <w:p w14:paraId="5C9F9B49" w14:textId="5E7E1162" w:rsidR="0002100C" w:rsidRPr="00155B79" w:rsidRDefault="0002100C" w:rsidP="461AF24C">
            <w:pPr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9B08D91" w14:textId="1105C689" w:rsidR="0002100C" w:rsidRPr="00155B79" w:rsidRDefault="5D8F5B9E" w:rsidP="461AF24C">
            <w:pPr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Population censuses are another major source of data on the </w:t>
            </w:r>
            <w:proofErr w:type="spell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labour</w:t>
            </w:r>
            <w:proofErr w:type="spell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force and its components. The </w:t>
            </w:r>
            <w:proofErr w:type="spell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labour</w:t>
            </w:r>
            <w:proofErr w:type="spell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force participation rates obtained from population censuses, however, tend to be lower, as census forms do not typically allow for detailed probing on the </w:t>
            </w:r>
            <w:proofErr w:type="spellStart"/>
            <w:r w:rsidRPr="461AF24C">
              <w:rPr>
                <w:rFonts w:ascii="Calibri" w:eastAsia="Calibri" w:hAnsi="Calibri" w:cs="Calibri"/>
                <w:sz w:val="20"/>
                <w:szCs w:val="20"/>
              </w:rPr>
              <w:t>labour</w:t>
            </w:r>
            <w:proofErr w:type="spellEnd"/>
            <w:r w:rsidRPr="461AF24C">
              <w:rPr>
                <w:rFonts w:ascii="Calibri" w:eastAsia="Calibri" w:hAnsi="Calibri" w:cs="Calibri"/>
                <w:sz w:val="20"/>
                <w:szCs w:val="20"/>
              </w:rPr>
              <w:t xml:space="preserve"> market activities of the respondents.</w:t>
            </w:r>
          </w:p>
          <w:p w14:paraId="263658D3" w14:textId="1531845A" w:rsidR="0002100C" w:rsidRPr="00155B79" w:rsidRDefault="0002100C" w:rsidP="461AF24C">
            <w:p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2100C" w:rsidRPr="00155B79" w14:paraId="38B6ACC6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D22771" w14:textId="442AE812" w:rsidR="3C71AE8F" w:rsidRDefault="0515806C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lastRenderedPageBreak/>
              <w:t>I.3</w:t>
            </w:r>
          </w:p>
          <w:p w14:paraId="0C499CB8" w14:textId="5D041FD6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16A64" w14:textId="580E896E" w:rsidR="3F229897" w:rsidRDefault="7FAC97AB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7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CA194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Treatment of missing values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DE6A8" w14:textId="5B026757" w:rsidR="0002100C" w:rsidRPr="00155B79" w:rsidRDefault="0002100C" w:rsidP="5D9F259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2100C" w:rsidRPr="00155B79" w14:paraId="5613385A" w14:textId="77777777" w:rsidTr="1929B2F0">
        <w:trPr>
          <w:trHeight w:val="417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DBD4BF" w14:textId="442AE812" w:rsidR="3C71AE8F" w:rsidRDefault="3BD58235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0F1B3748" w14:textId="7855354C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7BBEA2" w14:textId="050873F9" w:rsidR="3F229897" w:rsidRDefault="1B4B4481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8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EF76E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Data availability and assessment of countries’ capacity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F0156" w14:textId="1FFD68EB" w:rsidR="0002100C" w:rsidRPr="00733E86" w:rsidRDefault="0002100C" w:rsidP="461AF24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2100C" w:rsidRPr="00155B79" w14:paraId="4AF83FC3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14825" w14:textId="442AE812" w:rsidR="3C71AE8F" w:rsidRDefault="646C0CB8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61433831" w14:textId="3682A774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7C0AE0" w14:textId="48388A11" w:rsidR="7988CE6B" w:rsidRDefault="72E8CC78" w:rsidP="175735C4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9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5B521" w14:textId="77777777" w:rsidR="0002100C" w:rsidRPr="00155B79" w:rsidRDefault="0002100C" w:rsidP="00C20FF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5B79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Expected time of release</w:t>
            </w:r>
            <w:r w:rsidRPr="00155B7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DCB97" w14:textId="4E0533BE" w:rsidR="0002100C" w:rsidRPr="0002100C" w:rsidRDefault="0002100C" w:rsidP="461AF24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3C71AE8F" w14:paraId="4E4D74AE" w14:textId="77777777" w:rsidTr="1929B2F0">
        <w:trPr>
          <w:trHeight w:val="300"/>
        </w:trPr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4000D" w14:textId="442AE812" w:rsidR="3C71AE8F" w:rsidRDefault="4CD521DB" w:rsidP="5D9F2597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5D9F259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I.3</w:t>
            </w:r>
          </w:p>
          <w:p w14:paraId="312D0D81" w14:textId="528C34C7" w:rsidR="3C71AE8F" w:rsidRDefault="3C71AE8F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F72E4" w14:textId="38C9D8FA" w:rsidR="1E36F275" w:rsidRDefault="1E36F275" w:rsidP="3C71AE8F">
            <w:pP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3C71AE8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10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0955C" w14:textId="24F0DD1A" w:rsidR="3C71AE8F" w:rsidRDefault="55330964" w:rsidP="2D3B45D6">
            <w:r w:rsidRPr="2D3B45D6">
              <w:rPr>
                <w:rFonts w:ascii="Calibri" w:eastAsia="Calibri" w:hAnsi="Calibri" w:cs="Calibri"/>
                <w:sz w:val="19"/>
                <w:szCs w:val="19"/>
                <w:lang w:val="en-GB"/>
              </w:rPr>
              <w:t>Data source</w:t>
            </w:r>
          </w:p>
          <w:p w14:paraId="00ED3283" w14:textId="2309A910" w:rsidR="3C71AE8F" w:rsidRDefault="3C71AE8F" w:rsidP="3C71AE8F"/>
        </w:tc>
        <w:tc>
          <w:tcPr>
            <w:tcW w:w="10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D5B14" w14:textId="3CA0AF9B" w:rsidR="3C71AE8F" w:rsidRDefault="60AB63EA" w:rsidP="5D9F259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D9F2597">
              <w:rPr>
                <w:rFonts w:ascii="Calibri" w:eastAsia="Calibri" w:hAnsi="Calibri" w:cs="Calibri"/>
                <w:sz w:val="20"/>
                <w:szCs w:val="20"/>
                <w:lang w:val="en-GB"/>
              </w:rPr>
              <w:t>Data and metadata were extracted from ILOSTAT Database on 21 May 2021.</w:t>
            </w:r>
          </w:p>
          <w:p w14:paraId="1F725E2F" w14:textId="7730A458" w:rsidR="3C71AE8F" w:rsidRDefault="3C71AE8F" w:rsidP="5D9F259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ECA2599" w14:textId="49FF6347" w:rsidR="3C71AE8F" w:rsidRDefault="60AB63EA" w:rsidP="5D9F259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D9F2597">
              <w:rPr>
                <w:rFonts w:ascii="Calibri" w:eastAsia="Calibri" w:hAnsi="Calibri" w:cs="Calibri"/>
                <w:sz w:val="20"/>
                <w:szCs w:val="20"/>
                <w:lang w:val="en-GB"/>
              </w:rPr>
              <w:t>For more information, please go to the following: </w:t>
            </w:r>
          </w:p>
          <w:p w14:paraId="710864BD" w14:textId="1B9269B0" w:rsidR="3C71AE8F" w:rsidRDefault="3A12851F" w:rsidP="1929B2F0">
            <w:pPr>
              <w:pStyle w:val="ListParagraph"/>
              <w:numPr>
                <w:ilvl w:val="0"/>
                <w:numId w:val="5"/>
              </w:numPr>
              <w:spacing w:after="160"/>
              <w:rPr>
                <w:rStyle w:val="normaltextrun"/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929B2F0">
              <w:rPr>
                <w:rFonts w:ascii="Calibri" w:eastAsia="Calibri" w:hAnsi="Calibri" w:cs="Calibri"/>
                <w:sz w:val="20"/>
                <w:szCs w:val="20"/>
              </w:rPr>
              <w:t>[</w:t>
            </w:r>
            <w:proofErr w:type="gramStart"/>
            <w:r w:rsidR="60AB63EA" w:rsidRPr="006D5297">
              <w:rPr>
                <w:rFonts w:ascii="Calibri" w:eastAsia="Calibri" w:hAnsi="Calibri" w:cs="Calibri"/>
                <w:sz w:val="20"/>
                <w:szCs w:val="20"/>
              </w:rPr>
              <w:t>https://ilostat.ilo.org/data/</w:t>
            </w:r>
            <w:r w:rsidR="65DDFCEE" w:rsidRPr="006D5297">
              <w:rPr>
                <w:rFonts w:ascii="Calibri" w:eastAsia="Calibri" w:hAnsi="Calibri" w:cs="Calibri"/>
                <w:sz w:val="20"/>
                <w:szCs w:val="20"/>
              </w:rPr>
              <w:t>](</w:t>
            </w:r>
            <w:proofErr w:type="gramEnd"/>
            <w:r w:rsidR="65DDFCEE" w:rsidRPr="006D5297">
              <w:rPr>
                <w:rFonts w:ascii="Calibri" w:eastAsia="Calibri" w:hAnsi="Calibri" w:cs="Calibri"/>
                <w:sz w:val="20"/>
                <w:szCs w:val="20"/>
              </w:rPr>
              <w:t>https://ilostat.ilo.org/data/)</w:t>
            </w:r>
          </w:p>
          <w:p w14:paraId="2E203E45" w14:textId="4D7A8819" w:rsidR="3C71AE8F" w:rsidRDefault="65DDFCEE" w:rsidP="1929B2F0">
            <w:pPr>
              <w:pStyle w:val="ListParagraph"/>
              <w:numPr>
                <w:ilvl w:val="0"/>
                <w:numId w:val="5"/>
              </w:numPr>
              <w:spacing w:after="160"/>
              <w:rPr>
                <w:rStyle w:val="normaltextrun"/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929B2F0">
              <w:rPr>
                <w:rFonts w:ascii="Calibri" w:eastAsia="Calibri" w:hAnsi="Calibri" w:cs="Calibri"/>
                <w:sz w:val="20"/>
                <w:szCs w:val="20"/>
              </w:rPr>
              <w:t>[</w:t>
            </w:r>
            <w:proofErr w:type="gramStart"/>
            <w:r w:rsidR="60AB63EA" w:rsidRPr="006D5297">
              <w:rPr>
                <w:rFonts w:ascii="Calibri" w:eastAsia="Calibri" w:hAnsi="Calibri" w:cs="Calibri"/>
                <w:sz w:val="20"/>
                <w:szCs w:val="20"/>
              </w:rPr>
              <w:t>https://ilostat.ilo.org/resources/concepts-and-definitions/description-labour-force-participation-rate/</w:t>
            </w:r>
            <w:r w:rsidR="0B39CA12" w:rsidRPr="006D5297">
              <w:rPr>
                <w:rFonts w:ascii="Calibri" w:eastAsia="Calibri" w:hAnsi="Calibri" w:cs="Calibri"/>
                <w:sz w:val="20"/>
                <w:szCs w:val="20"/>
              </w:rPr>
              <w:t>](</w:t>
            </w:r>
            <w:proofErr w:type="gramEnd"/>
            <w:r w:rsidR="0B39CA12" w:rsidRPr="006D5297">
              <w:rPr>
                <w:rFonts w:ascii="Calibri" w:eastAsia="Calibri" w:hAnsi="Calibri" w:cs="Calibri"/>
                <w:sz w:val="20"/>
                <w:szCs w:val="20"/>
              </w:rPr>
              <w:t>https://ilostat.ilo.org/resources/concepts-and-definitions/description-labour-force-participation-rate/)</w:t>
            </w:r>
          </w:p>
        </w:tc>
      </w:tr>
    </w:tbl>
    <w:p w14:paraId="38E4B627" w14:textId="77777777" w:rsidR="00CC3778" w:rsidRDefault="00CC3778"/>
    <w:sectPr w:rsidR="00CC37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5C0B"/>
    <w:multiLevelType w:val="hybridMultilevel"/>
    <w:tmpl w:val="BEAA35A4"/>
    <w:lvl w:ilvl="0" w:tplc="5770F09A">
      <w:start w:val="1"/>
      <w:numFmt w:val="decimal"/>
      <w:lvlText w:val="%1."/>
      <w:lvlJc w:val="left"/>
      <w:pPr>
        <w:ind w:left="720" w:hanging="360"/>
      </w:pPr>
    </w:lvl>
    <w:lvl w:ilvl="1" w:tplc="ED9286C2">
      <w:start w:val="1"/>
      <w:numFmt w:val="lowerLetter"/>
      <w:lvlText w:val="%2."/>
      <w:lvlJc w:val="left"/>
      <w:pPr>
        <w:ind w:left="1440" w:hanging="360"/>
      </w:pPr>
    </w:lvl>
    <w:lvl w:ilvl="2" w:tplc="3976E690">
      <w:start w:val="1"/>
      <w:numFmt w:val="lowerRoman"/>
      <w:lvlText w:val="%3."/>
      <w:lvlJc w:val="right"/>
      <w:pPr>
        <w:ind w:left="2160" w:hanging="180"/>
      </w:pPr>
    </w:lvl>
    <w:lvl w:ilvl="3" w:tplc="B02AC62E">
      <w:start w:val="1"/>
      <w:numFmt w:val="decimal"/>
      <w:lvlText w:val="%4."/>
      <w:lvlJc w:val="left"/>
      <w:pPr>
        <w:ind w:left="2880" w:hanging="360"/>
      </w:pPr>
    </w:lvl>
    <w:lvl w:ilvl="4" w:tplc="81B09A5A">
      <w:start w:val="1"/>
      <w:numFmt w:val="lowerLetter"/>
      <w:lvlText w:val="%5."/>
      <w:lvlJc w:val="left"/>
      <w:pPr>
        <w:ind w:left="3600" w:hanging="360"/>
      </w:pPr>
    </w:lvl>
    <w:lvl w:ilvl="5" w:tplc="182C9DCA">
      <w:start w:val="1"/>
      <w:numFmt w:val="lowerRoman"/>
      <w:lvlText w:val="%6."/>
      <w:lvlJc w:val="right"/>
      <w:pPr>
        <w:ind w:left="4320" w:hanging="180"/>
      </w:pPr>
    </w:lvl>
    <w:lvl w:ilvl="6" w:tplc="BAA00D08">
      <w:start w:val="1"/>
      <w:numFmt w:val="decimal"/>
      <w:lvlText w:val="%7."/>
      <w:lvlJc w:val="left"/>
      <w:pPr>
        <w:ind w:left="5040" w:hanging="360"/>
      </w:pPr>
    </w:lvl>
    <w:lvl w:ilvl="7" w:tplc="547221D6">
      <w:start w:val="1"/>
      <w:numFmt w:val="lowerLetter"/>
      <w:lvlText w:val="%8."/>
      <w:lvlJc w:val="left"/>
      <w:pPr>
        <w:ind w:left="5760" w:hanging="360"/>
      </w:pPr>
    </w:lvl>
    <w:lvl w:ilvl="8" w:tplc="607AA5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14E8"/>
    <w:multiLevelType w:val="hybridMultilevel"/>
    <w:tmpl w:val="7EC01F48"/>
    <w:lvl w:ilvl="0" w:tplc="96EE92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B6E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64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8C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E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82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62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C1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66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1115"/>
    <w:multiLevelType w:val="hybridMultilevel"/>
    <w:tmpl w:val="1A4297B6"/>
    <w:lvl w:ilvl="0" w:tplc="8FD2E1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C01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0D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9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8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8F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61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60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43A21"/>
    <w:multiLevelType w:val="hybridMultilevel"/>
    <w:tmpl w:val="A7B8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A7EAE"/>
    <w:multiLevelType w:val="hybridMultilevel"/>
    <w:tmpl w:val="5986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C2D2D"/>
    <w:multiLevelType w:val="hybridMultilevel"/>
    <w:tmpl w:val="E61A2664"/>
    <w:lvl w:ilvl="0" w:tplc="E9F282A8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97DDE"/>
    <w:multiLevelType w:val="hybridMultilevel"/>
    <w:tmpl w:val="22BCED4A"/>
    <w:lvl w:ilvl="0" w:tplc="AEB00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907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E9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AE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0F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A6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A6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C0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00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77512"/>
    <w:multiLevelType w:val="hybridMultilevel"/>
    <w:tmpl w:val="245AE93E"/>
    <w:lvl w:ilvl="0" w:tplc="AF225C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B0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66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E8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5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2E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A3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85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708A9"/>
    <w:multiLevelType w:val="hybridMultilevel"/>
    <w:tmpl w:val="D7347490"/>
    <w:lvl w:ilvl="0" w:tplc="152446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F6F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2C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0A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40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E7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8B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F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85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777FE"/>
    <w:multiLevelType w:val="hybridMultilevel"/>
    <w:tmpl w:val="20E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6623D"/>
    <w:multiLevelType w:val="hybridMultilevel"/>
    <w:tmpl w:val="378C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42992"/>
    <w:multiLevelType w:val="hybridMultilevel"/>
    <w:tmpl w:val="0E0433A2"/>
    <w:lvl w:ilvl="0" w:tplc="46B021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AC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4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2C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E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29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CC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4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3468A"/>
    <w:multiLevelType w:val="hybridMultilevel"/>
    <w:tmpl w:val="B3A45230"/>
    <w:lvl w:ilvl="0" w:tplc="9530E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86C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C4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CD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D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6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C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6E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AF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4540B"/>
    <w:multiLevelType w:val="hybridMultilevel"/>
    <w:tmpl w:val="FE0A8266"/>
    <w:lvl w:ilvl="0" w:tplc="0C8CAA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989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EA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41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E2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22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7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2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CA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7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A5"/>
    <w:rsid w:val="0002100C"/>
    <w:rsid w:val="00225A04"/>
    <w:rsid w:val="006D5297"/>
    <w:rsid w:val="00733E86"/>
    <w:rsid w:val="00A048A5"/>
    <w:rsid w:val="00A50946"/>
    <w:rsid w:val="00B044CE"/>
    <w:rsid w:val="00CC3778"/>
    <w:rsid w:val="00FC4C99"/>
    <w:rsid w:val="01C32321"/>
    <w:rsid w:val="02C25BAF"/>
    <w:rsid w:val="0515806C"/>
    <w:rsid w:val="05DB07D4"/>
    <w:rsid w:val="05F763E4"/>
    <w:rsid w:val="09319D33"/>
    <w:rsid w:val="09427200"/>
    <w:rsid w:val="0A3AEDD8"/>
    <w:rsid w:val="0ACD6D94"/>
    <w:rsid w:val="0AE3B208"/>
    <w:rsid w:val="0B39CA12"/>
    <w:rsid w:val="0B6118AB"/>
    <w:rsid w:val="0B6573AB"/>
    <w:rsid w:val="0C499FFB"/>
    <w:rsid w:val="0D93D677"/>
    <w:rsid w:val="0D9E7214"/>
    <w:rsid w:val="0EEB0A1A"/>
    <w:rsid w:val="10C31A96"/>
    <w:rsid w:val="125EEAF7"/>
    <w:rsid w:val="1614C692"/>
    <w:rsid w:val="175735C4"/>
    <w:rsid w:val="1796285C"/>
    <w:rsid w:val="1929B2F0"/>
    <w:rsid w:val="19EAE69E"/>
    <w:rsid w:val="1A36FE83"/>
    <w:rsid w:val="1A96B8E2"/>
    <w:rsid w:val="1B4B4481"/>
    <w:rsid w:val="1C91220F"/>
    <w:rsid w:val="1D3EB565"/>
    <w:rsid w:val="1E36F275"/>
    <w:rsid w:val="20A380E8"/>
    <w:rsid w:val="22067EB9"/>
    <w:rsid w:val="256B33FC"/>
    <w:rsid w:val="26603E34"/>
    <w:rsid w:val="266813C6"/>
    <w:rsid w:val="2B1E7B21"/>
    <w:rsid w:val="2B234ABA"/>
    <w:rsid w:val="2D3B45D6"/>
    <w:rsid w:val="2EB2ADB4"/>
    <w:rsid w:val="2F13DE06"/>
    <w:rsid w:val="30FFEE24"/>
    <w:rsid w:val="3139ADC8"/>
    <w:rsid w:val="324B7EC8"/>
    <w:rsid w:val="34AC350A"/>
    <w:rsid w:val="35831F8A"/>
    <w:rsid w:val="36893CA8"/>
    <w:rsid w:val="36B92531"/>
    <w:rsid w:val="372F486C"/>
    <w:rsid w:val="3815CF9C"/>
    <w:rsid w:val="3A12851F"/>
    <w:rsid w:val="3AE3456F"/>
    <w:rsid w:val="3B66BC78"/>
    <w:rsid w:val="3BD58235"/>
    <w:rsid w:val="3C71AE8F"/>
    <w:rsid w:val="3D1FBB95"/>
    <w:rsid w:val="3E88FA6B"/>
    <w:rsid w:val="3F229897"/>
    <w:rsid w:val="4054A090"/>
    <w:rsid w:val="461AF24C"/>
    <w:rsid w:val="47256453"/>
    <w:rsid w:val="48081058"/>
    <w:rsid w:val="49A263E1"/>
    <w:rsid w:val="4A80716F"/>
    <w:rsid w:val="4CD521DB"/>
    <w:rsid w:val="4CD5583F"/>
    <w:rsid w:val="4CF02FDD"/>
    <w:rsid w:val="4D6D1ECF"/>
    <w:rsid w:val="55330964"/>
    <w:rsid w:val="55C67287"/>
    <w:rsid w:val="58661BB8"/>
    <w:rsid w:val="59EE87CB"/>
    <w:rsid w:val="5A56DDC9"/>
    <w:rsid w:val="5AE3DE55"/>
    <w:rsid w:val="5AFB86E7"/>
    <w:rsid w:val="5BF4537C"/>
    <w:rsid w:val="5D8B301F"/>
    <w:rsid w:val="5D8F5B9E"/>
    <w:rsid w:val="5D9F2597"/>
    <w:rsid w:val="5DBF0FE2"/>
    <w:rsid w:val="600373F6"/>
    <w:rsid w:val="6029A890"/>
    <w:rsid w:val="6071271E"/>
    <w:rsid w:val="60AB63EA"/>
    <w:rsid w:val="60C2D0E1"/>
    <w:rsid w:val="63FA71A3"/>
    <w:rsid w:val="646C0CB8"/>
    <w:rsid w:val="65DDFCEE"/>
    <w:rsid w:val="65DEEFB3"/>
    <w:rsid w:val="65E8E117"/>
    <w:rsid w:val="66E76D90"/>
    <w:rsid w:val="66F34761"/>
    <w:rsid w:val="676CF8E5"/>
    <w:rsid w:val="67CDCAAC"/>
    <w:rsid w:val="6908C946"/>
    <w:rsid w:val="6D814335"/>
    <w:rsid w:val="72E8CC78"/>
    <w:rsid w:val="736887FF"/>
    <w:rsid w:val="75FA15A6"/>
    <w:rsid w:val="77C78773"/>
    <w:rsid w:val="7988CE6B"/>
    <w:rsid w:val="7B6880A9"/>
    <w:rsid w:val="7C0A6C7B"/>
    <w:rsid w:val="7E0B5363"/>
    <w:rsid w:val="7F8ABAEC"/>
    <w:rsid w:val="7FAC97AB"/>
    <w:rsid w:val="7FD3E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361B"/>
  <w15:chartTrackingRefBased/>
  <w15:docId w15:val="{0776D705-327A-9141-9DBA-F23DC672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048A5"/>
  </w:style>
  <w:style w:type="character" w:customStyle="1" w:styleId="apple-converted-space">
    <w:name w:val="apple-converted-space"/>
    <w:basedOn w:val="DefaultParagraphFont"/>
    <w:rsid w:val="00A048A5"/>
  </w:style>
  <w:style w:type="character" w:customStyle="1" w:styleId="eop">
    <w:name w:val="eop"/>
    <w:basedOn w:val="DefaultParagraphFont"/>
    <w:rsid w:val="00A048A5"/>
  </w:style>
  <w:style w:type="character" w:customStyle="1" w:styleId="scxw90659825">
    <w:name w:val="scxw90659825"/>
    <w:basedOn w:val="DefaultParagraphFont"/>
    <w:rsid w:val="00A048A5"/>
  </w:style>
  <w:style w:type="paragraph" w:styleId="ListParagraph">
    <w:name w:val="List Paragraph"/>
    <w:basedOn w:val="Normal"/>
    <w:uiPriority w:val="34"/>
    <w:qFormat/>
    <w:rsid w:val="00A048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A0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7E663-270C-4A51-A2D5-79E6DF4AE1F4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2.xml><?xml version="1.0" encoding="utf-8"?>
<ds:datastoreItem xmlns:ds="http://schemas.openxmlformats.org/officeDocument/2006/customXml" ds:itemID="{65E4A142-0676-40B7-9887-47822316A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D87B3-75A9-412B-ACBC-3AD407AE6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 Khalid</dc:creator>
  <cp:keywords/>
  <dc:description/>
  <cp:lastModifiedBy>Luis Gerardo Gonzalez Morales</cp:lastModifiedBy>
  <cp:revision>13</cp:revision>
  <dcterms:created xsi:type="dcterms:W3CDTF">2021-07-30T02:53:00Z</dcterms:created>
  <dcterms:modified xsi:type="dcterms:W3CDTF">2021-09-12T07:47:00Z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