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865"/>
        <w:gridCol w:w="2070"/>
        <w:gridCol w:w="6120"/>
      </w:tblGrid>
      <w:tr w:rsidR="381228CC" w14:paraId="5686C540" w14:textId="77777777" w:rsidTr="42831E93">
        <w:trPr>
          <w:trHeight w:val="1140"/>
        </w:trPr>
        <w:tc>
          <w:tcPr>
            <w:tcW w:w="715" w:type="dxa"/>
            <w:shd w:val="clear" w:color="auto" w:fill="auto"/>
          </w:tcPr>
          <w:p w14:paraId="5C0287DA" w14:textId="5D445572" w:rsidR="1F2E89C1" w:rsidRDefault="1F2E89C1" w:rsidP="381228CC">
            <w:pPr>
              <w:rPr>
                <w:lang w:val="en-US"/>
              </w:rPr>
            </w:pPr>
            <w:r w:rsidRPr="381228CC">
              <w:rPr>
                <w:lang w:val="en-US"/>
              </w:rPr>
              <w:t>INDICATOR_NUM</w:t>
            </w:r>
          </w:p>
        </w:tc>
        <w:tc>
          <w:tcPr>
            <w:tcW w:w="865" w:type="dxa"/>
            <w:shd w:val="clear" w:color="auto" w:fill="auto"/>
          </w:tcPr>
          <w:p w14:paraId="34570525" w14:textId="466C0669" w:rsidR="1F2E89C1" w:rsidRDefault="1F2E89C1" w:rsidP="381228CC">
            <w:pPr>
              <w:rPr>
                <w:lang w:val="en-US"/>
              </w:rPr>
            </w:pPr>
            <w:r w:rsidRPr="381228CC">
              <w:rPr>
                <w:lang w:val="en-US"/>
              </w:rPr>
              <w:t>METADATA_CATEGORY</w:t>
            </w:r>
          </w:p>
        </w:tc>
        <w:tc>
          <w:tcPr>
            <w:tcW w:w="2070" w:type="dxa"/>
            <w:shd w:val="clear" w:color="auto" w:fill="auto"/>
          </w:tcPr>
          <w:p w14:paraId="497286A8" w14:textId="04A3958A" w:rsidR="1F2E89C1" w:rsidRDefault="1F2E89C1" w:rsidP="381228CC">
            <w:pPr>
              <w:rPr>
                <w:lang w:val="en-US"/>
              </w:rPr>
            </w:pPr>
            <w:r w:rsidRPr="42831E93">
              <w:rPr>
                <w:lang w:val="en-US"/>
              </w:rPr>
              <w:t>METADATA_CATEGORY_DESC</w:t>
            </w:r>
          </w:p>
          <w:p w14:paraId="316DEB52" w14:textId="1AB2D824" w:rsidR="381228CC" w:rsidRDefault="381228CC" w:rsidP="42831E93">
            <w:pPr>
              <w:rPr>
                <w:rStyle w:val="normaltextrun"/>
                <w:rFonts w:ascii="Calibri" w:hAnsi="Calibri" w:cs="Calibri"/>
                <w:color w:val="000000" w:themeColor="text1"/>
              </w:rPr>
            </w:pPr>
          </w:p>
        </w:tc>
        <w:tc>
          <w:tcPr>
            <w:tcW w:w="6120" w:type="dxa"/>
            <w:shd w:val="clear" w:color="auto" w:fill="auto"/>
          </w:tcPr>
          <w:p w14:paraId="0E8F1D6B" w14:textId="20028D26" w:rsidR="1F2E89C1" w:rsidRDefault="1F2E89C1" w:rsidP="381228CC">
            <w:pPr>
              <w:rPr>
                <w:lang w:val="en-US"/>
              </w:rPr>
            </w:pPr>
            <w:r w:rsidRPr="381228CC">
              <w:rPr>
                <w:lang w:val="en-US"/>
              </w:rPr>
              <w:t>METADATA_DESCRIPTION</w:t>
            </w:r>
          </w:p>
        </w:tc>
      </w:tr>
      <w:tr w:rsidR="00B059FD" w:rsidRPr="005E1907" w14:paraId="5BFDE3FE" w14:textId="77777777" w:rsidTr="42831E93">
        <w:trPr>
          <w:trHeight w:val="8190"/>
        </w:trPr>
        <w:tc>
          <w:tcPr>
            <w:tcW w:w="715" w:type="dxa"/>
            <w:shd w:val="clear" w:color="auto" w:fill="auto"/>
          </w:tcPr>
          <w:p w14:paraId="3B10E9AF" w14:textId="38CE88BF" w:rsidR="00B059FD" w:rsidRPr="005E1907" w:rsidRDefault="00B059FD" w:rsidP="00B059FD">
            <w:pPr>
              <w:rPr>
                <w:lang w:val="en-US"/>
              </w:rPr>
            </w:pPr>
            <w:r>
              <w:rPr>
                <w:lang w:val="en-US"/>
              </w:rPr>
              <w:t>V.1</w:t>
            </w:r>
          </w:p>
        </w:tc>
        <w:tc>
          <w:tcPr>
            <w:tcW w:w="865" w:type="dxa"/>
            <w:shd w:val="clear" w:color="auto" w:fill="auto"/>
          </w:tcPr>
          <w:p w14:paraId="12E1A60F" w14:textId="1E00C57E" w:rsidR="00B059FD" w:rsidRPr="005E1907" w:rsidRDefault="00B059FD" w:rsidP="00B059FD">
            <w:pPr>
              <w:rPr>
                <w:lang w:val="en-US"/>
              </w:rPr>
            </w:pPr>
            <w:r>
              <w:rPr>
                <w:lang w:val="en-US"/>
              </w:rPr>
              <w:t>1</w:t>
            </w:r>
          </w:p>
        </w:tc>
        <w:tc>
          <w:tcPr>
            <w:tcW w:w="2070" w:type="dxa"/>
            <w:shd w:val="clear" w:color="auto" w:fill="auto"/>
          </w:tcPr>
          <w:p w14:paraId="75AC4BDD" w14:textId="1EA546B2" w:rsidR="00B059FD" w:rsidRPr="005E1907" w:rsidRDefault="00B059FD" w:rsidP="00B059FD">
            <w:pPr>
              <w:rPr>
                <w:lang w:val="en-US"/>
              </w:rPr>
            </w:pPr>
            <w:r w:rsidRPr="42831E93">
              <w:rPr>
                <w:rStyle w:val="normaltextrun"/>
                <w:rFonts w:ascii="Calibri" w:hAnsi="Calibri" w:cs="Calibri"/>
                <w:color w:val="000000"/>
                <w:shd w:val="clear" w:color="auto" w:fill="FFFFFF"/>
              </w:rPr>
              <w:t>Contact point in international agency</w:t>
            </w:r>
            <w:r>
              <w:rPr>
                <w:rStyle w:val="eop"/>
                <w:rFonts w:ascii="Calibri" w:hAnsi="Calibri" w:cs="Calibri"/>
                <w:color w:val="000000"/>
                <w:shd w:val="clear" w:color="auto" w:fill="FFFFFF"/>
              </w:rPr>
              <w:t> </w:t>
            </w:r>
          </w:p>
        </w:tc>
        <w:tc>
          <w:tcPr>
            <w:tcW w:w="6120" w:type="dxa"/>
            <w:shd w:val="clear" w:color="auto" w:fill="auto"/>
          </w:tcPr>
          <w:p w14:paraId="052BD0D7" w14:textId="77777777" w:rsidR="00B059FD" w:rsidRPr="00B059FD" w:rsidRDefault="00B059FD" w:rsidP="00B059FD">
            <w:pPr>
              <w:spacing w:after="0"/>
              <w:rPr>
                <w:lang w:val="en-US"/>
              </w:rPr>
            </w:pPr>
            <w:r w:rsidRPr="00B059FD">
              <w:rPr>
                <w:lang w:val="en-US"/>
              </w:rPr>
              <w:t>Claudia García-Moreno</w:t>
            </w:r>
          </w:p>
          <w:p w14:paraId="7CF76CE4" w14:textId="77777777" w:rsidR="00B059FD" w:rsidRPr="00B059FD" w:rsidRDefault="00B059FD" w:rsidP="00B059FD">
            <w:pPr>
              <w:spacing w:after="0"/>
              <w:rPr>
                <w:lang w:val="en-US"/>
              </w:rPr>
            </w:pPr>
            <w:r w:rsidRPr="00B059FD">
              <w:rPr>
                <w:lang w:val="en-US"/>
              </w:rPr>
              <w:t>Team Leader, Violence against women</w:t>
            </w:r>
          </w:p>
          <w:p w14:paraId="3B196E26" w14:textId="77777777" w:rsidR="00B059FD" w:rsidRPr="00B059FD" w:rsidRDefault="00B059FD" w:rsidP="00B059FD">
            <w:pPr>
              <w:spacing w:after="0"/>
              <w:rPr>
                <w:lang w:val="en-US"/>
              </w:rPr>
            </w:pPr>
            <w:r w:rsidRPr="00B059FD">
              <w:rPr>
                <w:lang w:val="en-US"/>
              </w:rPr>
              <w:t>WHO</w:t>
            </w:r>
          </w:p>
          <w:p w14:paraId="59A38371" w14:textId="59258B4D" w:rsidR="00B059FD" w:rsidRPr="00B059FD" w:rsidRDefault="369AB771" w:rsidP="42831E93">
            <w:pPr>
              <w:spacing w:after="0"/>
              <w:rPr>
                <w:lang w:val="en-US"/>
              </w:rPr>
            </w:pPr>
            <w:r w:rsidRPr="42831E93">
              <w:rPr>
                <w:lang w:val="en-US"/>
              </w:rPr>
              <w:t>[</w:t>
            </w:r>
            <w:r w:rsidR="00B059FD" w:rsidRPr="003F69DF">
              <w:rPr>
                <w:lang w:val="en-US"/>
              </w:rPr>
              <w:t>garciamorenoc@who.int</w:t>
            </w:r>
            <w:r w:rsidR="2934D526" w:rsidRPr="003F69DF">
              <w:rPr>
                <w:lang w:val="en-US"/>
              </w:rPr>
              <w:t>](mailto:garciamorenoc@who.int)</w:t>
            </w:r>
          </w:p>
          <w:p w14:paraId="70F66582" w14:textId="5C0C87AE" w:rsidR="00B059FD" w:rsidRPr="00B059FD" w:rsidRDefault="2934D526" w:rsidP="42831E93">
            <w:pPr>
              <w:spacing w:after="0"/>
              <w:rPr>
                <w:lang w:val="en-US"/>
              </w:rPr>
            </w:pPr>
            <w:r w:rsidRPr="42831E93">
              <w:rPr>
                <w:lang w:val="en-US"/>
              </w:rPr>
              <w:t>[</w:t>
            </w:r>
            <w:r w:rsidR="00B059FD" w:rsidRPr="003F69DF">
              <w:rPr>
                <w:lang w:val="en-US"/>
              </w:rPr>
              <w:t>www.who.int/reproductivehealth/topics/violence/en/</w:t>
            </w:r>
            <w:r w:rsidR="2720AB3F" w:rsidRPr="003F69DF">
              <w:rPr>
                <w:lang w:val="en-US"/>
              </w:rPr>
              <w:t>](www.who.int/reproductivehealth/topics/violence/en/)</w:t>
            </w:r>
          </w:p>
          <w:p w14:paraId="37A115CD" w14:textId="77777777" w:rsidR="00B059FD" w:rsidRPr="00B059FD" w:rsidRDefault="00B059FD" w:rsidP="00B059FD">
            <w:pPr>
              <w:spacing w:after="0"/>
              <w:rPr>
                <w:lang w:val="en-US"/>
              </w:rPr>
            </w:pPr>
          </w:p>
          <w:p w14:paraId="39CE30C4" w14:textId="77777777" w:rsidR="00B059FD" w:rsidRPr="00B059FD" w:rsidRDefault="00B059FD" w:rsidP="00B059FD">
            <w:pPr>
              <w:spacing w:after="0"/>
              <w:rPr>
                <w:lang w:val="en-US"/>
              </w:rPr>
            </w:pPr>
            <w:r w:rsidRPr="00B059FD">
              <w:rPr>
                <w:lang w:val="en-US"/>
              </w:rPr>
              <w:t>Juncal Plazaola Castaño</w:t>
            </w:r>
          </w:p>
          <w:p w14:paraId="36319A22" w14:textId="77777777" w:rsidR="00B059FD" w:rsidRPr="00B059FD" w:rsidRDefault="00B059FD" w:rsidP="00B059FD">
            <w:pPr>
              <w:spacing w:after="0"/>
              <w:rPr>
                <w:lang w:val="en-US"/>
              </w:rPr>
            </w:pPr>
            <w:r w:rsidRPr="00B059FD">
              <w:rPr>
                <w:lang w:val="en-US"/>
              </w:rPr>
              <w:t xml:space="preserve">Policy Specialist, Violence against Women Data </w:t>
            </w:r>
          </w:p>
          <w:p w14:paraId="27F2D668" w14:textId="77777777" w:rsidR="00B059FD" w:rsidRPr="00B059FD" w:rsidRDefault="00B059FD" w:rsidP="00B059FD">
            <w:pPr>
              <w:spacing w:after="0"/>
              <w:rPr>
                <w:lang w:val="fr-FR"/>
              </w:rPr>
            </w:pPr>
            <w:r w:rsidRPr="00B059FD">
              <w:rPr>
                <w:lang w:val="fr-FR"/>
              </w:rPr>
              <w:t>UN Women</w:t>
            </w:r>
          </w:p>
          <w:p w14:paraId="2A181545" w14:textId="43C86F10" w:rsidR="00B059FD" w:rsidRPr="00B059FD" w:rsidRDefault="13B3F631" w:rsidP="42831E93">
            <w:pPr>
              <w:spacing w:after="0"/>
              <w:rPr>
                <w:lang w:val="fr-FR"/>
              </w:rPr>
            </w:pPr>
            <w:r w:rsidRPr="42831E93">
              <w:rPr>
                <w:lang w:val="fr-FR"/>
              </w:rPr>
              <w:t>[</w:t>
            </w:r>
            <w:r w:rsidR="00B059FD" w:rsidRPr="003F69DF">
              <w:rPr>
                <w:lang w:val="fr-FR"/>
              </w:rPr>
              <w:t>j.plazaolacastano@unwomen.org</w:t>
            </w:r>
            <w:r w:rsidR="03FF813D" w:rsidRPr="003F69DF">
              <w:rPr>
                <w:lang w:val="fr-FR"/>
              </w:rPr>
              <w:t>](mailto:</w:t>
            </w:r>
            <w:r w:rsidR="24E35287" w:rsidRPr="003F69DF">
              <w:rPr>
                <w:lang w:val="fr-FR"/>
              </w:rPr>
              <w:t>j.plazaolacastano@unwomen.org)</w:t>
            </w:r>
          </w:p>
          <w:p w14:paraId="78F4C876" w14:textId="085608AA" w:rsidR="00B059FD" w:rsidRPr="00B059FD" w:rsidRDefault="24E35287" w:rsidP="00B059FD">
            <w:pPr>
              <w:spacing w:after="0"/>
              <w:rPr>
                <w:lang w:val="fr-FR"/>
              </w:rPr>
            </w:pPr>
            <w:r w:rsidRPr="42831E93">
              <w:rPr>
                <w:lang w:val="fr-FR"/>
              </w:rPr>
              <w:t>[</w:t>
            </w:r>
            <w:r w:rsidR="00B059FD" w:rsidRPr="003F69DF">
              <w:rPr>
                <w:lang w:val="fr-FR"/>
              </w:rPr>
              <w:t>www.unwomen.org/en/what-we-do/ending-violence-against-women</w:t>
            </w:r>
            <w:r w:rsidR="7DE73250" w:rsidRPr="003F69DF">
              <w:rPr>
                <w:lang w:val="fr-FR"/>
              </w:rPr>
              <w:t>](www.unwomen.org/en/what-we-do/ending-violence-against-women)</w:t>
            </w:r>
          </w:p>
          <w:p w14:paraId="61BB533F" w14:textId="77777777" w:rsidR="00B059FD" w:rsidRPr="00B059FD" w:rsidRDefault="00B059FD" w:rsidP="00B059FD">
            <w:pPr>
              <w:spacing w:after="0"/>
              <w:rPr>
                <w:lang w:val="fr-FR"/>
              </w:rPr>
            </w:pPr>
          </w:p>
          <w:p w14:paraId="6A7585CE" w14:textId="77777777" w:rsidR="00B059FD" w:rsidRPr="00B059FD" w:rsidRDefault="00B059FD" w:rsidP="00B059FD">
            <w:pPr>
              <w:spacing w:after="0"/>
              <w:rPr>
                <w:lang w:val="en-US"/>
              </w:rPr>
            </w:pPr>
            <w:r w:rsidRPr="00B059FD">
              <w:rPr>
                <w:lang w:val="en-US"/>
              </w:rPr>
              <w:t>Claudia Cappa</w:t>
            </w:r>
          </w:p>
          <w:p w14:paraId="399B1B95" w14:textId="77777777" w:rsidR="00B059FD" w:rsidRPr="00B059FD" w:rsidRDefault="00B059FD" w:rsidP="00B059FD">
            <w:pPr>
              <w:spacing w:after="0"/>
              <w:rPr>
                <w:lang w:val="en-US"/>
              </w:rPr>
            </w:pPr>
            <w:r w:rsidRPr="00B059FD">
              <w:rPr>
                <w:lang w:val="en-US"/>
              </w:rPr>
              <w:t>Senior Adviser, Statistics, Child Protection and Development</w:t>
            </w:r>
          </w:p>
          <w:p w14:paraId="0E7E049D" w14:textId="77777777" w:rsidR="00B059FD" w:rsidRPr="00B059FD" w:rsidRDefault="00B059FD" w:rsidP="00B059FD">
            <w:pPr>
              <w:spacing w:after="0"/>
              <w:rPr>
                <w:lang w:val="en-US"/>
              </w:rPr>
            </w:pPr>
            <w:r w:rsidRPr="00B059FD">
              <w:rPr>
                <w:lang w:val="en-US"/>
              </w:rPr>
              <w:t>UNICEF</w:t>
            </w:r>
          </w:p>
          <w:p w14:paraId="1383BA94" w14:textId="0F100368" w:rsidR="00B059FD" w:rsidRPr="00B059FD" w:rsidRDefault="66BD6E23" w:rsidP="42831E93">
            <w:pPr>
              <w:spacing w:after="0"/>
              <w:rPr>
                <w:lang w:val="en-US"/>
              </w:rPr>
            </w:pPr>
            <w:r w:rsidRPr="42831E93">
              <w:rPr>
                <w:lang w:val="en-US"/>
              </w:rPr>
              <w:t>[</w:t>
            </w:r>
            <w:r w:rsidR="00B059FD" w:rsidRPr="003F69DF">
              <w:rPr>
                <w:lang w:val="en-US"/>
              </w:rPr>
              <w:t>ccappa@unicef.org</w:t>
            </w:r>
            <w:r w:rsidR="70ECCA77" w:rsidRPr="003F69DF">
              <w:rPr>
                <w:lang w:val="en-US"/>
              </w:rPr>
              <w:t>](mailto:ccappa@unicef.org)</w:t>
            </w:r>
          </w:p>
          <w:p w14:paraId="01255252" w14:textId="055BA899" w:rsidR="00B059FD" w:rsidRDefault="70ECCA77" w:rsidP="42831E93">
            <w:pPr>
              <w:spacing w:after="0"/>
              <w:rPr>
                <w:lang w:val="en-US"/>
              </w:rPr>
            </w:pPr>
            <w:r w:rsidRPr="42831E93">
              <w:rPr>
                <w:lang w:val="en-US"/>
              </w:rPr>
              <w:t>[</w:t>
            </w:r>
            <w:r w:rsidR="00B059FD" w:rsidRPr="003F69DF">
              <w:rPr>
                <w:lang w:val="en-US"/>
              </w:rPr>
              <w:t>www.unicef.org</w:t>
            </w:r>
            <w:r w:rsidR="10798E72" w:rsidRPr="003F69DF">
              <w:rPr>
                <w:lang w:val="en-US"/>
              </w:rPr>
              <w:t>](www.unicef.org)</w:t>
            </w:r>
            <w:r w:rsidR="00B059FD" w:rsidRPr="42831E93">
              <w:rPr>
                <w:lang w:val="en-US"/>
              </w:rPr>
              <w:t xml:space="preserve">, </w:t>
            </w:r>
            <w:r w:rsidR="0DA8E2D9" w:rsidRPr="42831E93">
              <w:rPr>
                <w:lang w:val="en-US"/>
              </w:rPr>
              <w:t>[</w:t>
            </w:r>
            <w:r w:rsidR="00B059FD" w:rsidRPr="42831E93">
              <w:rPr>
                <w:lang w:val="en-US"/>
              </w:rPr>
              <w:t>data.unicef.org</w:t>
            </w:r>
            <w:r w:rsidR="15B37275" w:rsidRPr="42831E93">
              <w:rPr>
                <w:lang w:val="en-US"/>
              </w:rPr>
              <w:t>](data.unicef.org)</w:t>
            </w:r>
          </w:p>
          <w:p w14:paraId="2195EFC8" w14:textId="77777777" w:rsidR="00B059FD" w:rsidRDefault="00B059FD" w:rsidP="00B059FD">
            <w:pPr>
              <w:spacing w:after="0"/>
              <w:rPr>
                <w:lang w:val="en-US"/>
              </w:rPr>
            </w:pPr>
          </w:p>
          <w:p w14:paraId="69D1EEE6" w14:textId="1EF6E7BF" w:rsidR="00B059FD" w:rsidRPr="00B059FD" w:rsidRDefault="00B059FD" w:rsidP="00B059FD">
            <w:pPr>
              <w:spacing w:after="0"/>
              <w:rPr>
                <w:lang w:val="en-US"/>
              </w:rPr>
            </w:pPr>
            <w:r w:rsidRPr="00B059FD">
              <w:rPr>
                <w:lang w:val="en-US"/>
              </w:rPr>
              <w:t>Upala Devi</w:t>
            </w:r>
          </w:p>
          <w:p w14:paraId="35C6EE0F" w14:textId="77777777" w:rsidR="00B059FD" w:rsidRPr="00B059FD" w:rsidRDefault="00B059FD" w:rsidP="00B059FD">
            <w:pPr>
              <w:spacing w:after="0"/>
              <w:rPr>
                <w:lang w:val="en-US"/>
              </w:rPr>
            </w:pPr>
            <w:r w:rsidRPr="00B059FD">
              <w:rPr>
                <w:lang w:val="en-US"/>
              </w:rPr>
              <w:t>Gender-Based Violence Adviser</w:t>
            </w:r>
          </w:p>
          <w:p w14:paraId="2BA77CA2" w14:textId="77777777" w:rsidR="00B059FD" w:rsidRPr="00B059FD" w:rsidRDefault="00B059FD" w:rsidP="00B059FD">
            <w:pPr>
              <w:spacing w:after="0"/>
              <w:rPr>
                <w:lang w:val="en-US"/>
              </w:rPr>
            </w:pPr>
            <w:r w:rsidRPr="00B059FD">
              <w:rPr>
                <w:lang w:val="en-US"/>
              </w:rPr>
              <w:t>UNFPA</w:t>
            </w:r>
          </w:p>
          <w:p w14:paraId="53651BC2" w14:textId="460B0219" w:rsidR="00B059FD" w:rsidRPr="00B059FD" w:rsidRDefault="58BF71C6" w:rsidP="42831E93">
            <w:pPr>
              <w:spacing w:after="0"/>
              <w:rPr>
                <w:lang w:val="en-US"/>
              </w:rPr>
            </w:pPr>
            <w:r w:rsidRPr="42831E93">
              <w:rPr>
                <w:lang w:val="en-US"/>
              </w:rPr>
              <w:t>[</w:t>
            </w:r>
            <w:r w:rsidR="00B059FD" w:rsidRPr="003F69DF">
              <w:rPr>
                <w:lang w:val="en-US"/>
              </w:rPr>
              <w:t>devi@unfpa.org</w:t>
            </w:r>
            <w:r w:rsidR="34012022" w:rsidRPr="003F69DF">
              <w:rPr>
                <w:lang w:val="en-US"/>
              </w:rPr>
              <w:t>](</w:t>
            </w:r>
            <w:r w:rsidR="04B4C5EE" w:rsidRPr="003F69DF">
              <w:rPr>
                <w:lang w:val="en-US"/>
              </w:rPr>
              <w:t>mailto:</w:t>
            </w:r>
            <w:r w:rsidR="34012022" w:rsidRPr="003F69DF">
              <w:rPr>
                <w:lang w:val="en-US"/>
              </w:rPr>
              <w:t>devi@unfpa.org)</w:t>
            </w:r>
          </w:p>
          <w:p w14:paraId="68E6B133" w14:textId="090D26FA" w:rsidR="00B059FD" w:rsidRPr="00B059FD" w:rsidRDefault="34012022" w:rsidP="42831E93">
            <w:pPr>
              <w:spacing w:after="0"/>
              <w:rPr>
                <w:lang w:val="en-US"/>
              </w:rPr>
            </w:pPr>
            <w:r w:rsidRPr="42831E93">
              <w:rPr>
                <w:lang w:val="en-US"/>
              </w:rPr>
              <w:t>[</w:t>
            </w:r>
            <w:r w:rsidR="00B059FD" w:rsidRPr="003F69DF">
              <w:rPr>
                <w:lang w:val="en-US"/>
              </w:rPr>
              <w:t>www.unfpa.org</w:t>
            </w:r>
            <w:r w:rsidR="032BAFA1" w:rsidRPr="003F69DF">
              <w:rPr>
                <w:lang w:val="en-US"/>
              </w:rPr>
              <w:t>](www.unfpa.org)</w:t>
            </w:r>
          </w:p>
          <w:p w14:paraId="7528D58E" w14:textId="77777777" w:rsidR="00B059FD" w:rsidRPr="00B059FD" w:rsidRDefault="00B059FD" w:rsidP="00B059FD">
            <w:pPr>
              <w:spacing w:after="0"/>
              <w:rPr>
                <w:lang w:val="en-US"/>
              </w:rPr>
            </w:pPr>
          </w:p>
          <w:p w14:paraId="3A95953C" w14:textId="77777777" w:rsidR="00B059FD" w:rsidRPr="003F69DF" w:rsidRDefault="00B059FD" w:rsidP="00B059FD">
            <w:pPr>
              <w:spacing w:after="0"/>
              <w:rPr>
                <w:lang w:val="es-419"/>
              </w:rPr>
            </w:pPr>
            <w:r w:rsidRPr="003F69DF">
              <w:rPr>
                <w:lang w:val="es-419"/>
              </w:rPr>
              <w:t>Enrico Bisogno</w:t>
            </w:r>
          </w:p>
          <w:p w14:paraId="178AE0F6" w14:textId="77777777" w:rsidR="00B059FD" w:rsidRPr="003F69DF" w:rsidRDefault="00B059FD" w:rsidP="00B059FD">
            <w:pPr>
              <w:spacing w:after="0"/>
              <w:rPr>
                <w:lang w:val="es-419"/>
              </w:rPr>
            </w:pPr>
            <w:r w:rsidRPr="003F69DF">
              <w:rPr>
                <w:lang w:val="es-419"/>
              </w:rPr>
              <w:t>Chief</w:t>
            </w:r>
          </w:p>
          <w:p w14:paraId="45E4FFC1" w14:textId="77777777" w:rsidR="00B059FD" w:rsidRPr="003F69DF" w:rsidRDefault="00B059FD" w:rsidP="00B059FD">
            <w:pPr>
              <w:spacing w:after="0"/>
              <w:rPr>
                <w:lang w:val="es-419"/>
              </w:rPr>
            </w:pPr>
            <w:r w:rsidRPr="003F69DF">
              <w:rPr>
                <w:lang w:val="es-419"/>
              </w:rPr>
              <w:t>UNODC</w:t>
            </w:r>
          </w:p>
          <w:p w14:paraId="7D346667" w14:textId="01B54B7F" w:rsidR="00B059FD" w:rsidRPr="003F69DF" w:rsidRDefault="38756D5E" w:rsidP="42831E93">
            <w:pPr>
              <w:spacing w:after="0"/>
              <w:rPr>
                <w:lang w:val="es-419"/>
              </w:rPr>
            </w:pPr>
            <w:r w:rsidRPr="003F69DF">
              <w:rPr>
                <w:lang w:val="es-419"/>
              </w:rPr>
              <w:t>[</w:t>
            </w:r>
            <w:r w:rsidR="00B059FD" w:rsidRPr="003F69DF">
              <w:rPr>
                <w:lang w:val="es-419"/>
              </w:rPr>
              <w:t>enrico.bisogno@un.org</w:t>
            </w:r>
            <w:r w:rsidR="452A319A" w:rsidRPr="003F69DF">
              <w:rPr>
                <w:lang w:val="es-419"/>
              </w:rPr>
              <w:t>](mailto:enrico.bisogno@un.org)</w:t>
            </w:r>
          </w:p>
          <w:p w14:paraId="5E496EB5" w14:textId="25F5F9B7" w:rsidR="00B059FD" w:rsidRPr="003F69DF" w:rsidRDefault="452A319A" w:rsidP="42831E93">
            <w:pPr>
              <w:spacing w:after="0"/>
              <w:rPr>
                <w:lang w:val="es-419"/>
              </w:rPr>
            </w:pPr>
            <w:r w:rsidRPr="003F69DF">
              <w:rPr>
                <w:lang w:val="es-419"/>
              </w:rPr>
              <w:t>[</w:t>
            </w:r>
            <w:r w:rsidR="0C46932D" w:rsidRPr="003F69DF">
              <w:rPr>
                <w:lang w:val="es-419"/>
              </w:rPr>
              <w:t>d</w:t>
            </w:r>
            <w:r w:rsidR="00B059FD" w:rsidRPr="003F69DF">
              <w:rPr>
                <w:lang w:val="es-419"/>
              </w:rPr>
              <w:t>ataunodc.un.org</w:t>
            </w:r>
            <w:r w:rsidR="5A5BABF3" w:rsidRPr="003F69DF">
              <w:rPr>
                <w:lang w:val="es-419"/>
              </w:rPr>
              <w:t>](dataunodc.un.org)</w:t>
            </w:r>
          </w:p>
          <w:p w14:paraId="4229082B" w14:textId="77777777" w:rsidR="00B059FD" w:rsidRPr="003F69DF" w:rsidRDefault="00B059FD" w:rsidP="00B059FD">
            <w:pPr>
              <w:spacing w:after="0"/>
              <w:rPr>
                <w:lang w:val="es-419"/>
              </w:rPr>
            </w:pPr>
          </w:p>
          <w:p w14:paraId="3B2B4179" w14:textId="77777777" w:rsidR="00B059FD" w:rsidRPr="00B059FD" w:rsidRDefault="00B059FD" w:rsidP="00B059FD">
            <w:pPr>
              <w:spacing w:after="0"/>
              <w:rPr>
                <w:lang w:val="en-US"/>
              </w:rPr>
            </w:pPr>
            <w:r w:rsidRPr="00B059FD">
              <w:rPr>
                <w:lang w:val="en-US"/>
              </w:rPr>
              <w:t>Serge Kapto</w:t>
            </w:r>
          </w:p>
          <w:p w14:paraId="057B8F5C" w14:textId="77777777" w:rsidR="00B059FD" w:rsidRPr="00B059FD" w:rsidRDefault="00B059FD" w:rsidP="00B059FD">
            <w:pPr>
              <w:spacing w:after="0"/>
              <w:rPr>
                <w:lang w:val="en-US"/>
              </w:rPr>
            </w:pPr>
            <w:r w:rsidRPr="00B059FD">
              <w:rPr>
                <w:lang w:val="en-US"/>
              </w:rPr>
              <w:t>Policy Specialist, Data for Development</w:t>
            </w:r>
          </w:p>
          <w:p w14:paraId="70376C13" w14:textId="77777777" w:rsidR="00B059FD" w:rsidRPr="00B059FD" w:rsidRDefault="00B059FD" w:rsidP="00B059FD">
            <w:pPr>
              <w:spacing w:after="0"/>
              <w:rPr>
                <w:lang w:val="en-US"/>
              </w:rPr>
            </w:pPr>
            <w:r w:rsidRPr="00B059FD">
              <w:rPr>
                <w:lang w:val="en-US"/>
              </w:rPr>
              <w:t>UNDP</w:t>
            </w:r>
          </w:p>
          <w:p w14:paraId="193A02D3" w14:textId="097E5405" w:rsidR="00B059FD" w:rsidRPr="00B059FD" w:rsidRDefault="493C0F61" w:rsidP="42831E93">
            <w:pPr>
              <w:spacing w:after="0"/>
              <w:rPr>
                <w:lang w:val="en-US"/>
              </w:rPr>
            </w:pPr>
            <w:r w:rsidRPr="42831E93">
              <w:rPr>
                <w:lang w:val="en-US"/>
              </w:rPr>
              <w:t>[</w:t>
            </w:r>
            <w:r w:rsidR="00B059FD" w:rsidRPr="003F69DF">
              <w:rPr>
                <w:lang w:val="en-US"/>
              </w:rPr>
              <w:t>serge.kapto@un.org</w:t>
            </w:r>
            <w:r w:rsidR="6814EA0D" w:rsidRPr="003F69DF">
              <w:rPr>
                <w:lang w:val="en-US"/>
              </w:rPr>
              <w:t>](mailto:serge.kapto@un.org)</w:t>
            </w:r>
          </w:p>
          <w:p w14:paraId="618B1E1C" w14:textId="0085A9B7" w:rsidR="00B059FD" w:rsidRPr="00B059FD" w:rsidRDefault="6814EA0D" w:rsidP="42831E93">
            <w:pPr>
              <w:spacing w:after="0"/>
              <w:rPr>
                <w:lang w:val="en-US"/>
              </w:rPr>
            </w:pPr>
            <w:r w:rsidRPr="42831E93">
              <w:rPr>
                <w:lang w:val="en-US"/>
              </w:rPr>
              <w:t>[</w:t>
            </w:r>
            <w:r w:rsidR="00B059FD" w:rsidRPr="003F69DF">
              <w:rPr>
                <w:lang w:val="en-US"/>
              </w:rPr>
              <w:t>www.undp.org/</w:t>
            </w:r>
            <w:r w:rsidR="250AC63B" w:rsidRPr="003F69DF">
              <w:rPr>
                <w:lang w:val="en-US"/>
              </w:rPr>
              <w:t>](www.undp.org/)</w:t>
            </w:r>
          </w:p>
          <w:p w14:paraId="310F00A0" w14:textId="77777777" w:rsidR="00B059FD" w:rsidRPr="00B059FD" w:rsidRDefault="00B059FD" w:rsidP="00B059FD">
            <w:pPr>
              <w:spacing w:after="0"/>
              <w:rPr>
                <w:lang w:val="en-US"/>
              </w:rPr>
            </w:pPr>
          </w:p>
          <w:p w14:paraId="2797B58C" w14:textId="77777777" w:rsidR="00B059FD" w:rsidRPr="00B059FD" w:rsidRDefault="00B059FD" w:rsidP="00B059FD">
            <w:pPr>
              <w:spacing w:after="0"/>
              <w:rPr>
                <w:lang w:val="en-US"/>
              </w:rPr>
            </w:pPr>
            <w:r w:rsidRPr="00B059FD">
              <w:rPr>
                <w:lang w:val="en-US"/>
              </w:rPr>
              <w:lastRenderedPageBreak/>
              <w:t>Francesca Grum</w:t>
            </w:r>
          </w:p>
          <w:p w14:paraId="021C70EA" w14:textId="77777777" w:rsidR="00B059FD" w:rsidRPr="00B059FD" w:rsidRDefault="00B059FD" w:rsidP="00B059FD">
            <w:pPr>
              <w:spacing w:after="0"/>
              <w:rPr>
                <w:lang w:val="en-US"/>
              </w:rPr>
            </w:pPr>
            <w:r w:rsidRPr="00B059FD">
              <w:rPr>
                <w:lang w:val="en-US"/>
              </w:rPr>
              <w:t>Chief of Unit</w:t>
            </w:r>
          </w:p>
          <w:p w14:paraId="18246533" w14:textId="77777777" w:rsidR="00B059FD" w:rsidRPr="00B059FD" w:rsidRDefault="00B059FD" w:rsidP="00B059FD">
            <w:pPr>
              <w:spacing w:after="0"/>
              <w:rPr>
                <w:lang w:val="en-US"/>
              </w:rPr>
            </w:pPr>
            <w:r w:rsidRPr="00B059FD">
              <w:rPr>
                <w:lang w:val="en-US"/>
              </w:rPr>
              <w:t>DESA-UNSD</w:t>
            </w:r>
          </w:p>
          <w:p w14:paraId="474B251A" w14:textId="3E21E3D7" w:rsidR="00B059FD" w:rsidRPr="00B059FD" w:rsidRDefault="2D7BE101" w:rsidP="42831E93">
            <w:pPr>
              <w:spacing w:after="0"/>
              <w:rPr>
                <w:lang w:val="en-US"/>
              </w:rPr>
            </w:pPr>
            <w:r w:rsidRPr="42831E93">
              <w:rPr>
                <w:lang w:val="en-US"/>
              </w:rPr>
              <w:t>[</w:t>
            </w:r>
            <w:r w:rsidR="00B059FD" w:rsidRPr="003F69DF">
              <w:rPr>
                <w:lang w:val="en-US"/>
              </w:rPr>
              <w:t>grum@un.org</w:t>
            </w:r>
            <w:r w:rsidR="288E81FA" w:rsidRPr="003F69DF">
              <w:rPr>
                <w:lang w:val="en-US"/>
              </w:rPr>
              <w:t>](mailto:grum@un.org)</w:t>
            </w:r>
          </w:p>
          <w:p w14:paraId="6DE742E3" w14:textId="2BEF26F1" w:rsidR="00B059FD" w:rsidRPr="005E1907" w:rsidRDefault="288E81FA" w:rsidP="42831E93">
            <w:pPr>
              <w:spacing w:after="0"/>
              <w:rPr>
                <w:lang w:val="en-US"/>
              </w:rPr>
            </w:pPr>
            <w:r w:rsidRPr="42831E93">
              <w:rPr>
                <w:lang w:val="en-US"/>
              </w:rPr>
              <w:t>[</w:t>
            </w:r>
            <w:r w:rsidR="7453724A" w:rsidRPr="42831E93">
              <w:rPr>
                <w:lang w:val="en-US"/>
              </w:rPr>
              <w:t>u</w:t>
            </w:r>
            <w:r w:rsidR="00B059FD" w:rsidRPr="42831E93">
              <w:rPr>
                <w:lang w:val="en-US"/>
              </w:rPr>
              <w:t>nstats.un.org/unsd/gender/vaw/</w:t>
            </w:r>
            <w:r w:rsidR="2A97CB05" w:rsidRPr="42831E93">
              <w:rPr>
                <w:lang w:val="en-US"/>
              </w:rPr>
              <w:t>](unstats.un.org/unsd/gender/vaw/)</w:t>
            </w:r>
          </w:p>
        </w:tc>
      </w:tr>
      <w:tr w:rsidR="007C160B" w:rsidRPr="007C160B" w14:paraId="3F594D5C" w14:textId="77777777" w:rsidTr="42831E93">
        <w:trPr>
          <w:trHeight w:val="6376"/>
        </w:trPr>
        <w:tc>
          <w:tcPr>
            <w:tcW w:w="715" w:type="dxa"/>
            <w:shd w:val="clear" w:color="auto" w:fill="auto"/>
            <w:hideMark/>
          </w:tcPr>
          <w:p w14:paraId="6401B25F" w14:textId="6EFCDBC7" w:rsidR="007C160B" w:rsidRPr="007C160B" w:rsidRDefault="00B059FD" w:rsidP="007C160B">
            <w:pPr>
              <w:rPr>
                <w:lang w:val="en-US"/>
              </w:rPr>
            </w:pPr>
            <w:r>
              <w:rPr>
                <w:lang w:val="en-US"/>
              </w:rPr>
              <w:lastRenderedPageBreak/>
              <w:t>V.1</w:t>
            </w:r>
          </w:p>
        </w:tc>
        <w:tc>
          <w:tcPr>
            <w:tcW w:w="865" w:type="dxa"/>
            <w:shd w:val="clear" w:color="auto" w:fill="auto"/>
            <w:hideMark/>
          </w:tcPr>
          <w:p w14:paraId="3024C05A" w14:textId="77777777" w:rsidR="007C160B" w:rsidRPr="007C160B" w:rsidRDefault="007C160B" w:rsidP="007C160B">
            <w:pPr>
              <w:rPr>
                <w:lang w:val="en-US"/>
              </w:rPr>
            </w:pPr>
            <w:r w:rsidRPr="007C160B">
              <w:rPr>
                <w:lang w:val="en-US"/>
              </w:rPr>
              <w:t>2</w:t>
            </w:r>
          </w:p>
        </w:tc>
        <w:tc>
          <w:tcPr>
            <w:tcW w:w="2070" w:type="dxa"/>
            <w:shd w:val="clear" w:color="auto" w:fill="auto"/>
            <w:hideMark/>
          </w:tcPr>
          <w:p w14:paraId="0CF40E5F" w14:textId="77777777" w:rsidR="007C160B" w:rsidRPr="007C160B" w:rsidRDefault="007C160B" w:rsidP="007C160B">
            <w:pPr>
              <w:rPr>
                <w:lang w:val="en-US"/>
              </w:rPr>
            </w:pPr>
            <w:r w:rsidRPr="42831E93">
              <w:rPr>
                <w:lang w:val="en-US"/>
              </w:rPr>
              <w:t>International agreed definition</w:t>
            </w:r>
          </w:p>
        </w:tc>
        <w:tc>
          <w:tcPr>
            <w:tcW w:w="6120" w:type="dxa"/>
            <w:shd w:val="clear" w:color="auto" w:fill="auto"/>
            <w:hideMark/>
          </w:tcPr>
          <w:p w14:paraId="06673B69" w14:textId="671D0999" w:rsidR="007C160B" w:rsidRDefault="00D8C055" w:rsidP="007C160B">
            <w:pPr>
              <w:rPr>
                <w:lang w:val="en-US"/>
              </w:rPr>
            </w:pPr>
            <w:r w:rsidRPr="42831E93">
              <w:rPr>
                <w:lang w:val="en-US"/>
              </w:rPr>
              <w:t>**</w:t>
            </w:r>
            <w:r w:rsidR="007C160B" w:rsidRPr="42831E93">
              <w:rPr>
                <w:lang w:val="en-US"/>
              </w:rPr>
              <w:t>Definition</w:t>
            </w:r>
            <w:r w:rsidR="6478B44C" w:rsidRPr="42831E93">
              <w:rPr>
                <w:lang w:val="en-US"/>
              </w:rPr>
              <w:t>**</w:t>
            </w:r>
            <w:r w:rsidR="007C160B">
              <w:br/>
            </w:r>
            <w:r w:rsidR="007C160B" w:rsidRPr="42831E93">
              <w:rPr>
                <w:lang w:val="en-US"/>
              </w:rPr>
              <w:t xml:space="preserve">This indicator measures the percentage of ever-partnered women and girls aged 15 years and older who have experienced physical, sexual or psychological violence by a current or former intimate partner, in the previous 12 months. Definition of violence against women and girls and of the forms of violence specified under this indicator are presented in the next section </w:t>
            </w:r>
            <w:r w:rsidR="2EF5185E" w:rsidRPr="42831E93">
              <w:rPr>
                <w:lang w:val="en-US"/>
              </w:rPr>
              <w:t>\</w:t>
            </w:r>
            <w:r w:rsidR="007C160B" w:rsidRPr="42831E93">
              <w:rPr>
                <w:lang w:val="en-US"/>
              </w:rPr>
              <w:t>(Concepts</w:t>
            </w:r>
            <w:r w:rsidR="5593A801" w:rsidRPr="42831E93">
              <w:rPr>
                <w:lang w:val="en-US"/>
              </w:rPr>
              <w:t>\</w:t>
            </w:r>
            <w:r w:rsidR="007C160B" w:rsidRPr="42831E93">
              <w:rPr>
                <w:lang w:val="en-US"/>
              </w:rPr>
              <w:t xml:space="preserve">). </w:t>
            </w:r>
          </w:p>
          <w:p w14:paraId="7B91914F" w14:textId="007A39A0" w:rsidR="42831E93" w:rsidRDefault="42831E93" w:rsidP="42831E93">
            <w:pPr>
              <w:rPr>
                <w:lang w:val="en-US"/>
              </w:rPr>
            </w:pPr>
          </w:p>
          <w:p w14:paraId="61C00858" w14:textId="0D072849" w:rsidR="007C160B" w:rsidRDefault="007C160B" w:rsidP="42831E93">
            <w:pPr>
              <w:rPr>
                <w:lang w:val="en-US"/>
              </w:rPr>
            </w:pPr>
            <w:r w:rsidRPr="42831E93">
              <w:rPr>
                <w:lang w:val="en-US"/>
              </w:rPr>
              <w:t xml:space="preserve">NOTE: We refer to “violence against women” throughout, and this also includes adolescent girls </w:t>
            </w:r>
            <w:r w:rsidR="2785293B" w:rsidRPr="42831E93">
              <w:rPr>
                <w:lang w:val="en-US"/>
              </w:rPr>
              <w:t>\</w:t>
            </w:r>
            <w:r w:rsidRPr="42831E93">
              <w:rPr>
                <w:lang w:val="en-US"/>
              </w:rPr>
              <w:t>(15-19 years old</w:t>
            </w:r>
            <w:r w:rsidR="7ED0F960" w:rsidRPr="42831E93">
              <w:rPr>
                <w:lang w:val="en-US"/>
              </w:rPr>
              <w:t>\</w:t>
            </w:r>
            <w:r w:rsidRPr="42831E93">
              <w:rPr>
                <w:lang w:val="en-US"/>
              </w:rPr>
              <w:t>).</w:t>
            </w:r>
            <w:r>
              <w:br/>
            </w:r>
            <w:r>
              <w:br/>
            </w:r>
            <w:r w:rsidR="74900EBA" w:rsidRPr="42831E93">
              <w:rPr>
                <w:lang w:val="en-US"/>
              </w:rPr>
              <w:t>**</w:t>
            </w:r>
            <w:r w:rsidRPr="42831E93">
              <w:rPr>
                <w:lang w:val="en-US"/>
              </w:rPr>
              <w:t>Concepts</w:t>
            </w:r>
            <w:r w:rsidR="74355648" w:rsidRPr="42831E93">
              <w:rPr>
                <w:lang w:val="en-US"/>
              </w:rPr>
              <w:t>**</w:t>
            </w:r>
            <w:r>
              <w:br/>
            </w:r>
            <w:r w:rsidRPr="42831E93">
              <w:rPr>
                <w:lang w:val="en-US"/>
              </w:rPr>
              <w:t xml:space="preserve">According to the UN Declaration on the Elimination of Violence against Women </w:t>
            </w:r>
            <w:r w:rsidR="397896C9" w:rsidRPr="42831E93">
              <w:rPr>
                <w:lang w:val="en-US"/>
              </w:rPr>
              <w:t>\</w:t>
            </w:r>
            <w:r w:rsidRPr="42831E93">
              <w:rPr>
                <w:lang w:val="en-US"/>
              </w:rPr>
              <w:t>(1993</w:t>
            </w:r>
            <w:r w:rsidR="6AED4089" w:rsidRPr="42831E93">
              <w:rPr>
                <w:lang w:val="en-US"/>
              </w:rPr>
              <w:t>\</w:t>
            </w:r>
            <w:r w:rsidRPr="42831E93">
              <w:rPr>
                <w:lang w:val="en-US"/>
              </w:rPr>
              <w:t xml:space="preserve">),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Physical, sexual and psychological violence occurring in the family […]”. See here for full definition: </w:t>
            </w:r>
            <w:r w:rsidR="355BAEC2" w:rsidRPr="42831E93">
              <w:rPr>
                <w:lang w:val="en-US"/>
              </w:rPr>
              <w:t>[</w:t>
            </w:r>
            <w:r w:rsidRPr="003F69DF">
              <w:rPr>
                <w:lang w:val="en-US"/>
              </w:rPr>
              <w:t>https://undocs.org/en/A/RES/48/104</w:t>
            </w:r>
            <w:r w:rsidR="008F84FE" w:rsidRPr="003F69DF">
              <w:rPr>
                <w:lang w:val="en-US"/>
              </w:rPr>
              <w:t>](https://undocs.org/en/A/RES/48/104)</w:t>
            </w:r>
          </w:p>
          <w:p w14:paraId="4AB8C40A" w14:textId="622BBBB6" w:rsidR="0DB9AA07" w:rsidRDefault="0DB9AA07" w:rsidP="0DB9AA07">
            <w:pPr>
              <w:rPr>
                <w:lang w:val="en-US"/>
              </w:rPr>
            </w:pPr>
          </w:p>
          <w:p w14:paraId="5BEAC9B1" w14:textId="0253BE81" w:rsidR="007C160B" w:rsidRDefault="007C160B" w:rsidP="007C160B">
            <w:pPr>
              <w:rPr>
                <w:lang w:val="en-US"/>
              </w:rPr>
            </w:pPr>
            <w:r w:rsidRPr="007C160B">
              <w:rPr>
                <w:lang w:val="en-US"/>
              </w:rPr>
              <w:t xml:space="preserve">Intimate partner violence against women includes any abuse perpetrated by a current or former partner within the context of marriage, cohabitation or any other formal or informal union. </w:t>
            </w:r>
          </w:p>
          <w:p w14:paraId="498805CF" w14:textId="77777777" w:rsidR="007C160B" w:rsidRDefault="007C160B" w:rsidP="007C160B">
            <w:pPr>
              <w:rPr>
                <w:lang w:val="en-US"/>
              </w:rPr>
            </w:pPr>
            <w:r w:rsidRPr="42831E93">
              <w:rPr>
                <w:lang w:val="en-US"/>
              </w:rPr>
              <w:t xml:space="preserve">The different forms of violence included in the indicator are defined as follows: </w:t>
            </w:r>
          </w:p>
          <w:p w14:paraId="7077C9C6" w14:textId="343AFAF8" w:rsidR="0DB9AA07" w:rsidRDefault="0DB9AA07" w:rsidP="0DB9AA07">
            <w:pPr>
              <w:rPr>
                <w:lang w:val="en-US"/>
              </w:rPr>
            </w:pPr>
          </w:p>
          <w:p w14:paraId="45110666" w14:textId="59486643" w:rsidR="007C160B" w:rsidRDefault="007C160B" w:rsidP="007C160B">
            <w:pPr>
              <w:rPr>
                <w:lang w:val="en-US"/>
              </w:rPr>
            </w:pPr>
            <w:r w:rsidRPr="0DB9AA07">
              <w:rPr>
                <w:lang w:val="en-US"/>
              </w:rPr>
              <w:t xml:space="preserve">1. Physical violence consists of acts aimed at physically hurting the victim and include, but are not limited to, acts like pushing, grabbing, twisting the arm, pulling hair, slapping, kicking, biting or hitting with a fist or object, trying to strangle or suffocate, burning or scalding on purpose, or threatening or attacking with some sort of weapon, gun or knife. </w:t>
            </w:r>
          </w:p>
          <w:p w14:paraId="7F15E6F9" w14:textId="3D751107" w:rsidR="0DB9AA07" w:rsidRDefault="0DB9AA07" w:rsidP="0DB9AA07">
            <w:pPr>
              <w:rPr>
                <w:lang w:val="en-US"/>
              </w:rPr>
            </w:pPr>
          </w:p>
          <w:p w14:paraId="64C6CF50" w14:textId="18D2CD7E" w:rsidR="007C160B" w:rsidRDefault="007C160B" w:rsidP="007C160B">
            <w:pPr>
              <w:rPr>
                <w:lang w:val="en-US"/>
              </w:rPr>
            </w:pPr>
            <w:r w:rsidRPr="42831E93">
              <w:rPr>
                <w:lang w:val="en-US"/>
              </w:rPr>
              <w:t xml:space="preserve">2. Sexual violence is defined as any sort of harmful or unwanted sexual behavior that is imposed on someone, whether by use of physical force, intimidation or coercion. It includes acts of abusive </w:t>
            </w:r>
            <w:r w:rsidRPr="42831E93">
              <w:rPr>
                <w:lang w:val="en-US"/>
              </w:rPr>
              <w:lastRenderedPageBreak/>
              <w:t xml:space="preserve">sexual contact, forced sexual acts, attempted or completed sexual acts </w:t>
            </w:r>
            <w:r w:rsidR="1AFF4E47" w:rsidRPr="42831E93">
              <w:rPr>
                <w:lang w:val="en-US"/>
              </w:rPr>
              <w:t>\</w:t>
            </w:r>
            <w:r w:rsidRPr="42831E93">
              <w:rPr>
                <w:lang w:val="en-US"/>
              </w:rPr>
              <w:t>(intercourse</w:t>
            </w:r>
            <w:r w:rsidR="3A370825" w:rsidRPr="42831E93">
              <w:rPr>
                <w:lang w:val="en-US"/>
              </w:rPr>
              <w:t>\</w:t>
            </w:r>
            <w:r w:rsidRPr="42831E93">
              <w:rPr>
                <w:lang w:val="en-US"/>
              </w:rPr>
              <w:t xml:space="preserve">) without consent </w:t>
            </w:r>
            <w:r w:rsidR="0D4D9A32" w:rsidRPr="42831E93">
              <w:rPr>
                <w:lang w:val="en-US"/>
              </w:rPr>
              <w:t>\</w:t>
            </w:r>
            <w:r w:rsidRPr="42831E93">
              <w:rPr>
                <w:lang w:val="en-US"/>
              </w:rPr>
              <w:t>(rape or attempted rape</w:t>
            </w:r>
            <w:r w:rsidR="5C55CE16" w:rsidRPr="42831E93">
              <w:rPr>
                <w:lang w:val="en-US"/>
              </w:rPr>
              <w:t>\</w:t>
            </w:r>
            <w:r w:rsidRPr="42831E93">
              <w:rPr>
                <w:lang w:val="en-US"/>
              </w:rPr>
              <w:t xml:space="preserve">), non-contact acts such as being forced to watch or participate in pornography, etc. In intimate partner relationships, sexual violence is commonly operationally defined in surveys as: being physically forced to have sexual intercourse, having sexual intercourse out of fear for what the partner might do or through coercion, and/or being forced to so something sexual that the woman considers humiliating or degrading. </w:t>
            </w:r>
          </w:p>
          <w:p w14:paraId="654BDBF7" w14:textId="446BE1BC" w:rsidR="0DB9AA07" w:rsidRDefault="0DB9AA07" w:rsidP="0DB9AA07">
            <w:pPr>
              <w:rPr>
                <w:lang w:val="en-US"/>
              </w:rPr>
            </w:pPr>
          </w:p>
          <w:p w14:paraId="09D8058B" w14:textId="45442834" w:rsidR="005E1907" w:rsidRPr="007C160B" w:rsidRDefault="007C160B" w:rsidP="005E1907">
            <w:pPr>
              <w:rPr>
                <w:lang w:val="en-US"/>
              </w:rPr>
            </w:pPr>
            <w:r w:rsidRPr="42831E93">
              <w:rPr>
                <w:lang w:val="en-US"/>
              </w:rPr>
              <w:t xml:space="preserve">3. Psychological violence consists of any act that induces fear or emotional distress. It includes a range of behaviors that encompass acts of emotional abuse such as being frequently humiliated in public, intimidated or having things you care for destroyed, etc. These often coexist with acts of physical and sexual violence by intimate partners. In addition, surveys often measure controlling behaviours </w:t>
            </w:r>
            <w:r w:rsidR="1AD53D67" w:rsidRPr="42831E93">
              <w:rPr>
                <w:lang w:val="en-US"/>
              </w:rPr>
              <w:t>\</w:t>
            </w:r>
            <w:r w:rsidRPr="42831E93">
              <w:rPr>
                <w:lang w:val="en-US"/>
              </w:rPr>
              <w:t>(e.g., being kept from seeing family or friends, or from seeking health care without permission</w:t>
            </w:r>
            <w:r w:rsidR="2FE8132A" w:rsidRPr="42831E93">
              <w:rPr>
                <w:lang w:val="en-US"/>
              </w:rPr>
              <w:t>\</w:t>
            </w:r>
            <w:r w:rsidRPr="42831E93">
              <w:rPr>
                <w:lang w:val="en-US"/>
              </w:rPr>
              <w:t>). These are also considered acts of psychological abuse</w:t>
            </w:r>
            <w:r w:rsidR="203AF2CB" w:rsidRPr="42831E93">
              <w:rPr>
                <w:lang w:val="en-US"/>
              </w:rPr>
              <w:t>.</w:t>
            </w:r>
            <w:r>
              <w:br/>
            </w:r>
            <w:r>
              <w:br/>
            </w:r>
            <w:r w:rsidRPr="42831E93">
              <w:rPr>
                <w:lang w:val="en-US"/>
              </w:rPr>
              <w:t xml:space="preserve">For a more detailed definition of physical, sexual and psychological violence against women see Guidelines for Producing Statistics on Violence against Women- Statistical Surveys </w:t>
            </w:r>
            <w:r w:rsidR="2280B1B3" w:rsidRPr="42831E93">
              <w:rPr>
                <w:lang w:val="en-US"/>
              </w:rPr>
              <w:t>\</w:t>
            </w:r>
            <w:r w:rsidRPr="42831E93">
              <w:rPr>
                <w:lang w:val="en-US"/>
              </w:rPr>
              <w:t>(UN, 2014</w:t>
            </w:r>
            <w:r w:rsidR="60F65F3D" w:rsidRPr="42831E93">
              <w:rPr>
                <w:lang w:val="en-US"/>
              </w:rPr>
              <w:t>\</w:t>
            </w:r>
            <w:r w:rsidRPr="42831E93">
              <w:rPr>
                <w:lang w:val="en-US"/>
              </w:rPr>
              <w:t xml:space="preserve">), and the International Classification of Crime for Statistical Purposes ICCS </w:t>
            </w:r>
            <w:r w:rsidR="5B0BDDDD" w:rsidRPr="42831E93">
              <w:rPr>
                <w:lang w:val="en-US"/>
              </w:rPr>
              <w:t>\</w:t>
            </w:r>
            <w:r w:rsidRPr="42831E93">
              <w:rPr>
                <w:lang w:val="en-US"/>
              </w:rPr>
              <w:t>(UNODC, 2015</w:t>
            </w:r>
            <w:r w:rsidR="7CDD61C2" w:rsidRPr="42831E93">
              <w:rPr>
                <w:lang w:val="en-US"/>
              </w:rPr>
              <w:t>\</w:t>
            </w:r>
            <w:r w:rsidRPr="42831E93">
              <w:rPr>
                <w:lang w:val="en-US"/>
              </w:rPr>
              <w:t xml:space="preserve">), and Violence against Women Prevalence Estimates, 2018. Global, regional and national prevalence estimates for intimate partner violence against women and global and regional prevalence estimates for non-partner sexual violence against women </w:t>
            </w:r>
            <w:r w:rsidR="4DE12339" w:rsidRPr="42831E93">
              <w:rPr>
                <w:lang w:val="en-US"/>
              </w:rPr>
              <w:t>\</w:t>
            </w:r>
            <w:r w:rsidRPr="42831E93">
              <w:rPr>
                <w:lang w:val="en-US"/>
              </w:rPr>
              <w:t>(WHO, 2021</w:t>
            </w:r>
            <w:r w:rsidR="6B884E35" w:rsidRPr="42831E93">
              <w:rPr>
                <w:lang w:val="en-US"/>
              </w:rPr>
              <w:t>\</w:t>
            </w:r>
            <w:r w:rsidRPr="42831E93">
              <w:rPr>
                <w:lang w:val="en-US"/>
              </w:rPr>
              <w:t>).</w:t>
            </w:r>
          </w:p>
        </w:tc>
      </w:tr>
      <w:tr w:rsidR="007C160B" w:rsidRPr="007C160B" w14:paraId="13A3B0A0" w14:textId="77777777" w:rsidTr="42831E93">
        <w:trPr>
          <w:trHeight w:val="260"/>
        </w:trPr>
        <w:tc>
          <w:tcPr>
            <w:tcW w:w="715" w:type="dxa"/>
            <w:shd w:val="clear" w:color="auto" w:fill="auto"/>
            <w:hideMark/>
          </w:tcPr>
          <w:p w14:paraId="03D02054" w14:textId="33FC4E21" w:rsidR="007C160B" w:rsidRPr="007C160B" w:rsidRDefault="00B059FD" w:rsidP="007C160B">
            <w:pPr>
              <w:rPr>
                <w:lang w:val="en-US"/>
              </w:rPr>
            </w:pPr>
            <w:r>
              <w:rPr>
                <w:lang w:val="en-US"/>
              </w:rPr>
              <w:lastRenderedPageBreak/>
              <w:t>V.1</w:t>
            </w:r>
          </w:p>
        </w:tc>
        <w:tc>
          <w:tcPr>
            <w:tcW w:w="865" w:type="dxa"/>
            <w:shd w:val="clear" w:color="auto" w:fill="auto"/>
            <w:hideMark/>
          </w:tcPr>
          <w:p w14:paraId="6274F108" w14:textId="77777777" w:rsidR="007C160B" w:rsidRPr="007C160B" w:rsidRDefault="007C160B" w:rsidP="007C160B">
            <w:pPr>
              <w:rPr>
                <w:lang w:val="en-US"/>
              </w:rPr>
            </w:pPr>
            <w:r w:rsidRPr="007C160B">
              <w:rPr>
                <w:lang w:val="en-US"/>
              </w:rPr>
              <w:t>3</w:t>
            </w:r>
          </w:p>
        </w:tc>
        <w:tc>
          <w:tcPr>
            <w:tcW w:w="2070" w:type="dxa"/>
            <w:shd w:val="clear" w:color="auto" w:fill="auto"/>
            <w:hideMark/>
          </w:tcPr>
          <w:p w14:paraId="3B4FBACA" w14:textId="77777777" w:rsidR="007C160B" w:rsidRPr="007C160B" w:rsidRDefault="007C160B" w:rsidP="007C160B">
            <w:pPr>
              <w:rPr>
                <w:lang w:val="en-US"/>
              </w:rPr>
            </w:pPr>
            <w:r w:rsidRPr="42831E93">
              <w:rPr>
                <w:lang w:val="en-US"/>
              </w:rPr>
              <w:t>Method of computation</w:t>
            </w:r>
          </w:p>
        </w:tc>
        <w:tc>
          <w:tcPr>
            <w:tcW w:w="6120" w:type="dxa"/>
            <w:shd w:val="clear" w:color="auto" w:fill="auto"/>
          </w:tcPr>
          <w:p w14:paraId="26E22D15" w14:textId="77777777" w:rsidR="007C160B" w:rsidRDefault="007C160B" w:rsidP="007C160B">
            <w:pPr>
              <w:rPr>
                <w:lang w:val="en-US"/>
              </w:rPr>
            </w:pPr>
            <w:r w:rsidRPr="007C160B">
              <w:rPr>
                <w:lang w:val="en-US"/>
              </w:rPr>
              <w:t>This indicator calls for breakdown by form of violence and by age group. Countries are encouraged to compute prevalence data for each form of violence as detailed below to assist comparability at the regional and global levels:</w:t>
            </w:r>
          </w:p>
          <w:p w14:paraId="3D9C0368" w14:textId="0940B182" w:rsidR="007C160B" w:rsidRDefault="007C160B" w:rsidP="007C160B">
            <w:pPr>
              <w:pStyle w:val="ListParagraph"/>
              <w:numPr>
                <w:ilvl w:val="0"/>
                <w:numId w:val="1"/>
              </w:numPr>
              <w:rPr>
                <w:lang w:val="en-US"/>
              </w:rPr>
            </w:pPr>
            <w:r w:rsidRPr="42831E93">
              <w:rPr>
                <w:lang w:val="en-US"/>
              </w:rPr>
              <w:t xml:space="preserve">Physical intimate partner violence = {Number of ever-partnered women </w:t>
            </w:r>
            <w:r w:rsidR="2C3EE2C1" w:rsidRPr="42831E93">
              <w:rPr>
                <w:lang w:val="en-US"/>
              </w:rPr>
              <w:t>\</w:t>
            </w:r>
            <w:r w:rsidRPr="42831E93">
              <w:rPr>
                <w:lang w:val="en-US"/>
              </w:rPr>
              <w:t>(aged 15 years and above</w:t>
            </w:r>
            <w:r w:rsidR="5F9F2BDF" w:rsidRPr="42831E93">
              <w:rPr>
                <w:lang w:val="en-US"/>
              </w:rPr>
              <w:t>\</w:t>
            </w:r>
            <w:r w:rsidRPr="42831E93">
              <w:rPr>
                <w:lang w:val="en-US"/>
              </w:rPr>
              <w:t xml:space="preserve">) who experience physical violence by a current or former intimate partner in the previous 12 months / number of ever-partnered women and girls </w:t>
            </w:r>
            <w:r w:rsidR="16BD11A2" w:rsidRPr="42831E93">
              <w:rPr>
                <w:lang w:val="en-US"/>
              </w:rPr>
              <w:t>\</w:t>
            </w:r>
            <w:r w:rsidRPr="42831E93">
              <w:rPr>
                <w:lang w:val="en-US"/>
              </w:rPr>
              <w:t>(aged 15 years and above</w:t>
            </w:r>
            <w:r w:rsidR="5AC4468E" w:rsidRPr="42831E93">
              <w:rPr>
                <w:lang w:val="en-US"/>
              </w:rPr>
              <w:t>\</w:t>
            </w:r>
            <w:r w:rsidRPr="42831E93">
              <w:rPr>
                <w:lang w:val="en-US"/>
              </w:rPr>
              <w:t xml:space="preserve">) in the population} x 100 </w:t>
            </w:r>
          </w:p>
          <w:p w14:paraId="6C07DCC6" w14:textId="77777777" w:rsidR="007C160B" w:rsidRPr="007C160B" w:rsidRDefault="007C160B" w:rsidP="007C160B">
            <w:pPr>
              <w:pStyle w:val="ListParagraph"/>
              <w:rPr>
                <w:lang w:val="en-US"/>
              </w:rPr>
            </w:pPr>
          </w:p>
          <w:p w14:paraId="4BEC38D4" w14:textId="655547EC" w:rsidR="007C160B" w:rsidRPr="007C160B" w:rsidRDefault="007C160B" w:rsidP="007C160B">
            <w:pPr>
              <w:pStyle w:val="ListParagraph"/>
              <w:numPr>
                <w:ilvl w:val="0"/>
                <w:numId w:val="1"/>
              </w:numPr>
              <w:rPr>
                <w:lang w:val="en-US"/>
              </w:rPr>
            </w:pPr>
            <w:r w:rsidRPr="42831E93">
              <w:rPr>
                <w:lang w:val="en-US"/>
              </w:rPr>
              <w:lastRenderedPageBreak/>
              <w:t xml:space="preserve">Sexual intimate partner violence = {Number of ever-partnered women </w:t>
            </w:r>
            <w:r w:rsidR="47A4C1EA" w:rsidRPr="42831E93">
              <w:rPr>
                <w:lang w:val="en-US"/>
              </w:rPr>
              <w:t>\</w:t>
            </w:r>
            <w:r w:rsidRPr="42831E93">
              <w:rPr>
                <w:lang w:val="en-US"/>
              </w:rPr>
              <w:t>(aged 15 years and above</w:t>
            </w:r>
            <w:r w:rsidR="7D5FFD51" w:rsidRPr="42831E93">
              <w:rPr>
                <w:lang w:val="en-US"/>
              </w:rPr>
              <w:t>\</w:t>
            </w:r>
            <w:r w:rsidRPr="42831E93">
              <w:rPr>
                <w:lang w:val="en-US"/>
              </w:rPr>
              <w:t xml:space="preserve">) who experience sexual violence by a current or former intimate partner in the previous 12 months / number of ever-partnered women </w:t>
            </w:r>
            <w:r w:rsidR="7A0A6B56" w:rsidRPr="42831E93">
              <w:rPr>
                <w:lang w:val="en-US"/>
              </w:rPr>
              <w:t>\</w:t>
            </w:r>
            <w:r w:rsidRPr="42831E93">
              <w:rPr>
                <w:lang w:val="en-US"/>
              </w:rPr>
              <w:t>(aged 15 years and above</w:t>
            </w:r>
            <w:r w:rsidR="40F384DC" w:rsidRPr="42831E93">
              <w:rPr>
                <w:lang w:val="en-US"/>
              </w:rPr>
              <w:t>\</w:t>
            </w:r>
            <w:r w:rsidRPr="42831E93">
              <w:rPr>
                <w:lang w:val="en-US"/>
              </w:rPr>
              <w:t>) in the population} x 100</w:t>
            </w:r>
            <w:r>
              <w:br/>
            </w:r>
          </w:p>
          <w:p w14:paraId="12B9355A" w14:textId="5587AB1D" w:rsidR="007C160B" w:rsidRPr="007C160B" w:rsidRDefault="007C160B" w:rsidP="007C160B">
            <w:pPr>
              <w:pStyle w:val="ListParagraph"/>
              <w:numPr>
                <w:ilvl w:val="0"/>
                <w:numId w:val="1"/>
              </w:numPr>
              <w:rPr>
                <w:lang w:val="en-US"/>
              </w:rPr>
            </w:pPr>
            <w:r w:rsidRPr="42831E93">
              <w:rPr>
                <w:lang w:val="en-US"/>
              </w:rPr>
              <w:t xml:space="preserve">Psychological intimate partner violence = {Number of ever-partnered women </w:t>
            </w:r>
            <w:r w:rsidR="647D318E" w:rsidRPr="42831E93">
              <w:rPr>
                <w:lang w:val="en-US"/>
              </w:rPr>
              <w:t>\</w:t>
            </w:r>
            <w:r w:rsidRPr="42831E93">
              <w:rPr>
                <w:lang w:val="en-US"/>
              </w:rPr>
              <w:t>(aged 15 years and above</w:t>
            </w:r>
            <w:r w:rsidR="39A910CC" w:rsidRPr="42831E93">
              <w:rPr>
                <w:lang w:val="en-US"/>
              </w:rPr>
              <w:t>\</w:t>
            </w:r>
            <w:r w:rsidRPr="42831E93">
              <w:rPr>
                <w:lang w:val="en-US"/>
              </w:rPr>
              <w:t xml:space="preserve">) who experience psychological violence by a current or former intimate partner in the previous 12 months / number of ever-partnered women </w:t>
            </w:r>
            <w:r w:rsidR="27AC9CEF" w:rsidRPr="42831E93">
              <w:rPr>
                <w:lang w:val="en-US"/>
              </w:rPr>
              <w:t>\</w:t>
            </w:r>
            <w:r w:rsidRPr="42831E93">
              <w:rPr>
                <w:lang w:val="en-US"/>
              </w:rPr>
              <w:t>(aged 15 years and above</w:t>
            </w:r>
            <w:r w:rsidR="2E65A811" w:rsidRPr="42831E93">
              <w:rPr>
                <w:lang w:val="en-US"/>
              </w:rPr>
              <w:t>\</w:t>
            </w:r>
            <w:r w:rsidRPr="42831E93">
              <w:rPr>
                <w:lang w:val="en-US"/>
              </w:rPr>
              <w:t>)} x 100</w:t>
            </w:r>
            <w:r>
              <w:br/>
            </w:r>
          </w:p>
          <w:p w14:paraId="13EC9AA9" w14:textId="0CF6E670" w:rsidR="007C160B" w:rsidRDefault="007C160B" w:rsidP="007C160B">
            <w:pPr>
              <w:pStyle w:val="ListParagraph"/>
              <w:numPr>
                <w:ilvl w:val="0"/>
                <w:numId w:val="1"/>
              </w:numPr>
              <w:rPr>
                <w:lang w:val="en-US"/>
              </w:rPr>
            </w:pPr>
            <w:r w:rsidRPr="42831E93">
              <w:rPr>
                <w:lang w:val="en-US"/>
              </w:rPr>
              <w:t xml:space="preserve">Any form of physical and/or sexual intimate partner violence = {Number of ever-partnered women </w:t>
            </w:r>
            <w:r w:rsidR="3A2810D4" w:rsidRPr="42831E93">
              <w:rPr>
                <w:lang w:val="en-US"/>
              </w:rPr>
              <w:t>\</w:t>
            </w:r>
            <w:r w:rsidRPr="42831E93">
              <w:rPr>
                <w:lang w:val="en-US"/>
              </w:rPr>
              <w:t>(aged 15 years and above</w:t>
            </w:r>
            <w:r w:rsidR="3549670B" w:rsidRPr="42831E93">
              <w:rPr>
                <w:lang w:val="en-US"/>
              </w:rPr>
              <w:t>\</w:t>
            </w:r>
            <w:r w:rsidRPr="42831E93">
              <w:rPr>
                <w:lang w:val="en-US"/>
              </w:rPr>
              <w:t xml:space="preserve">) who experience physical and/or sexual violence by a current or former intimate partner in the previous 12 months / number of ever-partnered women </w:t>
            </w:r>
            <w:r w:rsidR="2DA1FD32" w:rsidRPr="42831E93">
              <w:rPr>
                <w:lang w:val="en-US"/>
              </w:rPr>
              <w:t>\</w:t>
            </w:r>
            <w:r w:rsidRPr="42831E93">
              <w:rPr>
                <w:lang w:val="en-US"/>
              </w:rPr>
              <w:t>(aged 15 years and above</w:t>
            </w:r>
            <w:r w:rsidR="43CFA427" w:rsidRPr="42831E93">
              <w:rPr>
                <w:lang w:val="en-US"/>
              </w:rPr>
              <w:t>\</w:t>
            </w:r>
            <w:r w:rsidRPr="42831E93">
              <w:rPr>
                <w:lang w:val="en-US"/>
              </w:rPr>
              <w:t>)} x 100</w:t>
            </w:r>
          </w:p>
          <w:p w14:paraId="04E40480" w14:textId="77777777" w:rsidR="007C160B" w:rsidRDefault="007C160B" w:rsidP="007C160B">
            <w:pPr>
              <w:pStyle w:val="ListParagraph"/>
              <w:rPr>
                <w:lang w:val="en-US"/>
              </w:rPr>
            </w:pPr>
          </w:p>
          <w:p w14:paraId="357B2020" w14:textId="30B77FFB" w:rsidR="007C160B" w:rsidRPr="007C160B" w:rsidRDefault="007C160B" w:rsidP="007C160B">
            <w:pPr>
              <w:pStyle w:val="ListParagraph"/>
              <w:numPr>
                <w:ilvl w:val="0"/>
                <w:numId w:val="1"/>
              </w:numPr>
              <w:rPr>
                <w:lang w:val="en-US"/>
              </w:rPr>
            </w:pPr>
            <w:r w:rsidRPr="42831E93">
              <w:rPr>
                <w:lang w:val="en-US"/>
              </w:rPr>
              <w:t xml:space="preserve">Any form of physical, sexual and/or psychological intimate partner violence: {Number of ever-partnered women </w:t>
            </w:r>
            <w:r w:rsidR="7C2BF1C9" w:rsidRPr="42831E93">
              <w:rPr>
                <w:lang w:val="en-US"/>
              </w:rPr>
              <w:t>\</w:t>
            </w:r>
            <w:r w:rsidRPr="42831E93">
              <w:rPr>
                <w:lang w:val="en-US"/>
              </w:rPr>
              <w:t>(aged 15 years and above</w:t>
            </w:r>
            <w:r w:rsidR="037A9709" w:rsidRPr="42831E93">
              <w:rPr>
                <w:lang w:val="en-US"/>
              </w:rPr>
              <w:t>\</w:t>
            </w:r>
            <w:r w:rsidRPr="42831E93">
              <w:rPr>
                <w:lang w:val="en-US"/>
              </w:rPr>
              <w:t xml:space="preserve">) who experience physical, sexual and/or psychological violence by a current or former intimate partner in the previous 12 months / number of ever-partnered women </w:t>
            </w:r>
            <w:r w:rsidR="65627B5C" w:rsidRPr="42831E93">
              <w:rPr>
                <w:lang w:val="en-US"/>
              </w:rPr>
              <w:t>\</w:t>
            </w:r>
            <w:r w:rsidRPr="42831E93">
              <w:rPr>
                <w:lang w:val="en-US"/>
              </w:rPr>
              <w:t>(aged 15 years and above</w:t>
            </w:r>
            <w:r w:rsidR="2EED3DA0" w:rsidRPr="42831E93">
              <w:rPr>
                <w:lang w:val="en-US"/>
              </w:rPr>
              <w:t>\</w:t>
            </w:r>
            <w:r w:rsidRPr="42831E93">
              <w:rPr>
                <w:lang w:val="en-US"/>
              </w:rPr>
              <w:t>)} x 100</w:t>
            </w:r>
          </w:p>
          <w:p w14:paraId="44820FD8" w14:textId="0B0EC634" w:rsidR="0DB9AA07" w:rsidRDefault="0DB9AA07" w:rsidP="0DB9AA07">
            <w:pPr>
              <w:rPr>
                <w:lang w:val="en-US"/>
              </w:rPr>
            </w:pPr>
          </w:p>
          <w:p w14:paraId="4463A4F9" w14:textId="492C25FD" w:rsidR="007C160B" w:rsidRDefault="007C160B" w:rsidP="007C160B">
            <w:pPr>
              <w:rPr>
                <w:lang w:val="en-US"/>
              </w:rPr>
            </w:pPr>
            <w:r w:rsidRPr="42831E93">
              <w:rPr>
                <w:lang w:val="en-US"/>
              </w:rPr>
              <w:t xml:space="preserve">NOTE: To assist comparability at the regional and global level, and due to more comparable data available, countries are encouraged to additionally compute the above figures for ever-partnered women aged 15 to 49. Regional and global reporting on this indicator currently only includes data computed by countries for #4 above </w:t>
            </w:r>
            <w:r w:rsidR="567F3531" w:rsidRPr="42831E93">
              <w:rPr>
                <w:lang w:val="en-US"/>
              </w:rPr>
              <w:t>\</w:t>
            </w:r>
            <w:r w:rsidRPr="42831E93">
              <w:rPr>
                <w:lang w:val="en-US"/>
              </w:rPr>
              <w:t>(i.e., any form of physical and/or sexual partner violence</w:t>
            </w:r>
            <w:r w:rsidR="7CBD6676" w:rsidRPr="42831E93">
              <w:rPr>
                <w:lang w:val="en-US"/>
              </w:rPr>
              <w:t>\</w:t>
            </w:r>
            <w:r w:rsidRPr="42831E93">
              <w:rPr>
                <w:lang w:val="en-US"/>
              </w:rPr>
              <w:t>), and for both the 15-49 and the 15 years and older age groups</w:t>
            </w:r>
            <w:r w:rsidR="79180942" w:rsidRPr="42831E93">
              <w:rPr>
                <w:lang w:val="en-US"/>
              </w:rPr>
              <w:t>\</w:t>
            </w:r>
            <w:r w:rsidRPr="42831E93">
              <w:rPr>
                <w:lang w:val="en-US"/>
              </w:rPr>
              <w:t>). For further details, see Feasibility section below.</w:t>
            </w:r>
          </w:p>
          <w:p w14:paraId="1C857E97" w14:textId="56EB294D" w:rsidR="0DB9AA07" w:rsidRDefault="0DB9AA07" w:rsidP="0DB9AA07">
            <w:pPr>
              <w:rPr>
                <w:lang w:val="en-US"/>
              </w:rPr>
            </w:pPr>
          </w:p>
          <w:p w14:paraId="3DC9D441" w14:textId="3C811CA4" w:rsidR="007C160B" w:rsidRDefault="7F3993FB" w:rsidP="007C160B">
            <w:pPr>
              <w:rPr>
                <w:lang w:val="en-US"/>
              </w:rPr>
            </w:pPr>
            <w:r w:rsidRPr="42831E93">
              <w:rPr>
                <w:lang w:val="en-US"/>
              </w:rPr>
              <w:t>**</w:t>
            </w:r>
            <w:r w:rsidR="007C160B" w:rsidRPr="42831E93">
              <w:rPr>
                <w:lang w:val="en-US"/>
              </w:rPr>
              <w:t>Global aggregates</w:t>
            </w:r>
            <w:r w:rsidR="3194AA68" w:rsidRPr="42831E93">
              <w:rPr>
                <w:lang w:val="en-US"/>
              </w:rPr>
              <w:t>**</w:t>
            </w:r>
            <w:r w:rsidR="007C160B" w:rsidRPr="42831E93">
              <w:rPr>
                <w:lang w:val="en-US"/>
              </w:rPr>
              <w:t xml:space="preserve"> are weighted averages of all the countries that make up the world. </w:t>
            </w:r>
            <w:r w:rsidR="56238E87" w:rsidRPr="42831E93">
              <w:rPr>
                <w:lang w:val="en-US"/>
              </w:rPr>
              <w:t>**</w:t>
            </w:r>
            <w:r w:rsidR="007C160B" w:rsidRPr="42831E93">
              <w:rPr>
                <w:lang w:val="en-US"/>
              </w:rPr>
              <w:t>Regional aggregates</w:t>
            </w:r>
            <w:r w:rsidR="35D1A7CA" w:rsidRPr="42831E93">
              <w:rPr>
                <w:lang w:val="en-US"/>
              </w:rPr>
              <w:t>**</w:t>
            </w:r>
            <w:r w:rsidR="007C160B" w:rsidRPr="42831E93">
              <w:rPr>
                <w:lang w:val="en-US"/>
              </w:rPr>
              <w:t xml:space="preserve"> are weighted averages of all the countries within the region. Weights used are the population of women aged 15 to 49 from the most 2019 </w:t>
            </w:r>
            <w:r w:rsidR="007C160B" w:rsidRPr="42831E93">
              <w:rPr>
                <w:lang w:val="en-US"/>
              </w:rPr>
              <w:lastRenderedPageBreak/>
              <w:t xml:space="preserve">revision of the World Population Prospects. Where data are not available for all countries in any given region, regional aggregates may still be calculated. The number of countries included in the average is clearly indicated. It should be noted that regional and global figures should be interpreted with caution, as they do not necessarily represent with accuracy the region or world as a whole, especially for regions where population coverage is below 50 per cent. </w:t>
            </w:r>
          </w:p>
          <w:p w14:paraId="642C4E80" w14:textId="06D2D8E1" w:rsidR="0DB9AA07" w:rsidRDefault="0DB9AA07" w:rsidP="0DB9AA07">
            <w:pPr>
              <w:rPr>
                <w:lang w:val="en-US"/>
              </w:rPr>
            </w:pPr>
          </w:p>
          <w:p w14:paraId="2738931D" w14:textId="51F22434" w:rsidR="005E1907" w:rsidRPr="007C160B" w:rsidRDefault="00FCB03D" w:rsidP="42831E93">
            <w:pPr>
              <w:rPr>
                <w:lang w:val="en-US"/>
              </w:rPr>
            </w:pPr>
            <w:r w:rsidRPr="42831E93">
              <w:rPr>
                <w:lang w:val="en-US"/>
              </w:rPr>
              <w:t>**</w:t>
            </w:r>
            <w:r w:rsidR="005E1907" w:rsidRPr="42831E93">
              <w:rPr>
                <w:lang w:val="en-US"/>
              </w:rPr>
              <w:t>Disaggregation</w:t>
            </w:r>
            <w:r w:rsidR="5038E1AC" w:rsidRPr="42831E93">
              <w:rPr>
                <w:lang w:val="en-US"/>
              </w:rPr>
              <w:t>**</w:t>
            </w:r>
            <w:r w:rsidR="522A488F" w:rsidRPr="42831E93">
              <w:rPr>
                <w:lang w:val="en-US"/>
              </w:rPr>
              <w:t>: f</w:t>
            </w:r>
            <w:r w:rsidR="005E1907" w:rsidRPr="42831E93">
              <w:rPr>
                <w:lang w:val="en-US"/>
              </w:rPr>
              <w:t>orm of violence</w:t>
            </w:r>
            <w:r w:rsidR="00EC56CA" w:rsidRPr="42831E93">
              <w:rPr>
                <w:lang w:val="en-US"/>
              </w:rPr>
              <w:t>, sex,</w:t>
            </w:r>
            <w:r w:rsidR="005E1907" w:rsidRPr="42831E93">
              <w:rPr>
                <w:lang w:val="en-US"/>
              </w:rPr>
              <w:t xml:space="preserve"> age</w:t>
            </w:r>
          </w:p>
          <w:p w14:paraId="7CBDAD06" w14:textId="6C8FA308" w:rsidR="005E1907" w:rsidRPr="007C160B" w:rsidRDefault="005E1907" w:rsidP="42831E93">
            <w:pPr>
              <w:rPr>
                <w:lang w:val="en-US"/>
              </w:rPr>
            </w:pPr>
          </w:p>
        </w:tc>
      </w:tr>
      <w:tr w:rsidR="007C160B" w:rsidRPr="007C160B" w14:paraId="70556A17" w14:textId="77777777" w:rsidTr="42831E93">
        <w:trPr>
          <w:trHeight w:val="1500"/>
        </w:trPr>
        <w:tc>
          <w:tcPr>
            <w:tcW w:w="715" w:type="dxa"/>
            <w:shd w:val="clear" w:color="auto" w:fill="auto"/>
            <w:hideMark/>
          </w:tcPr>
          <w:p w14:paraId="7DA56E19" w14:textId="530E6638" w:rsidR="007C160B" w:rsidRPr="007C160B" w:rsidRDefault="00B059FD" w:rsidP="007C160B">
            <w:pPr>
              <w:rPr>
                <w:lang w:val="en-US"/>
              </w:rPr>
            </w:pPr>
            <w:r>
              <w:rPr>
                <w:lang w:val="en-US"/>
              </w:rPr>
              <w:lastRenderedPageBreak/>
              <w:t>V.1</w:t>
            </w:r>
          </w:p>
        </w:tc>
        <w:tc>
          <w:tcPr>
            <w:tcW w:w="865" w:type="dxa"/>
            <w:shd w:val="clear" w:color="auto" w:fill="auto"/>
            <w:hideMark/>
          </w:tcPr>
          <w:p w14:paraId="4E7DA45A" w14:textId="77777777" w:rsidR="007C160B" w:rsidRPr="007C160B" w:rsidRDefault="007C160B" w:rsidP="007C160B">
            <w:pPr>
              <w:rPr>
                <w:lang w:val="en-US"/>
              </w:rPr>
            </w:pPr>
            <w:r w:rsidRPr="007C160B">
              <w:rPr>
                <w:lang w:val="en-US"/>
              </w:rPr>
              <w:t>4</w:t>
            </w:r>
          </w:p>
        </w:tc>
        <w:tc>
          <w:tcPr>
            <w:tcW w:w="2070" w:type="dxa"/>
            <w:shd w:val="clear" w:color="auto" w:fill="auto"/>
            <w:hideMark/>
          </w:tcPr>
          <w:p w14:paraId="4516E07E" w14:textId="77777777" w:rsidR="007C160B" w:rsidRPr="007C160B" w:rsidRDefault="007C160B" w:rsidP="007C160B">
            <w:pPr>
              <w:rPr>
                <w:lang w:val="en-US"/>
              </w:rPr>
            </w:pPr>
            <w:r w:rsidRPr="42831E93">
              <w:rPr>
                <w:lang w:val="en-US"/>
              </w:rPr>
              <w:t>Importance of the indicator in addressing gender issues and its limitation</w:t>
            </w:r>
          </w:p>
        </w:tc>
        <w:tc>
          <w:tcPr>
            <w:tcW w:w="6120" w:type="dxa"/>
            <w:shd w:val="clear" w:color="auto" w:fill="auto"/>
          </w:tcPr>
          <w:p w14:paraId="5D344052" w14:textId="77777777" w:rsidR="007C160B" w:rsidRDefault="007C160B" w:rsidP="007C160B">
            <w:pPr>
              <w:rPr>
                <w:lang w:val="en-US"/>
              </w:rPr>
            </w:pPr>
            <w:r w:rsidRPr="42831E93">
              <w:rPr>
                <w:lang w:val="en-US"/>
              </w:rPr>
              <w:t xml:space="preserve">Intimate partner violence is the most common form of violence that women face globally. Given prevailing social norms that sanction male dominance over women, male violence towards their female intimate partners is often perceived as an ordinary/normal element of relationships in the context of marriage or other unions. Violence against women is an extreme manifestation of gender inequality. </w:t>
            </w:r>
          </w:p>
          <w:p w14:paraId="6FBE6DDF" w14:textId="5A0D8723" w:rsidR="42831E93" w:rsidRDefault="42831E93" w:rsidP="42831E93">
            <w:pPr>
              <w:rPr>
                <w:lang w:val="en-US"/>
              </w:rPr>
            </w:pPr>
          </w:p>
          <w:p w14:paraId="349011AE" w14:textId="0951E4BB" w:rsidR="007C160B" w:rsidRDefault="007C160B" w:rsidP="007C160B">
            <w:pPr>
              <w:rPr>
                <w:lang w:val="en-US"/>
              </w:rPr>
            </w:pPr>
            <w:r w:rsidRPr="42831E93">
              <w:rPr>
                <w:lang w:val="en-US"/>
              </w:rPr>
              <w:t xml:space="preserve">Prevalence data are required to measure the magnitude of the problem; understand the various forms of violence and their consequences; identify groups at high risk; and explore the barriers to seeking help in order to inform that the appropriate responses are being provided. These data are the starting point for informing laws, policies, and developing effective responses and programmes. They also allow countries to monitor change over time and optimally target resources to maximise the effectiveness of interventions </w:t>
            </w:r>
            <w:r w:rsidR="393AFF0A" w:rsidRPr="42831E93">
              <w:rPr>
                <w:lang w:val="en-US"/>
              </w:rPr>
              <w:t>\</w:t>
            </w:r>
            <w:r w:rsidRPr="42831E93">
              <w:rPr>
                <w:lang w:val="en-US"/>
              </w:rPr>
              <w:t>(especially in resource-constrained setting</w:t>
            </w:r>
            <w:r w:rsidR="2A42C69F" w:rsidRPr="42831E93">
              <w:rPr>
                <w:lang w:val="en-US"/>
              </w:rPr>
              <w:t>\</w:t>
            </w:r>
            <w:r w:rsidRPr="42831E93">
              <w:rPr>
                <w:lang w:val="en-US"/>
              </w:rPr>
              <w:t>).</w:t>
            </w:r>
          </w:p>
          <w:p w14:paraId="335935C5" w14:textId="5FB016AE" w:rsidR="0DB9AA07" w:rsidRDefault="0DB9AA07" w:rsidP="0DB9AA07">
            <w:pPr>
              <w:rPr>
                <w:lang w:val="en-US"/>
              </w:rPr>
            </w:pPr>
          </w:p>
          <w:p w14:paraId="25C6E07B" w14:textId="1E9AE367" w:rsidR="007C160B" w:rsidRPr="007C160B" w:rsidRDefault="6319D3DC" w:rsidP="42831E93">
            <w:pPr>
              <w:rPr>
                <w:lang w:val="en-US"/>
              </w:rPr>
            </w:pPr>
            <w:r w:rsidRPr="42831E93">
              <w:rPr>
                <w:lang w:val="en-US"/>
              </w:rPr>
              <w:t>**</w:t>
            </w:r>
            <w:r w:rsidR="007C160B" w:rsidRPr="42831E93">
              <w:rPr>
                <w:lang w:val="en-US"/>
              </w:rPr>
              <w:t>Comments and limitations</w:t>
            </w:r>
            <w:r w:rsidR="2CBB6D84" w:rsidRPr="42831E93">
              <w:rPr>
                <w:lang w:val="en-US"/>
              </w:rPr>
              <w:t>**</w:t>
            </w:r>
          </w:p>
          <w:p w14:paraId="5C46143C" w14:textId="5DB8A88B" w:rsidR="007C160B" w:rsidRDefault="007C160B" w:rsidP="007C160B">
            <w:pPr>
              <w:rPr>
                <w:lang w:val="en-US"/>
              </w:rPr>
            </w:pPr>
            <w:r w:rsidRPr="42831E93">
              <w:rPr>
                <w:lang w:val="en-US"/>
              </w:rPr>
              <w:t xml:space="preserve">Comparability: The availability of comparable data remains a challenge in this area as many data collection efforts have relied on different survey methodologies, used different definitions of partner or spousal violence </w:t>
            </w:r>
            <w:r w:rsidR="66B5B939" w:rsidRPr="42831E93">
              <w:rPr>
                <w:lang w:val="en-US"/>
              </w:rPr>
              <w:t>\</w:t>
            </w:r>
            <w:r w:rsidR="60A7CE3A" w:rsidRPr="42831E93">
              <w:rPr>
                <w:lang w:val="en-US"/>
              </w:rPr>
              <w:t>(</w:t>
            </w:r>
            <w:r w:rsidRPr="42831E93">
              <w:rPr>
                <w:lang w:val="en-US"/>
              </w:rPr>
              <w:t>e.g. definitions based on severity of acts or type of violence</w:t>
            </w:r>
            <w:r w:rsidR="3DB79F9A" w:rsidRPr="42831E93">
              <w:rPr>
                <w:lang w:val="en-US"/>
              </w:rPr>
              <w:t>\</w:t>
            </w:r>
            <w:r w:rsidRPr="42831E93">
              <w:rPr>
                <w:lang w:val="en-US"/>
              </w:rPr>
              <w:t xml:space="preserve">) and recall periods </w:t>
            </w:r>
            <w:r w:rsidR="54A4AB8F" w:rsidRPr="42831E93">
              <w:rPr>
                <w:lang w:val="en-US"/>
              </w:rPr>
              <w:t>\</w:t>
            </w:r>
            <w:r w:rsidRPr="42831E93">
              <w:rPr>
                <w:lang w:val="en-US"/>
              </w:rPr>
              <w:t>(i.e. lifetime versus past year/12 months – and different definitions of “lifetime”</w:t>
            </w:r>
            <w:r w:rsidR="2A6F2461" w:rsidRPr="42831E93">
              <w:rPr>
                <w:lang w:val="en-US"/>
              </w:rPr>
              <w:t>\</w:t>
            </w:r>
            <w:r w:rsidRPr="42831E93">
              <w:rPr>
                <w:lang w:val="en-US"/>
              </w:rPr>
              <w:t xml:space="preserve">); lack of disaggregation by different forms of intimate partner violence </w:t>
            </w:r>
            <w:r w:rsidR="64CEC46A" w:rsidRPr="42831E93">
              <w:rPr>
                <w:lang w:val="en-US"/>
              </w:rPr>
              <w:t>\</w:t>
            </w:r>
            <w:r w:rsidRPr="42831E93">
              <w:rPr>
                <w:lang w:val="en-US"/>
              </w:rPr>
              <w:t>(physical, sexual, psychological</w:t>
            </w:r>
            <w:r w:rsidR="59C6ECE9" w:rsidRPr="42831E93">
              <w:rPr>
                <w:lang w:val="en-US"/>
              </w:rPr>
              <w:t>\</w:t>
            </w:r>
            <w:r w:rsidRPr="42831E93">
              <w:rPr>
                <w:lang w:val="en-US"/>
              </w:rPr>
              <w:t xml:space="preserve">) and by different forms of violence and different survey question formulations, used </w:t>
            </w:r>
            <w:r w:rsidRPr="42831E93">
              <w:rPr>
                <w:lang w:val="en-US"/>
              </w:rPr>
              <w:lastRenderedPageBreak/>
              <w:t xml:space="preserve">diverse age groups, or used different denominators </w:t>
            </w:r>
            <w:r w:rsidR="531BFCDF" w:rsidRPr="42831E93">
              <w:rPr>
                <w:lang w:val="en-US"/>
              </w:rPr>
              <w:t>\</w:t>
            </w:r>
            <w:r w:rsidRPr="42831E93">
              <w:rPr>
                <w:lang w:val="en-US"/>
              </w:rPr>
              <w:t>(e.g. all women [various age ranges], or only ever-married/partnered or currently married/partnered women</w:t>
            </w:r>
            <w:r w:rsidR="22B411BC" w:rsidRPr="42831E93">
              <w:rPr>
                <w:lang w:val="en-US"/>
              </w:rPr>
              <w:t>\</w:t>
            </w:r>
            <w:r w:rsidRPr="42831E93">
              <w:rPr>
                <w:lang w:val="en-US"/>
              </w:rPr>
              <w:t xml:space="preserve">). The quality of interviewer training also likely varies although this is difficult to quantify. Willingness to discuss experiences of violence and understanding of relevant concepts may also differ according to how the survey is implemented, and the cultural context and this can affect reported prevalence levels. Given the wide variations in methodologies, measurement and quality across studies from different countries statistically adjusted estimates are currently needed to ensure comparability across countries and regions. However, generating estimates are an interim solution and it is important for individual countries to collect robust, internationally comparable, high-quality data that reflect the relevant socioeconomic, political and cultural risk and protective factors associated with the prevalence of violence against women in order to inform appropriate policy responses and programmatic decision-making. </w:t>
            </w:r>
          </w:p>
          <w:p w14:paraId="70535A17" w14:textId="283666A6" w:rsidR="0DB9AA07" w:rsidRDefault="0DB9AA07" w:rsidP="0DB9AA07">
            <w:pPr>
              <w:rPr>
                <w:lang w:val="en-US"/>
              </w:rPr>
            </w:pPr>
          </w:p>
          <w:p w14:paraId="327EA362" w14:textId="5F9A1412" w:rsidR="007C160B" w:rsidRDefault="007C160B" w:rsidP="007C160B">
            <w:pPr>
              <w:rPr>
                <w:lang w:val="en-US"/>
              </w:rPr>
            </w:pPr>
            <w:r w:rsidRPr="42831E93">
              <w:rPr>
                <w:lang w:val="en-US"/>
              </w:rPr>
              <w:t>Regularity of data production:</w:t>
            </w:r>
            <w:r w:rsidR="68F9087B" w:rsidRPr="42831E93">
              <w:rPr>
                <w:lang w:val="en-US"/>
              </w:rPr>
              <w:t xml:space="preserve"> </w:t>
            </w:r>
            <w:r w:rsidRPr="42831E93">
              <w:rPr>
                <w:lang w:val="en-US"/>
              </w:rPr>
              <w:t xml:space="preserve">Obtaining data on violence against women is a costly and time-consuming exercise, whether they are obtained through stand-alone dedicated surveys or through modules in other surveys. Demographic and Health Surveys </w:t>
            </w:r>
            <w:r w:rsidR="695DB5BC" w:rsidRPr="42831E93">
              <w:rPr>
                <w:lang w:val="en-US"/>
              </w:rPr>
              <w:t>\</w:t>
            </w:r>
            <w:r w:rsidRPr="42831E93">
              <w:rPr>
                <w:lang w:val="en-US"/>
              </w:rPr>
              <w:t>(DHS</w:t>
            </w:r>
            <w:r w:rsidR="71FABBF6" w:rsidRPr="42831E93">
              <w:rPr>
                <w:lang w:val="en-US"/>
              </w:rPr>
              <w:t>\</w:t>
            </w:r>
            <w:r w:rsidRPr="42831E93">
              <w:rPr>
                <w:lang w:val="en-US"/>
              </w:rPr>
              <w:t xml:space="preserve">), the main source of data for LMICs, are conducted every 5 years or so and dedicated surveys, if repeated, are conducted usually with less periodicity than this. Monitoring this indicator with certain periodicity may be a challenge if sustained capacities are not built and financial resources are not available for regular surveys. At the same time prevalence is unlikely to change from year to year so every 3-5 years is recommended. </w:t>
            </w:r>
          </w:p>
          <w:p w14:paraId="5C8AAACF" w14:textId="22FB23F8" w:rsidR="0DB9AA07" w:rsidRDefault="0DB9AA07" w:rsidP="0DB9AA07">
            <w:pPr>
              <w:rPr>
                <w:lang w:val="en-US"/>
              </w:rPr>
            </w:pPr>
          </w:p>
          <w:p w14:paraId="23515BCA" w14:textId="2175D482" w:rsidR="007C160B" w:rsidRPr="007C160B" w:rsidRDefault="007C160B" w:rsidP="42831E93">
            <w:pPr>
              <w:rPr>
                <w:lang w:val="en-US"/>
              </w:rPr>
            </w:pPr>
            <w:r w:rsidRPr="42831E93">
              <w:rPr>
                <w:lang w:val="en-US"/>
              </w:rPr>
              <w:t xml:space="preserve">Feasibility: This indicator calls for global reporting on three types of intimate partner violence: physical, sexual, and psychological. While there is global consensus on how physical and sexual intimate partner violence are generally defined and measured, psychological partner violence—which may be conceptualised differently across cultures and in different contexts. This indicator therefore currently reports on physical and/or sexual intimate partner violence only. Efforts are underway by custodian agencies to develop a global standard for measuring and reporting on psychological intimate partner violence. This will enable reporting on the three stipulated types of partner violence in the future. Similarly, this indicator calls for global reporting of violence </w:t>
            </w:r>
            <w:r w:rsidRPr="42831E93">
              <w:rPr>
                <w:lang w:val="en-US"/>
              </w:rPr>
              <w:lastRenderedPageBreak/>
              <w:t>experienced by ever-partnered women aged 15 years and above. A majority of data come from DHS, which typically sample only women aged 15-49, and there is a lack of consistency in the age range of sample populations across other country surveys. For those surveys that interview a sample of women from a different age group, the prevalence for the 15-49 age group is often published or can be calculated from available data. The global indicator therefore currently reports on both violence experienced by ever-partnered women 15-49 years of age and 15 years and older. Given the existing limited availability on violence against women aged 50 years and older, efforts are underway by the custodian agencies to improve the measurement and encourage increased availability of data on violence against women aged 50 years and older. This will enable a better estimating the extent of this problem and understanding the experiences of partner violence for this older age group.</w:t>
            </w:r>
          </w:p>
          <w:p w14:paraId="19AF2CC6" w14:textId="42D77C6B" w:rsidR="007C160B" w:rsidRPr="007C160B" w:rsidRDefault="007C160B" w:rsidP="42831E93">
            <w:pPr>
              <w:rPr>
                <w:lang w:val="en-US"/>
              </w:rPr>
            </w:pPr>
          </w:p>
        </w:tc>
      </w:tr>
      <w:tr w:rsidR="007C160B" w:rsidRPr="007C160B" w14:paraId="249D225C" w14:textId="77777777" w:rsidTr="42831E93">
        <w:trPr>
          <w:trHeight w:val="900"/>
        </w:trPr>
        <w:tc>
          <w:tcPr>
            <w:tcW w:w="715" w:type="dxa"/>
            <w:shd w:val="clear" w:color="auto" w:fill="auto"/>
            <w:hideMark/>
          </w:tcPr>
          <w:p w14:paraId="35D62C40" w14:textId="49CBF146" w:rsidR="007C160B" w:rsidRPr="007C160B" w:rsidRDefault="00B059FD" w:rsidP="007C160B">
            <w:pPr>
              <w:rPr>
                <w:lang w:val="en-US"/>
              </w:rPr>
            </w:pPr>
            <w:r>
              <w:rPr>
                <w:lang w:val="en-US"/>
              </w:rPr>
              <w:lastRenderedPageBreak/>
              <w:t>V.1</w:t>
            </w:r>
          </w:p>
        </w:tc>
        <w:tc>
          <w:tcPr>
            <w:tcW w:w="865" w:type="dxa"/>
            <w:shd w:val="clear" w:color="auto" w:fill="auto"/>
            <w:hideMark/>
          </w:tcPr>
          <w:p w14:paraId="746C6C1D" w14:textId="77777777" w:rsidR="007C160B" w:rsidRPr="007C160B" w:rsidRDefault="007C160B" w:rsidP="007C160B">
            <w:pPr>
              <w:rPr>
                <w:lang w:val="en-US"/>
              </w:rPr>
            </w:pPr>
            <w:r w:rsidRPr="007C160B">
              <w:rPr>
                <w:lang w:val="en-US"/>
              </w:rPr>
              <w:t>5</w:t>
            </w:r>
          </w:p>
        </w:tc>
        <w:tc>
          <w:tcPr>
            <w:tcW w:w="2070" w:type="dxa"/>
            <w:shd w:val="clear" w:color="auto" w:fill="auto"/>
            <w:hideMark/>
          </w:tcPr>
          <w:p w14:paraId="7E7C7EB4" w14:textId="77777777" w:rsidR="007C160B" w:rsidRPr="007C160B" w:rsidRDefault="007C160B" w:rsidP="007C160B">
            <w:pPr>
              <w:rPr>
                <w:lang w:val="en-US"/>
              </w:rPr>
            </w:pPr>
            <w:r w:rsidRPr="42831E93">
              <w:rPr>
                <w:lang w:val="en-US"/>
              </w:rPr>
              <w:t>Sources of discrepancies between global and national figures</w:t>
            </w:r>
          </w:p>
        </w:tc>
        <w:tc>
          <w:tcPr>
            <w:tcW w:w="6120" w:type="dxa"/>
            <w:shd w:val="clear" w:color="auto" w:fill="auto"/>
          </w:tcPr>
          <w:p w14:paraId="5B1E096C" w14:textId="028C78C1" w:rsidR="007C160B" w:rsidRPr="007C160B" w:rsidRDefault="005E1907" w:rsidP="42831E93">
            <w:pPr>
              <w:rPr>
                <w:lang w:val="en-US"/>
              </w:rPr>
            </w:pPr>
            <w:r w:rsidRPr="42831E93">
              <w:rPr>
                <w:lang w:val="en-US"/>
              </w:rPr>
              <w:t xml:space="preserve">All available survey data sources that are representative at the national and subnational level, are used to generate the prevalence estimates. The data are from published survey reports and/or data and datasets provided by countries. In cases where only data disaggregated by violence type were presented in the report, microdata was used to calculate the aggregate measure of physical and/or sexual intimate partner violence. As there is variability in the measurement across surveys and countries, relevant covariate adjustments were made to enhance comparability. These include adjustments for case definitions </w:t>
            </w:r>
            <w:r w:rsidR="637B517A" w:rsidRPr="42831E93">
              <w:rPr>
                <w:lang w:val="en-US"/>
              </w:rPr>
              <w:t>\</w:t>
            </w:r>
            <w:r w:rsidRPr="42831E93">
              <w:rPr>
                <w:lang w:val="en-US"/>
              </w:rPr>
              <w:t>(e.g. severity</w:t>
            </w:r>
            <w:r w:rsidR="4761013C" w:rsidRPr="42831E93">
              <w:rPr>
                <w:lang w:val="en-US"/>
              </w:rPr>
              <w:t>\</w:t>
            </w:r>
            <w:r w:rsidRPr="42831E93">
              <w:rPr>
                <w:lang w:val="en-US"/>
              </w:rPr>
              <w:t xml:space="preserve">), type of violence </w:t>
            </w:r>
            <w:r w:rsidR="4574CB7D" w:rsidRPr="42831E93">
              <w:rPr>
                <w:lang w:val="en-US"/>
              </w:rPr>
              <w:t>\</w:t>
            </w:r>
            <w:r w:rsidRPr="42831E93">
              <w:rPr>
                <w:lang w:val="en-US"/>
              </w:rPr>
              <w:t>(i.e. physical intimate partner violence only or sexual intimate partner violence only</w:t>
            </w:r>
            <w:r w:rsidR="5130BAF1" w:rsidRPr="42831E93">
              <w:rPr>
                <w:lang w:val="en-US"/>
              </w:rPr>
              <w:t>\</w:t>
            </w:r>
            <w:r w:rsidRPr="42831E93">
              <w:rPr>
                <w:lang w:val="en-US"/>
              </w:rPr>
              <w:t xml:space="preserve">), population surveyed </w:t>
            </w:r>
            <w:r w:rsidR="5575C458" w:rsidRPr="42831E93">
              <w:rPr>
                <w:lang w:val="en-US"/>
              </w:rPr>
              <w:t>\</w:t>
            </w:r>
            <w:r w:rsidRPr="42831E93">
              <w:rPr>
                <w:lang w:val="en-US"/>
              </w:rPr>
              <w:t>(e.g. currently married women only or all women</w:t>
            </w:r>
            <w:r w:rsidR="3B7D544B" w:rsidRPr="42831E93">
              <w:rPr>
                <w:lang w:val="en-US"/>
              </w:rPr>
              <w:t>\</w:t>
            </w:r>
            <w:r w:rsidRPr="42831E93">
              <w:rPr>
                <w:lang w:val="en-US"/>
              </w:rPr>
              <w:t xml:space="preserve">), reference partners </w:t>
            </w:r>
            <w:r w:rsidR="00FA283B" w:rsidRPr="42831E93">
              <w:rPr>
                <w:lang w:val="en-US"/>
              </w:rPr>
              <w:t>\</w:t>
            </w:r>
            <w:r w:rsidRPr="42831E93">
              <w:rPr>
                <w:lang w:val="en-US"/>
              </w:rPr>
              <w:t>(e.g. current/most recent partners</w:t>
            </w:r>
            <w:r w:rsidR="335DFAC6" w:rsidRPr="42831E93">
              <w:rPr>
                <w:lang w:val="en-US"/>
              </w:rPr>
              <w:t>\</w:t>
            </w:r>
            <w:r w:rsidRPr="42831E93">
              <w:rPr>
                <w:lang w:val="en-US"/>
              </w:rPr>
              <w:t xml:space="preserve">), and geographical strata </w:t>
            </w:r>
            <w:r w:rsidR="6B6B82E6" w:rsidRPr="42831E93">
              <w:rPr>
                <w:lang w:val="en-US"/>
              </w:rPr>
              <w:t>\</w:t>
            </w:r>
            <w:r w:rsidRPr="42831E93">
              <w:rPr>
                <w:lang w:val="en-US"/>
              </w:rPr>
              <w:t>(rural or urban</w:t>
            </w:r>
            <w:r w:rsidR="5EBD48A1" w:rsidRPr="42831E93">
              <w:rPr>
                <w:lang w:val="en-US"/>
              </w:rPr>
              <w:t>\</w:t>
            </w:r>
            <w:r w:rsidRPr="42831E93">
              <w:rPr>
                <w:lang w:val="en-US"/>
              </w:rPr>
              <w:t>), aggregate measure of physical and/or sexual intimate partner violence where only one of the two forms were available.</w:t>
            </w:r>
          </w:p>
          <w:p w14:paraId="0915CE6F" w14:textId="1B7B9001" w:rsidR="007C160B" w:rsidRPr="007C160B" w:rsidRDefault="007C160B" w:rsidP="42831E93">
            <w:pPr>
              <w:rPr>
                <w:lang w:val="en-US"/>
              </w:rPr>
            </w:pPr>
          </w:p>
        </w:tc>
      </w:tr>
      <w:tr w:rsidR="007C160B" w:rsidRPr="007C160B" w14:paraId="7C102BAC" w14:textId="77777777" w:rsidTr="42831E93">
        <w:trPr>
          <w:trHeight w:val="900"/>
        </w:trPr>
        <w:tc>
          <w:tcPr>
            <w:tcW w:w="715" w:type="dxa"/>
            <w:shd w:val="clear" w:color="auto" w:fill="auto"/>
          </w:tcPr>
          <w:p w14:paraId="06DD2B9C" w14:textId="0AEEA56E" w:rsidR="007C160B" w:rsidRPr="007C160B" w:rsidRDefault="00B059FD" w:rsidP="007C160B">
            <w:pPr>
              <w:rPr>
                <w:lang w:val="en-US"/>
              </w:rPr>
            </w:pPr>
            <w:r>
              <w:rPr>
                <w:lang w:val="en-US"/>
              </w:rPr>
              <w:t>V.1</w:t>
            </w:r>
          </w:p>
        </w:tc>
        <w:tc>
          <w:tcPr>
            <w:tcW w:w="865" w:type="dxa"/>
            <w:shd w:val="clear" w:color="auto" w:fill="auto"/>
          </w:tcPr>
          <w:p w14:paraId="6DDEC50E" w14:textId="77777777" w:rsidR="007C160B" w:rsidRPr="007C160B" w:rsidRDefault="007C160B" w:rsidP="007C160B">
            <w:pPr>
              <w:rPr>
                <w:lang w:val="en-US"/>
              </w:rPr>
            </w:pPr>
            <w:r w:rsidRPr="007C160B">
              <w:rPr>
                <w:lang w:val="en-US"/>
              </w:rPr>
              <w:t>6</w:t>
            </w:r>
          </w:p>
        </w:tc>
        <w:tc>
          <w:tcPr>
            <w:tcW w:w="2070" w:type="dxa"/>
            <w:shd w:val="clear" w:color="auto" w:fill="auto"/>
          </w:tcPr>
          <w:p w14:paraId="163A8B92" w14:textId="77777777" w:rsidR="007C160B" w:rsidRPr="007C160B" w:rsidRDefault="007C160B" w:rsidP="007C160B">
            <w:pPr>
              <w:rPr>
                <w:lang w:val="en-US"/>
              </w:rPr>
            </w:pPr>
            <w:r w:rsidRPr="42831E93">
              <w:rPr>
                <w:lang w:val="en-US"/>
              </w:rPr>
              <w:t>Process of obtaining data</w:t>
            </w:r>
          </w:p>
        </w:tc>
        <w:tc>
          <w:tcPr>
            <w:tcW w:w="6120" w:type="dxa"/>
            <w:shd w:val="clear" w:color="auto" w:fill="auto"/>
          </w:tcPr>
          <w:p w14:paraId="3B11DC1E" w14:textId="40E553A2" w:rsidR="007C160B" w:rsidRPr="007C160B" w:rsidRDefault="42CDC413" w:rsidP="007C160B">
            <w:pPr>
              <w:rPr>
                <w:lang w:val="en-US"/>
              </w:rPr>
            </w:pPr>
            <w:r w:rsidRPr="42831E93">
              <w:rPr>
                <w:lang w:val="en-US"/>
              </w:rPr>
              <w:t>It</w:t>
            </w:r>
            <w:r w:rsidR="007C160B" w:rsidRPr="42831E93">
              <w:rPr>
                <w:lang w:val="en-US"/>
              </w:rPr>
              <w:t xml:space="preserve"> comprises data from population-based household surveys representative at the national and/or sub-national level and implementing a methodology that uses act-based questions. All sources date from 2000 onwards.</w:t>
            </w:r>
          </w:p>
          <w:p w14:paraId="41768843" w14:textId="2439C214" w:rsidR="42831E93" w:rsidRDefault="42831E93" w:rsidP="42831E93">
            <w:pPr>
              <w:rPr>
                <w:lang w:val="en-US"/>
              </w:rPr>
            </w:pPr>
          </w:p>
          <w:p w14:paraId="5A54E6C9" w14:textId="07298D36" w:rsidR="007C160B" w:rsidRDefault="007C160B" w:rsidP="007C160B">
            <w:pPr>
              <w:rPr>
                <w:lang w:val="en-US"/>
              </w:rPr>
            </w:pPr>
            <w:r w:rsidRPr="42831E93">
              <w:rPr>
                <w:lang w:val="en-US"/>
              </w:rPr>
              <w:t xml:space="preserve">A significant proportion of data, especially for low- and middle-income countries are obtained from the Domestic Violence </w:t>
            </w:r>
            <w:r w:rsidRPr="42831E93">
              <w:rPr>
                <w:lang w:val="en-US"/>
              </w:rPr>
              <w:lastRenderedPageBreak/>
              <w:t xml:space="preserve">Module Demographic and Health Surveys </w:t>
            </w:r>
            <w:r w:rsidR="09E3E234" w:rsidRPr="42831E93">
              <w:rPr>
                <w:lang w:val="en-US"/>
              </w:rPr>
              <w:t>\</w:t>
            </w:r>
            <w:r w:rsidRPr="42831E93">
              <w:rPr>
                <w:lang w:val="en-US"/>
              </w:rPr>
              <w:t>(DHS</w:t>
            </w:r>
            <w:r w:rsidR="2142C597" w:rsidRPr="42831E93">
              <w:rPr>
                <w:lang w:val="en-US"/>
              </w:rPr>
              <w:t>\</w:t>
            </w:r>
            <w:r w:rsidRPr="42831E93">
              <w:rPr>
                <w:lang w:val="en-US"/>
              </w:rPr>
              <w:t xml:space="preserve">). Some data come from dedicated surveys on violence against women in countries that have implemented, for example, WHO’s violence against women survey methodology or other methodologies consistent with international guidelines and best practice. In the case of some higher-income countries, data were also obtained from Crime Victimisation Surveys </w:t>
            </w:r>
            <w:r w:rsidR="082D8E3D" w:rsidRPr="42831E93">
              <w:rPr>
                <w:lang w:val="en-US"/>
              </w:rPr>
              <w:t>\</w:t>
            </w:r>
            <w:r w:rsidRPr="42831E93">
              <w:rPr>
                <w:lang w:val="en-US"/>
              </w:rPr>
              <w:t>(CVS</w:t>
            </w:r>
            <w:r w:rsidR="4A3AF124" w:rsidRPr="42831E93">
              <w:rPr>
                <w:lang w:val="en-US"/>
              </w:rPr>
              <w:t>\</w:t>
            </w:r>
            <w:r w:rsidRPr="42831E93">
              <w:rPr>
                <w:lang w:val="en-US"/>
              </w:rPr>
              <w:t>).</w:t>
            </w:r>
          </w:p>
          <w:p w14:paraId="1BA82DAD" w14:textId="27880395" w:rsidR="0DB9AA07" w:rsidRDefault="0DB9AA07" w:rsidP="0DB9AA07">
            <w:pPr>
              <w:rPr>
                <w:lang w:val="en-US"/>
              </w:rPr>
            </w:pPr>
          </w:p>
          <w:p w14:paraId="4831A94F" w14:textId="1F20AC51" w:rsidR="007C160B" w:rsidRPr="007C160B" w:rsidRDefault="007C160B" w:rsidP="42831E93">
            <w:pPr>
              <w:rPr>
                <w:lang w:val="en-US"/>
              </w:rPr>
            </w:pPr>
            <w:r w:rsidRPr="42831E93">
              <w:rPr>
                <w:lang w:val="en-US"/>
              </w:rPr>
              <w:t xml:space="preserve">Data are collated by the WHO on behalf of the Inter-Agency Working Group on Violence against Women Data </w:t>
            </w:r>
            <w:r w:rsidR="3CEB5FD1" w:rsidRPr="42831E93">
              <w:rPr>
                <w:lang w:val="en-US"/>
              </w:rPr>
              <w:t>\</w:t>
            </w:r>
            <w:r w:rsidR="2B5E8D5F" w:rsidRPr="42831E93">
              <w:rPr>
                <w:lang w:val="en-US"/>
              </w:rPr>
              <w:t>(WHO, UN Women, UNICEF, UNSD, UNFPA, UNODC</w:t>
            </w:r>
            <w:r w:rsidR="5F4A2779" w:rsidRPr="42831E93">
              <w:rPr>
                <w:lang w:val="en-US"/>
              </w:rPr>
              <w:t>\</w:t>
            </w:r>
            <w:r w:rsidR="2B5E8D5F" w:rsidRPr="42831E93">
              <w:rPr>
                <w:lang w:val="en-US"/>
              </w:rPr>
              <w:t xml:space="preserve">) </w:t>
            </w:r>
            <w:r w:rsidRPr="42831E93">
              <w:rPr>
                <w:lang w:val="en-US"/>
              </w:rPr>
              <w:t xml:space="preserve">from publicly available survey data or data provided by National Statistics Offices or other relevant national entities through the consultation process with countries. For efficiency, some data are collated using existing data-compiling online platforms </w:t>
            </w:r>
            <w:r w:rsidR="78FE2529" w:rsidRPr="42831E93">
              <w:rPr>
                <w:lang w:val="en-US"/>
              </w:rPr>
              <w:t>\</w:t>
            </w:r>
            <w:r w:rsidRPr="42831E93">
              <w:rPr>
                <w:lang w:val="en-US"/>
              </w:rPr>
              <w:t>(e.g., DHS StatCompiler and the EU Fundamental Rights Agency Data Explorer</w:t>
            </w:r>
            <w:r w:rsidR="2306FFC6" w:rsidRPr="42831E93">
              <w:rPr>
                <w:lang w:val="en-US"/>
              </w:rPr>
              <w:t>\</w:t>
            </w:r>
            <w:r w:rsidRPr="42831E93">
              <w:rPr>
                <w:lang w:val="en-US"/>
              </w:rPr>
              <w:t>).</w:t>
            </w:r>
          </w:p>
          <w:p w14:paraId="5F091FA7" w14:textId="635F28B7" w:rsidR="007C160B" w:rsidRPr="007C160B" w:rsidRDefault="007C160B" w:rsidP="2D5E2D26">
            <w:pPr>
              <w:rPr>
                <w:lang w:val="en-US"/>
              </w:rPr>
            </w:pPr>
          </w:p>
        </w:tc>
      </w:tr>
      <w:tr w:rsidR="007C160B" w:rsidRPr="007C160B" w14:paraId="5F40C825" w14:textId="77777777" w:rsidTr="42831E93">
        <w:trPr>
          <w:trHeight w:val="900"/>
        </w:trPr>
        <w:tc>
          <w:tcPr>
            <w:tcW w:w="715" w:type="dxa"/>
            <w:shd w:val="clear" w:color="auto" w:fill="auto"/>
            <w:hideMark/>
          </w:tcPr>
          <w:p w14:paraId="24B07E1A" w14:textId="53453AA4" w:rsidR="007C160B" w:rsidRPr="007C160B" w:rsidRDefault="00B059FD" w:rsidP="007C160B">
            <w:pPr>
              <w:rPr>
                <w:lang w:val="en-US"/>
              </w:rPr>
            </w:pPr>
            <w:r>
              <w:rPr>
                <w:lang w:val="en-US"/>
              </w:rPr>
              <w:lastRenderedPageBreak/>
              <w:t>V.1</w:t>
            </w:r>
          </w:p>
        </w:tc>
        <w:tc>
          <w:tcPr>
            <w:tcW w:w="865" w:type="dxa"/>
            <w:shd w:val="clear" w:color="auto" w:fill="auto"/>
            <w:hideMark/>
          </w:tcPr>
          <w:p w14:paraId="21E2831D" w14:textId="77777777" w:rsidR="007C160B" w:rsidRPr="007C160B" w:rsidRDefault="007C160B" w:rsidP="007C160B">
            <w:pPr>
              <w:rPr>
                <w:lang w:val="en-US"/>
              </w:rPr>
            </w:pPr>
            <w:r w:rsidRPr="007C160B">
              <w:rPr>
                <w:lang w:val="en-US"/>
              </w:rPr>
              <w:t>7</w:t>
            </w:r>
          </w:p>
        </w:tc>
        <w:tc>
          <w:tcPr>
            <w:tcW w:w="2070" w:type="dxa"/>
            <w:shd w:val="clear" w:color="auto" w:fill="auto"/>
            <w:hideMark/>
          </w:tcPr>
          <w:p w14:paraId="09CCB6F2" w14:textId="77777777" w:rsidR="007C160B" w:rsidRPr="007C160B" w:rsidRDefault="007C160B" w:rsidP="007C160B">
            <w:pPr>
              <w:rPr>
                <w:lang w:val="en-US"/>
              </w:rPr>
            </w:pPr>
            <w:r w:rsidRPr="42831E93">
              <w:rPr>
                <w:lang w:val="en-US"/>
              </w:rPr>
              <w:t>Treatment of missing values</w:t>
            </w:r>
          </w:p>
        </w:tc>
        <w:tc>
          <w:tcPr>
            <w:tcW w:w="6120" w:type="dxa"/>
            <w:shd w:val="clear" w:color="auto" w:fill="auto"/>
          </w:tcPr>
          <w:p w14:paraId="5AFA6F61" w14:textId="57C5CD90" w:rsidR="007C160B" w:rsidRDefault="35A199B8" w:rsidP="007C160B">
            <w:pPr>
              <w:rPr>
                <w:lang w:val="en-US"/>
              </w:rPr>
            </w:pPr>
            <w:r w:rsidRPr="42831E93">
              <w:rPr>
                <w:lang w:val="en-US"/>
              </w:rPr>
              <w:t>**</w:t>
            </w:r>
            <w:r w:rsidR="005E1907" w:rsidRPr="42831E93">
              <w:rPr>
                <w:lang w:val="en-US"/>
              </w:rPr>
              <w:t>At country level</w:t>
            </w:r>
            <w:r w:rsidR="789053E9" w:rsidRPr="42831E93">
              <w:rPr>
                <w:lang w:val="en-US"/>
              </w:rPr>
              <w:t>**</w:t>
            </w:r>
            <w:r w:rsidR="005E1907">
              <w:br/>
            </w:r>
            <w:r w:rsidR="005E1907" w:rsidRPr="42831E93">
              <w:rPr>
                <w:lang w:val="en-US"/>
              </w:rPr>
              <w:t>When data for a country are entirely missing, no country-level estimate is published.</w:t>
            </w:r>
          </w:p>
          <w:p w14:paraId="0CC5A336" w14:textId="4DD53594" w:rsidR="42831E93" w:rsidRDefault="42831E93" w:rsidP="42831E93">
            <w:pPr>
              <w:rPr>
                <w:lang w:val="en-US"/>
              </w:rPr>
            </w:pPr>
          </w:p>
          <w:p w14:paraId="43C0CD14" w14:textId="36D86E12" w:rsidR="005E1907" w:rsidRPr="007C160B" w:rsidRDefault="1720EE25" w:rsidP="42831E93">
            <w:pPr>
              <w:rPr>
                <w:lang w:val="en-US"/>
              </w:rPr>
            </w:pPr>
            <w:r w:rsidRPr="42831E93">
              <w:rPr>
                <w:lang w:val="en-US"/>
              </w:rPr>
              <w:t>**</w:t>
            </w:r>
            <w:r w:rsidR="005E1907" w:rsidRPr="42831E93">
              <w:rPr>
                <w:lang w:val="en-US"/>
              </w:rPr>
              <w:t>At regional and global levels</w:t>
            </w:r>
            <w:r w:rsidR="76198480" w:rsidRPr="42831E93">
              <w:rPr>
                <w:lang w:val="en-US"/>
              </w:rPr>
              <w:t>**</w:t>
            </w:r>
            <w:r w:rsidR="005E1907">
              <w:br/>
            </w:r>
            <w:r w:rsidR="005E1907" w:rsidRPr="42831E93">
              <w:rPr>
                <w:lang w:val="en-US"/>
              </w:rPr>
              <w:t>Imputations are made in cases where country data are not available for the purposes of regional and global figures. The number of countries included in the average and with data available is clearly indicated by SDG region.</w:t>
            </w:r>
          </w:p>
          <w:p w14:paraId="0D93195D" w14:textId="7DCAB440" w:rsidR="005E1907" w:rsidRPr="007C160B" w:rsidRDefault="005E1907" w:rsidP="42831E93">
            <w:pPr>
              <w:rPr>
                <w:lang w:val="en-US"/>
              </w:rPr>
            </w:pPr>
          </w:p>
        </w:tc>
      </w:tr>
      <w:tr w:rsidR="007C160B" w:rsidRPr="007C160B" w14:paraId="1E4BD65D" w14:textId="77777777" w:rsidTr="42831E93">
        <w:trPr>
          <w:trHeight w:val="832"/>
        </w:trPr>
        <w:tc>
          <w:tcPr>
            <w:tcW w:w="715" w:type="dxa"/>
            <w:shd w:val="clear" w:color="auto" w:fill="auto"/>
            <w:hideMark/>
          </w:tcPr>
          <w:p w14:paraId="02FB614E" w14:textId="138981FA" w:rsidR="007C160B" w:rsidRPr="007C160B" w:rsidRDefault="00B059FD" w:rsidP="007C160B">
            <w:pPr>
              <w:rPr>
                <w:lang w:val="en-US"/>
              </w:rPr>
            </w:pPr>
            <w:r>
              <w:rPr>
                <w:lang w:val="en-US"/>
              </w:rPr>
              <w:t>V.1</w:t>
            </w:r>
          </w:p>
        </w:tc>
        <w:tc>
          <w:tcPr>
            <w:tcW w:w="865" w:type="dxa"/>
            <w:shd w:val="clear" w:color="auto" w:fill="auto"/>
            <w:hideMark/>
          </w:tcPr>
          <w:p w14:paraId="00D097E6" w14:textId="77777777" w:rsidR="007C160B" w:rsidRPr="007C160B" w:rsidRDefault="007C160B" w:rsidP="007C160B">
            <w:pPr>
              <w:rPr>
                <w:lang w:val="en-US"/>
              </w:rPr>
            </w:pPr>
            <w:r w:rsidRPr="007C160B">
              <w:rPr>
                <w:lang w:val="en-US"/>
              </w:rPr>
              <w:t>8</w:t>
            </w:r>
          </w:p>
        </w:tc>
        <w:tc>
          <w:tcPr>
            <w:tcW w:w="2070" w:type="dxa"/>
            <w:shd w:val="clear" w:color="auto" w:fill="auto"/>
            <w:hideMark/>
          </w:tcPr>
          <w:p w14:paraId="5D600CA0" w14:textId="77777777" w:rsidR="007C160B" w:rsidRPr="007C160B" w:rsidRDefault="007C160B" w:rsidP="007C160B">
            <w:pPr>
              <w:rPr>
                <w:lang w:val="en-US"/>
              </w:rPr>
            </w:pPr>
            <w:r w:rsidRPr="42831E93">
              <w:rPr>
                <w:lang w:val="en-US"/>
              </w:rPr>
              <w:t>Data availability and assessment of countries’ capacity</w:t>
            </w:r>
          </w:p>
        </w:tc>
        <w:tc>
          <w:tcPr>
            <w:tcW w:w="6120" w:type="dxa"/>
            <w:shd w:val="clear" w:color="auto" w:fill="auto"/>
          </w:tcPr>
          <w:p w14:paraId="48D13E32" w14:textId="089352C1" w:rsidR="007C160B" w:rsidRPr="007C160B" w:rsidRDefault="007C160B" w:rsidP="007C160B">
            <w:pPr>
              <w:rPr>
                <w:lang w:val="en-US"/>
              </w:rPr>
            </w:pPr>
          </w:p>
        </w:tc>
      </w:tr>
      <w:tr w:rsidR="007C160B" w:rsidRPr="007C160B" w14:paraId="5DDCF696" w14:textId="77777777" w:rsidTr="42831E93">
        <w:trPr>
          <w:trHeight w:val="769"/>
        </w:trPr>
        <w:tc>
          <w:tcPr>
            <w:tcW w:w="715" w:type="dxa"/>
            <w:shd w:val="clear" w:color="auto" w:fill="auto"/>
            <w:hideMark/>
          </w:tcPr>
          <w:p w14:paraId="59FD67CF" w14:textId="00D96DFB" w:rsidR="007C160B" w:rsidRPr="007C160B" w:rsidRDefault="00B059FD" w:rsidP="007C160B">
            <w:pPr>
              <w:rPr>
                <w:lang w:val="en-US"/>
              </w:rPr>
            </w:pPr>
            <w:r>
              <w:rPr>
                <w:lang w:val="en-US"/>
              </w:rPr>
              <w:t>V.1</w:t>
            </w:r>
          </w:p>
        </w:tc>
        <w:tc>
          <w:tcPr>
            <w:tcW w:w="865" w:type="dxa"/>
            <w:shd w:val="clear" w:color="auto" w:fill="auto"/>
            <w:hideMark/>
          </w:tcPr>
          <w:p w14:paraId="698464EF" w14:textId="77777777" w:rsidR="007C160B" w:rsidRPr="007C160B" w:rsidRDefault="007C160B" w:rsidP="007C160B">
            <w:pPr>
              <w:rPr>
                <w:lang w:val="en-US"/>
              </w:rPr>
            </w:pPr>
            <w:r w:rsidRPr="007C160B">
              <w:rPr>
                <w:lang w:val="en-US"/>
              </w:rPr>
              <w:t>9</w:t>
            </w:r>
          </w:p>
        </w:tc>
        <w:tc>
          <w:tcPr>
            <w:tcW w:w="2070" w:type="dxa"/>
            <w:shd w:val="clear" w:color="auto" w:fill="auto"/>
            <w:hideMark/>
          </w:tcPr>
          <w:p w14:paraId="172124E1" w14:textId="77777777" w:rsidR="007C160B" w:rsidRPr="007C160B" w:rsidRDefault="007C160B" w:rsidP="007C160B">
            <w:pPr>
              <w:rPr>
                <w:lang w:val="en-US"/>
              </w:rPr>
            </w:pPr>
            <w:r w:rsidRPr="42831E93">
              <w:rPr>
                <w:lang w:val="en-US"/>
              </w:rPr>
              <w:t>Expected time of release</w:t>
            </w:r>
          </w:p>
        </w:tc>
        <w:tc>
          <w:tcPr>
            <w:tcW w:w="6120" w:type="dxa"/>
            <w:shd w:val="clear" w:color="auto" w:fill="auto"/>
          </w:tcPr>
          <w:p w14:paraId="6900344E" w14:textId="77777777" w:rsidR="007C160B" w:rsidRDefault="007C160B" w:rsidP="007C160B">
            <w:pPr>
              <w:rPr>
                <w:lang w:val="en-US"/>
              </w:rPr>
            </w:pPr>
            <w:r w:rsidRPr="42831E93">
              <w:rPr>
                <w:lang w:val="en-US"/>
              </w:rPr>
              <w:t>Countries are encouraged to conduct surveys in regular intervals. The recommended interval is 3 to 5 years which will allow countries to effectively measure progress. The prevalence database will be updated on an annual basis.</w:t>
            </w:r>
          </w:p>
          <w:p w14:paraId="72258807" w14:textId="69AF18FB" w:rsidR="42831E93" w:rsidRDefault="42831E93" w:rsidP="42831E93">
            <w:pPr>
              <w:rPr>
                <w:lang w:val="en-US"/>
              </w:rPr>
            </w:pPr>
          </w:p>
          <w:p w14:paraId="26FB459B" w14:textId="0879ED3F" w:rsidR="007C160B" w:rsidRPr="007C160B" w:rsidRDefault="007C160B" w:rsidP="42831E93">
            <w:pPr>
              <w:rPr>
                <w:lang w:val="en-US"/>
              </w:rPr>
            </w:pPr>
            <w:r w:rsidRPr="42831E93">
              <w:rPr>
                <w:lang w:val="en-US"/>
              </w:rPr>
              <w:t>Data were collected, compiled and sent back to countries alongside the country estimates for their review. It is expected that the modelled estimates will be updated every 2 years.</w:t>
            </w:r>
          </w:p>
          <w:p w14:paraId="6D908F79" w14:textId="31B226BB" w:rsidR="007C160B" w:rsidRPr="007C160B" w:rsidRDefault="007C160B" w:rsidP="42831E93">
            <w:pPr>
              <w:rPr>
                <w:lang w:val="en-US"/>
              </w:rPr>
            </w:pPr>
          </w:p>
        </w:tc>
      </w:tr>
      <w:tr w:rsidR="005E1907" w:rsidRPr="007C160B" w14:paraId="518B27F0" w14:textId="77777777" w:rsidTr="42831E93">
        <w:trPr>
          <w:trHeight w:val="769"/>
        </w:trPr>
        <w:tc>
          <w:tcPr>
            <w:tcW w:w="715" w:type="dxa"/>
            <w:shd w:val="clear" w:color="auto" w:fill="auto"/>
          </w:tcPr>
          <w:p w14:paraId="4C8AA1F8" w14:textId="305CD462" w:rsidR="005E1907" w:rsidRPr="007C160B" w:rsidRDefault="00B059FD" w:rsidP="007C160B">
            <w:pPr>
              <w:rPr>
                <w:lang w:val="en-US"/>
              </w:rPr>
            </w:pPr>
            <w:r>
              <w:rPr>
                <w:lang w:val="en-US"/>
              </w:rPr>
              <w:lastRenderedPageBreak/>
              <w:t>V.1</w:t>
            </w:r>
          </w:p>
        </w:tc>
        <w:tc>
          <w:tcPr>
            <w:tcW w:w="865" w:type="dxa"/>
            <w:shd w:val="clear" w:color="auto" w:fill="auto"/>
          </w:tcPr>
          <w:p w14:paraId="7D74929D" w14:textId="157D8E7C" w:rsidR="005E1907" w:rsidRPr="007C160B" w:rsidRDefault="005E1907" w:rsidP="007C160B">
            <w:pPr>
              <w:rPr>
                <w:lang w:val="en-US"/>
              </w:rPr>
            </w:pPr>
            <w:r>
              <w:rPr>
                <w:lang w:val="en-US"/>
              </w:rPr>
              <w:t>10</w:t>
            </w:r>
          </w:p>
        </w:tc>
        <w:tc>
          <w:tcPr>
            <w:tcW w:w="2070" w:type="dxa"/>
            <w:shd w:val="clear" w:color="auto" w:fill="auto"/>
          </w:tcPr>
          <w:p w14:paraId="7C2983F9" w14:textId="5F72ECFD" w:rsidR="005E1907" w:rsidRPr="007C160B" w:rsidRDefault="005E1907" w:rsidP="007C160B">
            <w:pPr>
              <w:rPr>
                <w:lang w:val="en-US"/>
              </w:rPr>
            </w:pPr>
            <w:r w:rsidRPr="42831E93">
              <w:rPr>
                <w:lang w:val="en-US"/>
              </w:rPr>
              <w:t>Data source</w:t>
            </w:r>
          </w:p>
        </w:tc>
        <w:tc>
          <w:tcPr>
            <w:tcW w:w="6120" w:type="dxa"/>
            <w:shd w:val="clear" w:color="auto" w:fill="auto"/>
          </w:tcPr>
          <w:p w14:paraId="742274EE" w14:textId="068D55AF" w:rsidR="005E1907" w:rsidRPr="005E1907" w:rsidRDefault="005E1907" w:rsidP="005E1907">
            <w:pPr>
              <w:rPr>
                <w:lang w:val="en-US"/>
              </w:rPr>
            </w:pPr>
            <w:r w:rsidRPr="0DB9AA07">
              <w:rPr>
                <w:lang w:val="en-US"/>
              </w:rPr>
              <w:t xml:space="preserve">Data and metadata were extracted from Global SDG Indicators Database on 10 August 2021. </w:t>
            </w:r>
          </w:p>
          <w:p w14:paraId="3E910E15" w14:textId="726B8402" w:rsidR="0DB9AA07" w:rsidRDefault="0DB9AA07" w:rsidP="0DB9AA07">
            <w:pPr>
              <w:rPr>
                <w:lang w:val="en-US"/>
              </w:rPr>
            </w:pPr>
          </w:p>
          <w:p w14:paraId="608A5873" w14:textId="771CDFA8" w:rsidR="005E1907" w:rsidRPr="005E1907" w:rsidRDefault="005E1907" w:rsidP="005E1907">
            <w:pPr>
              <w:rPr>
                <w:lang w:val="en-US"/>
              </w:rPr>
            </w:pPr>
            <w:r w:rsidRPr="005E1907">
              <w:rPr>
                <w:lang w:val="en-US"/>
              </w:rPr>
              <w:t xml:space="preserve">For more information, please go to the following:  </w:t>
            </w:r>
          </w:p>
          <w:p w14:paraId="07846D02" w14:textId="563B202F" w:rsidR="005E1907" w:rsidRDefault="24715E0E" w:rsidP="005E1907">
            <w:pPr>
              <w:pStyle w:val="ListParagraph"/>
              <w:numPr>
                <w:ilvl w:val="0"/>
                <w:numId w:val="2"/>
              </w:numPr>
              <w:rPr>
                <w:lang w:val="en-US"/>
              </w:rPr>
            </w:pPr>
            <w:r w:rsidRPr="42831E93">
              <w:rPr>
                <w:lang w:val="en-US"/>
              </w:rPr>
              <w:t>[</w:t>
            </w:r>
            <w:r w:rsidR="00B059FD" w:rsidRPr="003F69DF">
              <w:rPr>
                <w:lang w:val="en-US"/>
              </w:rPr>
              <w:t>https://unstats.un.org/sdgs/indicators/database/</w:t>
            </w:r>
            <w:r w:rsidR="54155CFF" w:rsidRPr="003F69DF">
              <w:rPr>
                <w:lang w:val="en-US"/>
              </w:rPr>
              <w:t>](https://unstats.un.org/sdgs/indicators/database/</w:t>
            </w:r>
          </w:p>
          <w:p w14:paraId="5FB8D9DF" w14:textId="7CA040E3" w:rsidR="005E1907" w:rsidRPr="00B059FD" w:rsidRDefault="54155CFF" w:rsidP="005E1907">
            <w:pPr>
              <w:pStyle w:val="ListParagraph"/>
              <w:numPr>
                <w:ilvl w:val="0"/>
                <w:numId w:val="2"/>
              </w:numPr>
              <w:rPr>
                <w:lang w:val="en-US"/>
              </w:rPr>
            </w:pPr>
            <w:r w:rsidRPr="42831E93">
              <w:rPr>
                <w:lang w:val="en-US"/>
              </w:rPr>
              <w:t>[</w:t>
            </w:r>
            <w:r w:rsidR="00B059FD" w:rsidRPr="003F69DF">
              <w:rPr>
                <w:lang w:val="en-US"/>
              </w:rPr>
              <w:t>https://unstats.un.org/sdgs/metadata/files/Metadata-05-02-01.pdf</w:t>
            </w:r>
            <w:r w:rsidR="0C61053F" w:rsidRPr="003F69DF">
              <w:rPr>
                <w:lang w:val="en-US"/>
              </w:rPr>
              <w:t>](https://unstats.un.org/sdgs/metadata/files/Metadata-05-02-01.pdf)</w:t>
            </w:r>
          </w:p>
        </w:tc>
      </w:tr>
    </w:tbl>
    <w:p w14:paraId="6C5A5F82" w14:textId="77777777" w:rsidR="004E3C3F" w:rsidRPr="007C160B" w:rsidRDefault="004E3C3F">
      <w:pPr>
        <w:rPr>
          <w:lang w:val="en-US"/>
        </w:rPr>
      </w:pPr>
    </w:p>
    <w:sectPr w:rsidR="004E3C3F" w:rsidRPr="007C160B"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A3741"/>
    <w:multiLevelType w:val="hybridMultilevel"/>
    <w:tmpl w:val="CC36B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B4E32"/>
    <w:multiLevelType w:val="hybridMultilevel"/>
    <w:tmpl w:val="B9962F2E"/>
    <w:lvl w:ilvl="0" w:tplc="A704E848">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0B"/>
    <w:rsid w:val="0036680E"/>
    <w:rsid w:val="003F69DF"/>
    <w:rsid w:val="004E3C3F"/>
    <w:rsid w:val="005E1907"/>
    <w:rsid w:val="007C160B"/>
    <w:rsid w:val="008F84FE"/>
    <w:rsid w:val="00B059FD"/>
    <w:rsid w:val="00D8C055"/>
    <w:rsid w:val="00EC56CA"/>
    <w:rsid w:val="00EF09E8"/>
    <w:rsid w:val="00FA283B"/>
    <w:rsid w:val="00FCB03D"/>
    <w:rsid w:val="00FD0BD4"/>
    <w:rsid w:val="0209A776"/>
    <w:rsid w:val="032BAFA1"/>
    <w:rsid w:val="037A9709"/>
    <w:rsid w:val="03FF813D"/>
    <w:rsid w:val="047CCEDA"/>
    <w:rsid w:val="04B4C5EE"/>
    <w:rsid w:val="05CA0021"/>
    <w:rsid w:val="066C73EE"/>
    <w:rsid w:val="0765D082"/>
    <w:rsid w:val="076E5485"/>
    <w:rsid w:val="082D8E3D"/>
    <w:rsid w:val="09E3E234"/>
    <w:rsid w:val="0A820945"/>
    <w:rsid w:val="0AB10000"/>
    <w:rsid w:val="0C46932D"/>
    <w:rsid w:val="0C61053F"/>
    <w:rsid w:val="0CAF4CC7"/>
    <w:rsid w:val="0D4D9A32"/>
    <w:rsid w:val="0DA8E2D9"/>
    <w:rsid w:val="0DB9AA07"/>
    <w:rsid w:val="0F4605F9"/>
    <w:rsid w:val="106D295D"/>
    <w:rsid w:val="10798E72"/>
    <w:rsid w:val="129B9AF0"/>
    <w:rsid w:val="13B3F631"/>
    <w:rsid w:val="146EF32C"/>
    <w:rsid w:val="15B37275"/>
    <w:rsid w:val="16BD11A2"/>
    <w:rsid w:val="1720EE25"/>
    <w:rsid w:val="17D0AF50"/>
    <w:rsid w:val="1AD53D67"/>
    <w:rsid w:val="1AFF4E47"/>
    <w:rsid w:val="1B750747"/>
    <w:rsid w:val="1F2E89C1"/>
    <w:rsid w:val="203AF2CB"/>
    <w:rsid w:val="20A568C6"/>
    <w:rsid w:val="2142C597"/>
    <w:rsid w:val="21B469B2"/>
    <w:rsid w:val="2280B1B3"/>
    <w:rsid w:val="22B411BC"/>
    <w:rsid w:val="2306FFC6"/>
    <w:rsid w:val="2380192C"/>
    <w:rsid w:val="24715E0E"/>
    <w:rsid w:val="24E35287"/>
    <w:rsid w:val="250AC63B"/>
    <w:rsid w:val="2720AB3F"/>
    <w:rsid w:val="2785293B"/>
    <w:rsid w:val="27AC9CEF"/>
    <w:rsid w:val="288E81FA"/>
    <w:rsid w:val="2934D526"/>
    <w:rsid w:val="2A42C69F"/>
    <w:rsid w:val="2A6F2461"/>
    <w:rsid w:val="2A97CB05"/>
    <w:rsid w:val="2B5E8D5F"/>
    <w:rsid w:val="2C3EE2C1"/>
    <w:rsid w:val="2CBB6D84"/>
    <w:rsid w:val="2D2EE8F8"/>
    <w:rsid w:val="2D509558"/>
    <w:rsid w:val="2D5E2D26"/>
    <w:rsid w:val="2D7BE101"/>
    <w:rsid w:val="2DA1FD32"/>
    <w:rsid w:val="2DE4F2DB"/>
    <w:rsid w:val="2E65A811"/>
    <w:rsid w:val="2EED3DA0"/>
    <w:rsid w:val="2EF5185E"/>
    <w:rsid w:val="2FE8132A"/>
    <w:rsid w:val="30722AF0"/>
    <w:rsid w:val="3194AA68"/>
    <w:rsid w:val="32025A1B"/>
    <w:rsid w:val="335DFAC6"/>
    <w:rsid w:val="34012022"/>
    <w:rsid w:val="3549670B"/>
    <w:rsid w:val="355BAEC2"/>
    <w:rsid w:val="35A199B8"/>
    <w:rsid w:val="35D1A7CA"/>
    <w:rsid w:val="369AB771"/>
    <w:rsid w:val="381228CC"/>
    <w:rsid w:val="38756D5E"/>
    <w:rsid w:val="393AFF0A"/>
    <w:rsid w:val="397896C9"/>
    <w:rsid w:val="39A910CC"/>
    <w:rsid w:val="3A2810D4"/>
    <w:rsid w:val="3A370825"/>
    <w:rsid w:val="3B7D544B"/>
    <w:rsid w:val="3C9CFF54"/>
    <w:rsid w:val="3CEB5FD1"/>
    <w:rsid w:val="3DB79F9A"/>
    <w:rsid w:val="40F384DC"/>
    <w:rsid w:val="42831E93"/>
    <w:rsid w:val="42CDC413"/>
    <w:rsid w:val="43CFA427"/>
    <w:rsid w:val="448EE8DC"/>
    <w:rsid w:val="452A319A"/>
    <w:rsid w:val="4574CB7D"/>
    <w:rsid w:val="4761013C"/>
    <w:rsid w:val="47A4C1EA"/>
    <w:rsid w:val="4879AE0B"/>
    <w:rsid w:val="493C0F61"/>
    <w:rsid w:val="4A1254F3"/>
    <w:rsid w:val="4A3AF124"/>
    <w:rsid w:val="4B1FD6C0"/>
    <w:rsid w:val="4B9DF08C"/>
    <w:rsid w:val="4CBBA721"/>
    <w:rsid w:val="4DE12339"/>
    <w:rsid w:val="4E2694A6"/>
    <w:rsid w:val="4FD19B83"/>
    <w:rsid w:val="5038E1AC"/>
    <w:rsid w:val="5130BAF1"/>
    <w:rsid w:val="51FC9F63"/>
    <w:rsid w:val="522A488F"/>
    <w:rsid w:val="530628FD"/>
    <w:rsid w:val="5306FCA3"/>
    <w:rsid w:val="5311C048"/>
    <w:rsid w:val="531BFCDF"/>
    <w:rsid w:val="54155CFF"/>
    <w:rsid w:val="54A4AB8F"/>
    <w:rsid w:val="554D12F3"/>
    <w:rsid w:val="5575C458"/>
    <w:rsid w:val="5593A801"/>
    <w:rsid w:val="559EB21F"/>
    <w:rsid w:val="56238E87"/>
    <w:rsid w:val="5640DD07"/>
    <w:rsid w:val="567F3531"/>
    <w:rsid w:val="571E42CC"/>
    <w:rsid w:val="58BF71C6"/>
    <w:rsid w:val="59BBC9ED"/>
    <w:rsid w:val="59C6ECE9"/>
    <w:rsid w:val="5A5BABF3"/>
    <w:rsid w:val="5AC4468E"/>
    <w:rsid w:val="5B0BDDDD"/>
    <w:rsid w:val="5C55CE16"/>
    <w:rsid w:val="5CCA3C1B"/>
    <w:rsid w:val="5EBD48A1"/>
    <w:rsid w:val="5F4A2779"/>
    <w:rsid w:val="5F9F2BDF"/>
    <w:rsid w:val="60A7CE3A"/>
    <w:rsid w:val="60F65F3D"/>
    <w:rsid w:val="6319D3DC"/>
    <w:rsid w:val="637B517A"/>
    <w:rsid w:val="6478B44C"/>
    <w:rsid w:val="647D318E"/>
    <w:rsid w:val="64905402"/>
    <w:rsid w:val="64CEC46A"/>
    <w:rsid w:val="6515CB53"/>
    <w:rsid w:val="65627B5C"/>
    <w:rsid w:val="66164601"/>
    <w:rsid w:val="66B5B939"/>
    <w:rsid w:val="66BD6E23"/>
    <w:rsid w:val="6814EA0D"/>
    <w:rsid w:val="68F9087B"/>
    <w:rsid w:val="695DB5BC"/>
    <w:rsid w:val="6AED4089"/>
    <w:rsid w:val="6B1D4600"/>
    <w:rsid w:val="6B6B82E6"/>
    <w:rsid w:val="6B884E35"/>
    <w:rsid w:val="6E30106A"/>
    <w:rsid w:val="707BDBBF"/>
    <w:rsid w:val="70ECCA77"/>
    <w:rsid w:val="71FABBF6"/>
    <w:rsid w:val="74101E6F"/>
    <w:rsid w:val="74355648"/>
    <w:rsid w:val="7453724A"/>
    <w:rsid w:val="74900EBA"/>
    <w:rsid w:val="75ABEED0"/>
    <w:rsid w:val="76198480"/>
    <w:rsid w:val="789053E9"/>
    <w:rsid w:val="78FE2529"/>
    <w:rsid w:val="79180942"/>
    <w:rsid w:val="7A0A6B56"/>
    <w:rsid w:val="7A6F8E80"/>
    <w:rsid w:val="7A874D79"/>
    <w:rsid w:val="7BF053E6"/>
    <w:rsid w:val="7C231DDA"/>
    <w:rsid w:val="7C2BF1C9"/>
    <w:rsid w:val="7CBD6676"/>
    <w:rsid w:val="7CDD61C2"/>
    <w:rsid w:val="7D1CF003"/>
    <w:rsid w:val="7D5FFD51"/>
    <w:rsid w:val="7DC7723E"/>
    <w:rsid w:val="7DE73250"/>
    <w:rsid w:val="7ED0F960"/>
    <w:rsid w:val="7F3993FB"/>
    <w:rsid w:val="7FD7EF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C455"/>
  <w15:chartTrackingRefBased/>
  <w15:docId w15:val="{C84D8655-8674-4C9C-B9E9-EE2CA6C9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C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C160B"/>
  </w:style>
  <w:style w:type="character" w:customStyle="1" w:styleId="eop">
    <w:name w:val="eop"/>
    <w:basedOn w:val="DefaultParagraphFont"/>
    <w:rsid w:val="007C160B"/>
  </w:style>
  <w:style w:type="character" w:styleId="Hyperlink">
    <w:name w:val="Hyperlink"/>
    <w:basedOn w:val="DefaultParagraphFont"/>
    <w:uiPriority w:val="99"/>
    <w:unhideWhenUsed/>
    <w:rsid w:val="007C160B"/>
    <w:rPr>
      <w:color w:val="0563C1" w:themeColor="hyperlink"/>
      <w:u w:val="single"/>
    </w:rPr>
  </w:style>
  <w:style w:type="character" w:styleId="UnresolvedMention">
    <w:name w:val="Unresolved Mention"/>
    <w:basedOn w:val="DefaultParagraphFont"/>
    <w:uiPriority w:val="99"/>
    <w:semiHidden/>
    <w:unhideWhenUsed/>
    <w:rsid w:val="007C160B"/>
    <w:rPr>
      <w:color w:val="605E5C"/>
      <w:shd w:val="clear" w:color="auto" w:fill="E1DFDD"/>
    </w:rPr>
  </w:style>
  <w:style w:type="paragraph" w:styleId="ListParagraph">
    <w:name w:val="List Paragraph"/>
    <w:basedOn w:val="Normal"/>
    <w:uiPriority w:val="34"/>
    <w:qFormat/>
    <w:rsid w:val="007C1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558981">
      <w:bodyDiv w:val="1"/>
      <w:marLeft w:val="0"/>
      <w:marRight w:val="0"/>
      <w:marTop w:val="0"/>
      <w:marBottom w:val="0"/>
      <w:divBdr>
        <w:top w:val="none" w:sz="0" w:space="0" w:color="auto"/>
        <w:left w:val="none" w:sz="0" w:space="0" w:color="auto"/>
        <w:bottom w:val="none" w:sz="0" w:space="0" w:color="auto"/>
        <w:right w:val="none" w:sz="0" w:space="0" w:color="auto"/>
      </w:divBdr>
      <w:divsChild>
        <w:div w:id="1379359059">
          <w:marLeft w:val="0"/>
          <w:marRight w:val="0"/>
          <w:marTop w:val="0"/>
          <w:marBottom w:val="0"/>
          <w:divBdr>
            <w:top w:val="none" w:sz="0" w:space="0" w:color="auto"/>
            <w:left w:val="none" w:sz="0" w:space="0" w:color="auto"/>
            <w:bottom w:val="none" w:sz="0" w:space="0" w:color="auto"/>
            <w:right w:val="none" w:sz="0" w:space="0" w:color="auto"/>
          </w:divBdr>
          <w:divsChild>
            <w:div w:id="174880782">
              <w:marLeft w:val="0"/>
              <w:marRight w:val="0"/>
              <w:marTop w:val="0"/>
              <w:marBottom w:val="0"/>
              <w:divBdr>
                <w:top w:val="none" w:sz="0" w:space="0" w:color="auto"/>
                <w:left w:val="none" w:sz="0" w:space="0" w:color="auto"/>
                <w:bottom w:val="none" w:sz="0" w:space="0" w:color="auto"/>
                <w:right w:val="none" w:sz="0" w:space="0" w:color="auto"/>
              </w:divBdr>
            </w:div>
          </w:divsChild>
        </w:div>
        <w:div w:id="2112311781">
          <w:marLeft w:val="0"/>
          <w:marRight w:val="0"/>
          <w:marTop w:val="0"/>
          <w:marBottom w:val="0"/>
          <w:divBdr>
            <w:top w:val="none" w:sz="0" w:space="0" w:color="auto"/>
            <w:left w:val="none" w:sz="0" w:space="0" w:color="auto"/>
            <w:bottom w:val="none" w:sz="0" w:space="0" w:color="auto"/>
            <w:right w:val="none" w:sz="0" w:space="0" w:color="auto"/>
          </w:divBdr>
          <w:divsChild>
            <w:div w:id="2030334440">
              <w:marLeft w:val="0"/>
              <w:marRight w:val="0"/>
              <w:marTop w:val="0"/>
              <w:marBottom w:val="0"/>
              <w:divBdr>
                <w:top w:val="none" w:sz="0" w:space="0" w:color="auto"/>
                <w:left w:val="none" w:sz="0" w:space="0" w:color="auto"/>
                <w:bottom w:val="none" w:sz="0" w:space="0" w:color="auto"/>
                <w:right w:val="none" w:sz="0" w:space="0" w:color="auto"/>
              </w:divBdr>
            </w:div>
          </w:divsChild>
        </w:div>
        <w:div w:id="261887411">
          <w:marLeft w:val="0"/>
          <w:marRight w:val="0"/>
          <w:marTop w:val="0"/>
          <w:marBottom w:val="0"/>
          <w:divBdr>
            <w:top w:val="none" w:sz="0" w:space="0" w:color="auto"/>
            <w:left w:val="none" w:sz="0" w:space="0" w:color="auto"/>
            <w:bottom w:val="none" w:sz="0" w:space="0" w:color="auto"/>
            <w:right w:val="none" w:sz="0" w:space="0" w:color="auto"/>
          </w:divBdr>
          <w:divsChild>
            <w:div w:id="1613047244">
              <w:marLeft w:val="0"/>
              <w:marRight w:val="0"/>
              <w:marTop w:val="0"/>
              <w:marBottom w:val="0"/>
              <w:divBdr>
                <w:top w:val="none" w:sz="0" w:space="0" w:color="auto"/>
                <w:left w:val="none" w:sz="0" w:space="0" w:color="auto"/>
                <w:bottom w:val="none" w:sz="0" w:space="0" w:color="auto"/>
                <w:right w:val="none" w:sz="0" w:space="0" w:color="auto"/>
              </w:divBdr>
            </w:div>
          </w:divsChild>
        </w:div>
        <w:div w:id="301278322">
          <w:marLeft w:val="0"/>
          <w:marRight w:val="0"/>
          <w:marTop w:val="0"/>
          <w:marBottom w:val="0"/>
          <w:divBdr>
            <w:top w:val="none" w:sz="0" w:space="0" w:color="auto"/>
            <w:left w:val="none" w:sz="0" w:space="0" w:color="auto"/>
            <w:bottom w:val="none" w:sz="0" w:space="0" w:color="auto"/>
            <w:right w:val="none" w:sz="0" w:space="0" w:color="auto"/>
          </w:divBdr>
          <w:divsChild>
            <w:div w:id="18803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02C32054-878F-4813-9DD9-4ABFAB7DDA22}">
  <ds:schemaRefs>
    <ds:schemaRef ds:uri="http://schemas.microsoft.com/sharepoint/v3/contenttype/forms"/>
  </ds:schemaRefs>
</ds:datastoreItem>
</file>

<file path=customXml/itemProps2.xml><?xml version="1.0" encoding="utf-8"?>
<ds:datastoreItem xmlns:ds="http://schemas.openxmlformats.org/officeDocument/2006/customXml" ds:itemID="{3FAC40A3-1EEE-4966-BCC4-2F53EDF10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CFC490-4772-4C06-9239-01EDF0DE3371}">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7</cp:revision>
  <dcterms:created xsi:type="dcterms:W3CDTF">2021-08-25T08:53:00Z</dcterms:created>
  <dcterms:modified xsi:type="dcterms:W3CDTF">2021-09-12T08:01:00Z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