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2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325"/>
        <w:gridCol w:w="884"/>
        <w:gridCol w:w="589"/>
        <w:gridCol w:w="2798"/>
        <w:gridCol w:w="7629"/>
      </w:tblGrid>
      <w:tr w:rsidRPr="00D02A76" w:rsidR="00CA3717" w:rsidTr="797D1E7E" w14:paraId="6BFA5D71" w14:textId="77777777">
        <w:trPr>
          <w:trHeight w:val="600"/>
        </w:trPr>
        <w:tc>
          <w:tcPr>
            <w:tcW w:w="1325" w:type="dxa"/>
            <w:shd w:val="clear" w:color="auto" w:fill="auto"/>
            <w:tcMar/>
          </w:tcPr>
          <w:p w:rsidRPr="00D02A76" w:rsidR="00CA3717" w:rsidP="00236349" w:rsidRDefault="00CA3717" w14:paraId="1F9C795E" w14:textId="26E2C784">
            <w:pPr>
              <w:spacing w:after="0" w:line="240" w:lineRule="auto"/>
              <w:jc w:val="right"/>
              <w:rPr>
                <w:rFonts w:ascii="Calibri" w:hAnsi="Calibri" w:eastAsia="Times New Roman" w:cs="Calibri"/>
                <w:color w:val="000000"/>
              </w:rPr>
            </w:pPr>
          </w:p>
        </w:tc>
        <w:tc>
          <w:tcPr>
            <w:tcW w:w="884" w:type="dxa"/>
            <w:shd w:val="clear" w:color="auto" w:fill="auto"/>
            <w:tcMar/>
          </w:tcPr>
          <w:p w:rsidRPr="00D02A76" w:rsidR="00CA3717" w:rsidP="00236349" w:rsidRDefault="00CA3717" w14:paraId="50E8BD93" w14:textId="5561E032">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CA3717" w:rsidP="00236349" w:rsidRDefault="00CA3717" w14:paraId="0BBD939C"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w:t>
            </w:r>
          </w:p>
        </w:tc>
        <w:tc>
          <w:tcPr>
            <w:tcW w:w="2798" w:type="dxa"/>
            <w:shd w:val="clear" w:color="auto" w:fill="auto"/>
            <w:tcMar/>
            <w:hideMark/>
          </w:tcPr>
          <w:p w:rsidRPr="00D02A76" w:rsidR="00CA3717" w:rsidP="00236349" w:rsidRDefault="00CA3717" w14:paraId="02D48E09"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Contact point in international agency</w:t>
            </w:r>
          </w:p>
        </w:tc>
        <w:tc>
          <w:tcPr>
            <w:tcW w:w="7629" w:type="dxa"/>
            <w:shd w:val="clear" w:color="auto" w:fill="auto"/>
            <w:tcMar/>
          </w:tcPr>
          <w:p w:rsidRPr="00D02A76" w:rsidR="00CA3717" w:rsidP="00236349" w:rsidRDefault="00CA3717" w14:paraId="2F5991E3" w14:textId="492DA091">
            <w:pPr>
              <w:spacing w:after="0" w:line="240" w:lineRule="auto"/>
              <w:rPr>
                <w:rFonts w:ascii="Calibri" w:hAnsi="Calibri" w:eastAsia="Times New Roman" w:cs="Calibri"/>
                <w:color w:val="000000"/>
              </w:rPr>
            </w:pPr>
          </w:p>
        </w:tc>
      </w:tr>
      <w:tr w:rsidRPr="00D02A76" w:rsidR="00CA3717" w:rsidTr="797D1E7E" w14:paraId="0D912455" w14:textId="77777777">
        <w:trPr>
          <w:trHeight w:val="1200"/>
        </w:trPr>
        <w:tc>
          <w:tcPr>
            <w:tcW w:w="1325" w:type="dxa"/>
            <w:shd w:val="clear" w:color="auto" w:fill="auto"/>
            <w:tcMar/>
          </w:tcPr>
          <w:p w:rsidRPr="00D02A76" w:rsidR="00CA3717" w:rsidP="00236349" w:rsidRDefault="00CA3717" w14:paraId="7EDF9C00" w14:textId="385E6207">
            <w:pPr>
              <w:spacing w:after="0" w:line="240" w:lineRule="auto"/>
              <w:jc w:val="right"/>
              <w:rPr>
                <w:rFonts w:ascii="Calibri" w:hAnsi="Calibri" w:eastAsia="Times New Roman" w:cs="Calibri"/>
                <w:color w:val="000000"/>
              </w:rPr>
            </w:pPr>
          </w:p>
        </w:tc>
        <w:tc>
          <w:tcPr>
            <w:tcW w:w="884" w:type="dxa"/>
            <w:shd w:val="clear" w:color="auto" w:fill="auto"/>
            <w:tcMar/>
          </w:tcPr>
          <w:p w:rsidRPr="00D02A76" w:rsidR="00CA3717" w:rsidP="00236349" w:rsidRDefault="00CA3717" w14:paraId="6370B830" w14:textId="650CD543">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CA3717" w:rsidP="00236349" w:rsidRDefault="00CA3717" w14:paraId="765703F1"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2798" w:type="dxa"/>
            <w:shd w:val="clear" w:color="auto" w:fill="auto"/>
            <w:tcMar/>
            <w:hideMark/>
          </w:tcPr>
          <w:p w:rsidRPr="00D02A76" w:rsidR="00CA3717" w:rsidP="00236349" w:rsidRDefault="00CA3717" w14:paraId="033F3415"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International agreed definition</w:t>
            </w:r>
          </w:p>
        </w:tc>
        <w:tc>
          <w:tcPr>
            <w:tcW w:w="7629" w:type="dxa"/>
            <w:shd w:val="clear" w:color="auto" w:fill="auto"/>
            <w:tcMar/>
          </w:tcPr>
          <w:p w:rsidRPr="002D07A2" w:rsidR="002D07A2" w:rsidP="00A6233D" w:rsidRDefault="00A6233D" w14:paraId="50222D76" w14:textId="77777777">
            <w:pPr>
              <w:spacing w:after="0" w:line="240" w:lineRule="auto"/>
              <w:rPr>
                <w:rFonts w:ascii="Calibri" w:hAnsi="Calibri" w:eastAsia="Times New Roman" w:cs="Calibri"/>
                <w:b/>
                <w:bCs/>
                <w:color w:val="000000"/>
              </w:rPr>
            </w:pPr>
            <w:r w:rsidRPr="002D07A2">
              <w:rPr>
                <w:rFonts w:ascii="Calibri" w:hAnsi="Calibri" w:eastAsia="Times New Roman" w:cs="Calibri"/>
                <w:b/>
                <w:bCs/>
                <w:color w:val="000000"/>
              </w:rPr>
              <w:t>Definition</w:t>
            </w:r>
          </w:p>
          <w:p w:rsidR="002D07A2" w:rsidP="00A6233D" w:rsidRDefault="00A6233D" w14:paraId="04FD7B3F" w14:textId="1E11801B">
            <w:pPr>
              <w:spacing w:after="0" w:line="240" w:lineRule="auto"/>
              <w:rPr>
                <w:rFonts w:ascii="Calibri" w:hAnsi="Calibri" w:eastAsia="Times New Roman" w:cs="Calibri"/>
                <w:color w:val="000000"/>
              </w:rPr>
            </w:pPr>
            <w:r w:rsidRPr="00A6233D">
              <w:rPr>
                <w:rFonts w:ascii="Calibri" w:hAnsi="Calibri" w:eastAsia="Times New Roman" w:cs="Calibri"/>
                <w:color w:val="000000"/>
              </w:rPr>
              <w:t xml:space="preserve">The participation rate in organized learning (one year before the official primary entry age), by sex </w:t>
            </w:r>
            <w:r w:rsidR="00A608C6">
              <w:rPr>
                <w:rFonts w:ascii="Calibri" w:hAnsi="Calibri" w:eastAsia="Times New Roman" w:cs="Calibri"/>
                <w:color w:val="000000"/>
              </w:rPr>
              <w:t>is</w:t>
            </w:r>
            <w:r w:rsidRPr="00A6233D">
              <w:rPr>
                <w:rFonts w:ascii="Calibri" w:hAnsi="Calibri" w:eastAsia="Times New Roman" w:cs="Calibri"/>
                <w:color w:val="000000"/>
              </w:rPr>
              <w:t xml:space="preserve"> defined as the percentage of children in the given age range who participate in one or more organized learning </w:t>
            </w:r>
            <w:proofErr w:type="spellStart"/>
            <w:r w:rsidRPr="00A6233D">
              <w:rPr>
                <w:rFonts w:ascii="Calibri" w:hAnsi="Calibri" w:eastAsia="Times New Roman" w:cs="Calibri"/>
                <w:color w:val="000000"/>
              </w:rPr>
              <w:t>programme</w:t>
            </w:r>
            <w:proofErr w:type="spellEnd"/>
            <w:r w:rsidRPr="00A6233D">
              <w:rPr>
                <w:rFonts w:ascii="Calibri" w:hAnsi="Calibri" w:eastAsia="Times New Roman" w:cs="Calibri"/>
                <w:color w:val="000000"/>
              </w:rPr>
              <w:t xml:space="preserve">, including </w:t>
            </w:r>
            <w:proofErr w:type="spellStart"/>
            <w:r w:rsidRPr="00A6233D">
              <w:rPr>
                <w:rFonts w:ascii="Calibri" w:hAnsi="Calibri" w:eastAsia="Times New Roman" w:cs="Calibri"/>
                <w:color w:val="000000"/>
              </w:rPr>
              <w:t>programmes</w:t>
            </w:r>
            <w:proofErr w:type="spellEnd"/>
            <w:r w:rsidRPr="00A6233D">
              <w:rPr>
                <w:rFonts w:ascii="Calibri" w:hAnsi="Calibri" w:eastAsia="Times New Roman" w:cs="Calibri"/>
                <w:color w:val="000000"/>
              </w:rPr>
              <w:t xml:space="preserve"> which offer a combination of education and care. Participation in early childhood and in primary education are both included. The age range will vary by country depending on the official age for entry to primary education. </w:t>
            </w:r>
          </w:p>
          <w:p w:rsidR="002D07A2" w:rsidP="00A6233D" w:rsidRDefault="002D07A2" w14:paraId="120A092A" w14:textId="77777777">
            <w:pPr>
              <w:spacing w:after="0" w:line="240" w:lineRule="auto"/>
              <w:rPr>
                <w:rFonts w:ascii="Calibri" w:hAnsi="Calibri" w:eastAsia="Times New Roman" w:cs="Calibri"/>
                <w:color w:val="000000"/>
              </w:rPr>
            </w:pPr>
          </w:p>
          <w:p w:rsidRPr="002D07A2" w:rsidR="002D07A2" w:rsidP="00A6233D" w:rsidRDefault="00A6233D" w14:paraId="367DAE6D" w14:textId="2DC40C23">
            <w:pPr>
              <w:spacing w:after="0" w:line="240" w:lineRule="auto"/>
              <w:rPr>
                <w:rFonts w:ascii="Calibri" w:hAnsi="Calibri" w:eastAsia="Times New Roman" w:cs="Calibri"/>
                <w:b/>
                <w:bCs/>
                <w:color w:val="000000"/>
              </w:rPr>
            </w:pPr>
            <w:r w:rsidRPr="002D07A2">
              <w:rPr>
                <w:rFonts w:ascii="Calibri" w:hAnsi="Calibri" w:eastAsia="Times New Roman" w:cs="Calibri"/>
                <w:b/>
                <w:bCs/>
                <w:color w:val="000000"/>
              </w:rPr>
              <w:t>Concepts</w:t>
            </w:r>
          </w:p>
          <w:p w:rsidR="00BE58A5" w:rsidP="002D07A2" w:rsidRDefault="00A6233D" w14:paraId="7DEF75DB" w14:textId="77777777">
            <w:pPr>
              <w:spacing w:after="0" w:line="240" w:lineRule="auto"/>
              <w:rPr>
                <w:rFonts w:ascii="Calibri" w:hAnsi="Calibri" w:eastAsia="Times New Roman" w:cs="Calibri"/>
                <w:color w:val="000000"/>
              </w:rPr>
            </w:pPr>
            <w:r w:rsidRPr="00A6233D">
              <w:rPr>
                <w:rFonts w:ascii="Calibri" w:hAnsi="Calibri" w:eastAsia="Times New Roman" w:cs="Calibri"/>
                <w:color w:val="000000"/>
              </w:rPr>
              <w:t xml:space="preserve">An organized learning </w:t>
            </w:r>
            <w:proofErr w:type="spellStart"/>
            <w:r w:rsidRPr="00A6233D">
              <w:rPr>
                <w:rFonts w:ascii="Calibri" w:hAnsi="Calibri" w:eastAsia="Times New Roman" w:cs="Calibri"/>
                <w:color w:val="000000"/>
              </w:rPr>
              <w:t>programme</w:t>
            </w:r>
            <w:proofErr w:type="spellEnd"/>
            <w:r w:rsidRPr="00A6233D">
              <w:rPr>
                <w:rFonts w:ascii="Calibri" w:hAnsi="Calibri" w:eastAsia="Times New Roman" w:cs="Calibri"/>
                <w:color w:val="000000"/>
              </w:rPr>
              <w:t xml:space="preserve"> is one which consists of a coherent set or sequence of educational activities designed with the intention of achieving pre-determined learning outcomes or the</w:t>
            </w:r>
            <w:r w:rsidR="002D07A2">
              <w:rPr>
                <w:rFonts w:ascii="Calibri" w:hAnsi="Calibri" w:eastAsia="Times New Roman" w:cs="Calibri"/>
                <w:color w:val="000000"/>
              </w:rPr>
              <w:t xml:space="preserve"> </w:t>
            </w:r>
            <w:r w:rsidRPr="00A6233D">
              <w:rPr>
                <w:rFonts w:ascii="Calibri" w:hAnsi="Calibri" w:eastAsia="Times New Roman" w:cs="Calibri"/>
                <w:color w:val="000000"/>
              </w:rPr>
              <w:t xml:space="preserve">accomplishment of a specific set of educational tasks. </w:t>
            </w:r>
          </w:p>
          <w:p w:rsidR="00BE58A5" w:rsidP="002D07A2" w:rsidRDefault="00BE58A5" w14:paraId="3D8F10B5" w14:textId="77777777">
            <w:pPr>
              <w:spacing w:after="0" w:line="240" w:lineRule="auto"/>
              <w:rPr>
                <w:rFonts w:ascii="Calibri" w:hAnsi="Calibri" w:eastAsia="Times New Roman" w:cs="Calibri"/>
                <w:color w:val="000000"/>
              </w:rPr>
            </w:pPr>
          </w:p>
          <w:p w:rsidR="00C2696A" w:rsidP="002D07A2" w:rsidRDefault="00A6233D" w14:paraId="07292841" w14:textId="77777777">
            <w:pPr>
              <w:spacing w:after="0" w:line="240" w:lineRule="auto"/>
              <w:rPr>
                <w:rFonts w:ascii="Calibri" w:hAnsi="Calibri" w:eastAsia="Times New Roman" w:cs="Calibri"/>
                <w:color w:val="000000"/>
              </w:rPr>
            </w:pPr>
            <w:r w:rsidRPr="00A6233D">
              <w:rPr>
                <w:rFonts w:ascii="Calibri" w:hAnsi="Calibri" w:eastAsia="Times New Roman" w:cs="Calibri"/>
                <w:color w:val="000000"/>
              </w:rPr>
              <w:t xml:space="preserve">Early childhood and primary education </w:t>
            </w:r>
            <w:proofErr w:type="spellStart"/>
            <w:r w:rsidRPr="00A6233D">
              <w:rPr>
                <w:rFonts w:ascii="Calibri" w:hAnsi="Calibri" w:eastAsia="Times New Roman" w:cs="Calibri"/>
                <w:color w:val="000000"/>
              </w:rPr>
              <w:t>programmes</w:t>
            </w:r>
            <w:proofErr w:type="spellEnd"/>
            <w:r w:rsidRPr="00A6233D">
              <w:rPr>
                <w:rFonts w:ascii="Calibri" w:hAnsi="Calibri" w:eastAsia="Times New Roman" w:cs="Calibri"/>
                <w:color w:val="000000"/>
              </w:rPr>
              <w:t xml:space="preserve"> are examples of organized learning </w:t>
            </w:r>
            <w:proofErr w:type="spellStart"/>
            <w:r w:rsidRPr="00A6233D">
              <w:rPr>
                <w:rFonts w:ascii="Calibri" w:hAnsi="Calibri" w:eastAsia="Times New Roman" w:cs="Calibri"/>
                <w:color w:val="000000"/>
              </w:rPr>
              <w:t>programmes</w:t>
            </w:r>
            <w:proofErr w:type="spellEnd"/>
            <w:r w:rsidRPr="00A6233D">
              <w:rPr>
                <w:rFonts w:ascii="Calibri" w:hAnsi="Calibri" w:eastAsia="Times New Roman" w:cs="Calibri"/>
                <w:color w:val="000000"/>
              </w:rPr>
              <w:t xml:space="preserve">. Early childhood and primary education are defined in the 2011 revision of the International Standard Classification of Education (ISCED 2011). Early childhood education is typically designed with a holistic approach to support children’s early cognitive, physical, </w:t>
            </w:r>
            <w:proofErr w:type="gramStart"/>
            <w:r w:rsidRPr="00A6233D">
              <w:rPr>
                <w:rFonts w:ascii="Calibri" w:hAnsi="Calibri" w:eastAsia="Times New Roman" w:cs="Calibri"/>
                <w:color w:val="000000"/>
              </w:rPr>
              <w:t>social</w:t>
            </w:r>
            <w:proofErr w:type="gramEnd"/>
            <w:r w:rsidRPr="00A6233D">
              <w:rPr>
                <w:rFonts w:ascii="Calibri" w:hAnsi="Calibri" w:eastAsia="Times New Roman" w:cs="Calibri"/>
                <w:color w:val="000000"/>
              </w:rPr>
              <w:t xml:space="preserve"> and emotional development and to introduce young children to organized instruction outside the family context. Primary education offers learning and educational activities designed to provide students with fundamental skills in reading, writing and mathematics and establish a solid foundation for learning and understanding core areas of knowledge and personal development. It focuses on learning at a basic level of complexity with little, if any, </w:t>
            </w:r>
            <w:proofErr w:type="spellStart"/>
            <w:r w:rsidRPr="00A6233D">
              <w:rPr>
                <w:rFonts w:ascii="Calibri" w:hAnsi="Calibri" w:eastAsia="Times New Roman" w:cs="Calibri"/>
                <w:color w:val="000000"/>
              </w:rPr>
              <w:t>specialisation</w:t>
            </w:r>
            <w:proofErr w:type="spellEnd"/>
            <w:r w:rsidRPr="00A6233D">
              <w:rPr>
                <w:rFonts w:ascii="Calibri" w:hAnsi="Calibri" w:eastAsia="Times New Roman" w:cs="Calibri"/>
                <w:color w:val="000000"/>
              </w:rPr>
              <w:t xml:space="preserve">. </w:t>
            </w:r>
          </w:p>
          <w:p w:rsidR="00C2696A" w:rsidP="002D07A2" w:rsidRDefault="00C2696A" w14:paraId="200F61F4" w14:textId="77777777">
            <w:pPr>
              <w:spacing w:after="0" w:line="240" w:lineRule="auto"/>
              <w:rPr>
                <w:rFonts w:ascii="Calibri" w:hAnsi="Calibri" w:eastAsia="Times New Roman" w:cs="Calibri"/>
                <w:color w:val="000000"/>
              </w:rPr>
            </w:pPr>
          </w:p>
          <w:p w:rsidR="00452F65" w:rsidP="002D07A2" w:rsidRDefault="00A6233D" w14:paraId="30D4614D" w14:textId="50F9F3EB">
            <w:pPr>
              <w:spacing w:after="0" w:line="240" w:lineRule="auto"/>
              <w:rPr>
                <w:rFonts w:ascii="Calibri" w:hAnsi="Calibri" w:eastAsia="Times New Roman" w:cs="Calibri"/>
                <w:color w:val="000000"/>
              </w:rPr>
            </w:pPr>
            <w:r w:rsidRPr="00A6233D">
              <w:rPr>
                <w:rFonts w:ascii="Calibri" w:hAnsi="Calibri" w:eastAsia="Times New Roman" w:cs="Calibri"/>
                <w:color w:val="000000"/>
              </w:rPr>
              <w:t>The official primary entry age is the age at which children are obliged to start primary education according to national legislation or policies. Where more than one age is specified, for example, in different parts of a country, the most common official entry age (</w:t>
            </w:r>
            <w:proofErr w:type="gramStart"/>
            <w:r w:rsidRPr="00A6233D">
              <w:rPr>
                <w:rFonts w:ascii="Calibri" w:hAnsi="Calibri" w:eastAsia="Times New Roman" w:cs="Calibri"/>
                <w:color w:val="000000"/>
              </w:rPr>
              <w:t>i.e.</w:t>
            </w:r>
            <w:proofErr w:type="gramEnd"/>
            <w:r w:rsidRPr="00A6233D">
              <w:rPr>
                <w:rFonts w:ascii="Calibri" w:hAnsi="Calibri" w:eastAsia="Times New Roman" w:cs="Calibri"/>
                <w:color w:val="000000"/>
              </w:rPr>
              <w:t xml:space="preserve"> the age at which most children in the country are expected to start primary) is used for the calculation of this indicator at the global level.</w:t>
            </w:r>
          </w:p>
          <w:p w:rsidRPr="00D02A76" w:rsidR="00452F65" w:rsidP="00236349" w:rsidRDefault="00452F65" w14:paraId="2ABDC31A" w14:textId="565909A8">
            <w:pPr>
              <w:spacing w:after="0" w:line="240" w:lineRule="auto"/>
              <w:rPr>
                <w:rFonts w:ascii="Calibri" w:hAnsi="Calibri" w:eastAsia="Times New Roman" w:cs="Calibri"/>
                <w:color w:val="000000"/>
              </w:rPr>
            </w:pPr>
          </w:p>
        </w:tc>
      </w:tr>
      <w:tr w:rsidRPr="00D02A76" w:rsidR="00CA3717" w:rsidTr="797D1E7E" w14:paraId="64F0F848" w14:textId="77777777">
        <w:trPr>
          <w:trHeight w:val="300"/>
        </w:trPr>
        <w:tc>
          <w:tcPr>
            <w:tcW w:w="1325" w:type="dxa"/>
            <w:shd w:val="clear" w:color="auto" w:fill="auto"/>
            <w:tcMar/>
          </w:tcPr>
          <w:p w:rsidRPr="00D02A76" w:rsidR="00CA3717" w:rsidP="00236349" w:rsidRDefault="00CA3717" w14:paraId="142B8DA6" w14:textId="0C2313E6">
            <w:pPr>
              <w:spacing w:after="0" w:line="240" w:lineRule="auto"/>
              <w:jc w:val="right"/>
              <w:rPr>
                <w:rFonts w:ascii="Calibri" w:hAnsi="Calibri" w:eastAsia="Times New Roman" w:cs="Calibri"/>
                <w:color w:val="000000"/>
              </w:rPr>
            </w:pPr>
          </w:p>
        </w:tc>
        <w:tc>
          <w:tcPr>
            <w:tcW w:w="884" w:type="dxa"/>
            <w:shd w:val="clear" w:color="auto" w:fill="auto"/>
            <w:tcMar/>
          </w:tcPr>
          <w:p w:rsidRPr="00D02A76" w:rsidR="00CA3717" w:rsidP="00236349" w:rsidRDefault="00CA3717" w14:paraId="65E5D8B1" w14:textId="17E37598">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CA3717" w:rsidP="00236349" w:rsidRDefault="00CA3717" w14:paraId="3DB6F1C4"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3</w:t>
            </w:r>
          </w:p>
        </w:tc>
        <w:tc>
          <w:tcPr>
            <w:tcW w:w="2798" w:type="dxa"/>
            <w:shd w:val="clear" w:color="auto" w:fill="auto"/>
            <w:tcMar/>
            <w:hideMark/>
          </w:tcPr>
          <w:p w:rsidRPr="00D02A76" w:rsidR="00CA3717" w:rsidP="00236349" w:rsidRDefault="00CA3717" w14:paraId="2E65C286"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Method of computation</w:t>
            </w:r>
          </w:p>
        </w:tc>
        <w:tc>
          <w:tcPr>
            <w:tcW w:w="7629" w:type="dxa"/>
            <w:shd w:val="clear" w:color="auto" w:fill="auto"/>
            <w:tcMar/>
          </w:tcPr>
          <w:p w:rsidR="00A7148B" w:rsidP="00236349" w:rsidRDefault="001E4053" w14:paraId="3C424D39" w14:textId="5D404726">
            <w:pPr>
              <w:spacing w:after="0" w:line="240" w:lineRule="auto"/>
              <w:rPr>
                <w:rFonts w:ascii="Calibri" w:hAnsi="Calibri" w:eastAsia="Times New Roman" w:cs="Calibri"/>
                <w:color w:val="000000"/>
              </w:rPr>
            </w:pPr>
            <w:r w:rsidRPr="001E4053">
              <w:rPr>
                <w:rFonts w:ascii="Calibri" w:hAnsi="Calibri" w:eastAsia="Times New Roman" w:cs="Calibri"/>
                <w:color w:val="000000"/>
              </w:rPr>
              <w:t xml:space="preserve">The number of children in the relevant age group who participate in an organized learning </w:t>
            </w:r>
            <w:proofErr w:type="spellStart"/>
            <w:r w:rsidRPr="001E4053">
              <w:rPr>
                <w:rFonts w:ascii="Calibri" w:hAnsi="Calibri" w:eastAsia="Times New Roman" w:cs="Calibri"/>
                <w:color w:val="000000"/>
              </w:rPr>
              <w:t>programme</w:t>
            </w:r>
            <w:proofErr w:type="spellEnd"/>
            <w:r w:rsidRPr="001E4053">
              <w:rPr>
                <w:rFonts w:ascii="Calibri" w:hAnsi="Calibri" w:eastAsia="Times New Roman" w:cs="Calibri"/>
                <w:color w:val="000000"/>
              </w:rPr>
              <w:t xml:space="preserve"> is expressed as a percentage of the total population in the same age range. The indicator can be calculated both from administrative data and from household surveys. If the former, the number of enrolments in organized learning </w:t>
            </w:r>
            <w:proofErr w:type="spellStart"/>
            <w:r w:rsidRPr="001E4053">
              <w:rPr>
                <w:rFonts w:ascii="Calibri" w:hAnsi="Calibri" w:eastAsia="Times New Roman" w:cs="Calibri"/>
                <w:color w:val="000000"/>
              </w:rPr>
              <w:t>programmes</w:t>
            </w:r>
            <w:proofErr w:type="spellEnd"/>
            <w:r w:rsidRPr="001E4053">
              <w:rPr>
                <w:rFonts w:ascii="Calibri" w:hAnsi="Calibri" w:eastAsia="Times New Roman" w:cs="Calibri"/>
                <w:color w:val="000000"/>
              </w:rPr>
              <w:t xml:space="preserve"> are reported by schools and the population in the age group one year below the official primary entry age is derived from population estimates. For the calculation of this indicator at the global level, population estimates from the UN Population Division are used. If derived from household surveys, both enrolments and population are collected at the same time. </w:t>
            </w:r>
          </w:p>
          <w:p w:rsidR="00E90200" w:rsidP="00236349" w:rsidRDefault="00E90200" w14:paraId="05F664E3" w14:textId="77777777">
            <w:pPr>
              <w:spacing w:after="0" w:line="240" w:lineRule="auto"/>
              <w:rPr>
                <w:rFonts w:ascii="Calibri" w:hAnsi="Calibri" w:eastAsia="Times New Roman" w:cs="Calibri"/>
                <w:color w:val="000000"/>
              </w:rPr>
            </w:pPr>
          </w:p>
          <w:p w:rsidR="00D62B5D" w:rsidP="00E90200" w:rsidRDefault="001E4053" w14:paraId="71D618CB" w14:textId="5889080B">
            <w:pPr>
              <w:spacing w:after="0" w:line="240" w:lineRule="auto"/>
              <w:rPr>
                <w:rFonts w:ascii="Calibri" w:hAnsi="Calibri" w:eastAsia="Times New Roman" w:cs="Calibri"/>
                <w:color w:val="000000"/>
              </w:rPr>
            </w:pPr>
            <w:r w:rsidRPr="001E4053">
              <w:rPr>
                <w:rFonts w:ascii="Calibri" w:hAnsi="Calibri" w:eastAsia="Times New Roman" w:cs="Calibri"/>
                <w:color w:val="000000"/>
              </w:rPr>
              <w:t>PROL</w:t>
            </w:r>
            <w:r w:rsidRPr="0029376A">
              <w:rPr>
                <w:rFonts w:ascii="Calibri" w:hAnsi="Calibri" w:eastAsia="Times New Roman" w:cs="Calibri"/>
                <w:color w:val="000000"/>
                <w:vertAlign w:val="subscript"/>
              </w:rPr>
              <w:t>0t</w:t>
            </w:r>
            <w:proofErr w:type="gramStart"/>
            <w:r w:rsidRPr="0029376A">
              <w:rPr>
                <w:rFonts w:ascii="Calibri" w:hAnsi="Calibri" w:eastAsia="Times New Roman" w:cs="Calibri"/>
                <w:color w:val="000000"/>
                <w:vertAlign w:val="subscript"/>
              </w:rPr>
              <w:t>1,AG</w:t>
            </w:r>
            <w:proofErr w:type="gramEnd"/>
            <w:r w:rsidRPr="0029376A">
              <w:rPr>
                <w:rFonts w:ascii="Calibri" w:hAnsi="Calibri" w:eastAsia="Times New Roman" w:cs="Calibri"/>
                <w:color w:val="000000"/>
                <w:vertAlign w:val="subscript"/>
              </w:rPr>
              <w:t>(a-1)</w:t>
            </w:r>
            <w:r w:rsidRPr="001E4053">
              <w:rPr>
                <w:rFonts w:ascii="Calibri" w:hAnsi="Calibri" w:eastAsia="Times New Roman" w:cs="Calibri"/>
                <w:color w:val="000000"/>
              </w:rPr>
              <w:t xml:space="preserve"> = E</w:t>
            </w:r>
            <w:r w:rsidRPr="00D62B5D">
              <w:rPr>
                <w:rFonts w:ascii="Calibri" w:hAnsi="Calibri" w:eastAsia="Times New Roman" w:cs="Calibri"/>
                <w:color w:val="000000"/>
                <w:vertAlign w:val="subscript"/>
              </w:rPr>
              <w:t>0t1,AG(a-1)</w:t>
            </w:r>
            <w:r w:rsidRPr="001E4053">
              <w:rPr>
                <w:rFonts w:ascii="Calibri" w:hAnsi="Calibri" w:eastAsia="Times New Roman" w:cs="Calibri"/>
                <w:color w:val="000000"/>
              </w:rPr>
              <w:t>/SAP</w:t>
            </w:r>
            <w:r w:rsidRPr="00D62B5D">
              <w:rPr>
                <w:rFonts w:ascii="Calibri" w:hAnsi="Calibri" w:eastAsia="Times New Roman" w:cs="Calibri"/>
                <w:color w:val="000000"/>
                <w:vertAlign w:val="subscript"/>
              </w:rPr>
              <w:t>AG(a-1)</w:t>
            </w:r>
            <w:r w:rsidRPr="001E4053">
              <w:rPr>
                <w:rFonts w:ascii="Calibri" w:hAnsi="Calibri" w:eastAsia="Times New Roman" w:cs="Calibri"/>
                <w:color w:val="000000"/>
              </w:rPr>
              <w:t xml:space="preserve"> </w:t>
            </w:r>
          </w:p>
          <w:p w:rsidR="00E90200" w:rsidP="00E90200" w:rsidRDefault="00E90200" w14:paraId="1C0674F3" w14:textId="77777777">
            <w:pPr>
              <w:spacing w:after="0" w:line="240" w:lineRule="auto"/>
              <w:rPr>
                <w:rFonts w:ascii="Calibri" w:hAnsi="Calibri" w:eastAsia="Times New Roman" w:cs="Calibri"/>
                <w:color w:val="000000"/>
              </w:rPr>
            </w:pPr>
          </w:p>
          <w:p w:rsidR="00D62B5D" w:rsidP="00D62B5D" w:rsidRDefault="001E4053" w14:paraId="45566B44" w14:textId="3EC157C8">
            <w:pPr>
              <w:spacing w:after="0" w:line="240" w:lineRule="auto"/>
              <w:rPr>
                <w:rFonts w:ascii="Calibri" w:hAnsi="Calibri" w:eastAsia="Times New Roman" w:cs="Calibri"/>
                <w:color w:val="000000"/>
              </w:rPr>
            </w:pPr>
            <w:r w:rsidRPr="001E4053">
              <w:rPr>
                <w:rFonts w:ascii="Calibri" w:hAnsi="Calibri" w:eastAsia="Times New Roman" w:cs="Calibri"/>
                <w:color w:val="000000"/>
              </w:rPr>
              <w:t xml:space="preserve">where: </w:t>
            </w:r>
          </w:p>
          <w:p w:rsidR="00E90200" w:rsidP="00D62B5D" w:rsidRDefault="00E90200" w14:paraId="1A5174C4" w14:textId="77777777">
            <w:pPr>
              <w:spacing w:after="0" w:line="240" w:lineRule="auto"/>
              <w:rPr>
                <w:rFonts w:ascii="Calibri" w:hAnsi="Calibri" w:eastAsia="Times New Roman" w:cs="Calibri"/>
                <w:color w:val="000000"/>
              </w:rPr>
            </w:pPr>
          </w:p>
          <w:p w:rsidR="00E90200" w:rsidP="00D62B5D" w:rsidRDefault="001E4053" w14:paraId="3A2E672D" w14:textId="77777777">
            <w:pPr>
              <w:spacing w:after="0" w:line="240" w:lineRule="auto"/>
              <w:rPr>
                <w:rFonts w:ascii="Calibri" w:hAnsi="Calibri" w:eastAsia="Times New Roman" w:cs="Calibri"/>
                <w:color w:val="000000"/>
              </w:rPr>
            </w:pPr>
            <w:r w:rsidRPr="001E4053">
              <w:rPr>
                <w:rFonts w:ascii="Calibri" w:hAnsi="Calibri" w:eastAsia="Times New Roman" w:cs="Calibri"/>
                <w:color w:val="000000"/>
              </w:rPr>
              <w:t>PROL</w:t>
            </w:r>
            <w:r w:rsidRPr="00D62B5D">
              <w:rPr>
                <w:rFonts w:ascii="Calibri" w:hAnsi="Calibri" w:eastAsia="Times New Roman" w:cs="Calibri"/>
                <w:color w:val="000000"/>
                <w:vertAlign w:val="subscript"/>
              </w:rPr>
              <w:t>0t</w:t>
            </w:r>
            <w:proofErr w:type="gramStart"/>
            <w:r w:rsidRPr="00D62B5D">
              <w:rPr>
                <w:rFonts w:ascii="Calibri" w:hAnsi="Calibri" w:eastAsia="Times New Roman" w:cs="Calibri"/>
                <w:color w:val="000000"/>
                <w:vertAlign w:val="subscript"/>
              </w:rPr>
              <w:t>1,AG</w:t>
            </w:r>
            <w:proofErr w:type="gramEnd"/>
            <w:r w:rsidRPr="00D62B5D">
              <w:rPr>
                <w:rFonts w:ascii="Calibri" w:hAnsi="Calibri" w:eastAsia="Times New Roman" w:cs="Calibri"/>
                <w:color w:val="000000"/>
                <w:vertAlign w:val="subscript"/>
              </w:rPr>
              <w:t>(a-1)</w:t>
            </w:r>
            <w:r w:rsidRPr="001E4053">
              <w:rPr>
                <w:rFonts w:ascii="Calibri" w:hAnsi="Calibri" w:eastAsia="Times New Roman" w:cs="Calibri"/>
                <w:color w:val="000000"/>
              </w:rPr>
              <w:t xml:space="preserve"> = participation rate in organized learning one year before the official entry age to primary education </w:t>
            </w:r>
          </w:p>
          <w:p w:rsidR="00E90200" w:rsidP="00D62B5D" w:rsidRDefault="00E90200" w14:paraId="2095B8A2" w14:textId="77777777">
            <w:pPr>
              <w:spacing w:after="0" w:line="240" w:lineRule="auto"/>
              <w:rPr>
                <w:rFonts w:ascii="Calibri" w:hAnsi="Calibri" w:eastAsia="Times New Roman" w:cs="Calibri"/>
                <w:color w:val="000000"/>
              </w:rPr>
            </w:pPr>
          </w:p>
          <w:p w:rsidR="00E119D5" w:rsidP="00D62B5D" w:rsidRDefault="001E4053" w14:paraId="4125D67E" w14:textId="77777777">
            <w:pPr>
              <w:spacing w:after="0" w:line="240" w:lineRule="auto"/>
              <w:rPr>
                <w:rFonts w:ascii="Calibri" w:hAnsi="Calibri" w:eastAsia="Times New Roman" w:cs="Calibri"/>
                <w:color w:val="000000"/>
              </w:rPr>
            </w:pPr>
            <w:r w:rsidRPr="001E4053">
              <w:rPr>
                <w:rFonts w:ascii="Calibri" w:hAnsi="Calibri" w:eastAsia="Times New Roman" w:cs="Calibri"/>
                <w:color w:val="000000"/>
              </w:rPr>
              <w:t>E</w:t>
            </w:r>
            <w:r w:rsidRPr="00E90200">
              <w:rPr>
                <w:rFonts w:ascii="Calibri" w:hAnsi="Calibri" w:eastAsia="Times New Roman" w:cs="Calibri"/>
                <w:color w:val="000000"/>
                <w:vertAlign w:val="subscript"/>
              </w:rPr>
              <w:t>0t</w:t>
            </w:r>
            <w:proofErr w:type="gramStart"/>
            <w:r w:rsidRPr="00E90200">
              <w:rPr>
                <w:rFonts w:ascii="Calibri" w:hAnsi="Calibri" w:eastAsia="Times New Roman" w:cs="Calibri"/>
                <w:color w:val="000000"/>
                <w:vertAlign w:val="subscript"/>
              </w:rPr>
              <w:t>1,AG</w:t>
            </w:r>
            <w:proofErr w:type="gramEnd"/>
            <w:r w:rsidRPr="00E90200">
              <w:rPr>
                <w:rFonts w:ascii="Calibri" w:hAnsi="Calibri" w:eastAsia="Times New Roman" w:cs="Calibri"/>
                <w:color w:val="000000"/>
                <w:vertAlign w:val="subscript"/>
              </w:rPr>
              <w:t>(a-1)</w:t>
            </w:r>
            <w:r w:rsidRPr="001E4053">
              <w:rPr>
                <w:rFonts w:ascii="Calibri" w:hAnsi="Calibri" w:eastAsia="Times New Roman" w:cs="Calibri"/>
                <w:color w:val="000000"/>
              </w:rPr>
              <w:t xml:space="preserve"> = enrolment in early childhood or primary education (ISCED levels 0 and 1) aged one year below the official entry age a to primary education </w:t>
            </w:r>
          </w:p>
          <w:p w:rsidR="00E119D5" w:rsidP="00D62B5D" w:rsidRDefault="00E119D5" w14:paraId="6948E2EA" w14:textId="77777777">
            <w:pPr>
              <w:spacing w:after="0" w:line="240" w:lineRule="auto"/>
              <w:rPr>
                <w:rFonts w:ascii="Calibri" w:hAnsi="Calibri" w:eastAsia="Times New Roman" w:cs="Calibri"/>
                <w:color w:val="000000"/>
              </w:rPr>
            </w:pPr>
          </w:p>
          <w:p w:rsidR="00CA3717" w:rsidP="00D62B5D" w:rsidRDefault="001E4053" w14:paraId="56E7FAA0" w14:textId="63A26D53">
            <w:pPr>
              <w:spacing w:after="0" w:line="240" w:lineRule="auto"/>
              <w:rPr>
                <w:rFonts w:ascii="Calibri" w:hAnsi="Calibri" w:eastAsia="Times New Roman" w:cs="Calibri"/>
                <w:color w:val="000000"/>
              </w:rPr>
            </w:pPr>
            <w:r w:rsidRPr="001E4053">
              <w:rPr>
                <w:rFonts w:ascii="Calibri" w:hAnsi="Calibri" w:eastAsia="Times New Roman" w:cs="Calibri"/>
                <w:color w:val="000000"/>
              </w:rPr>
              <w:t>SAP</w:t>
            </w:r>
            <w:r w:rsidRPr="00E119D5">
              <w:rPr>
                <w:rFonts w:ascii="Calibri" w:hAnsi="Calibri" w:eastAsia="Times New Roman" w:cs="Calibri"/>
                <w:color w:val="000000"/>
                <w:vertAlign w:val="subscript"/>
              </w:rPr>
              <w:t>AG(a-1)</w:t>
            </w:r>
            <w:r w:rsidRPr="001E4053">
              <w:rPr>
                <w:rFonts w:ascii="Calibri" w:hAnsi="Calibri" w:eastAsia="Times New Roman" w:cs="Calibri"/>
                <w:color w:val="000000"/>
              </w:rPr>
              <w:t xml:space="preserve"> = school-age population aged one year below the official entry age a to primary education</w:t>
            </w:r>
          </w:p>
          <w:p w:rsidR="00AB5130" w:rsidP="00236349" w:rsidRDefault="00AB5130" w14:paraId="5150FD1F" w14:textId="2B0B669B">
            <w:pPr>
              <w:spacing w:after="0" w:line="240" w:lineRule="auto"/>
              <w:rPr>
                <w:rFonts w:ascii="Calibri" w:hAnsi="Calibri" w:eastAsia="Times New Roman" w:cs="Calibri"/>
                <w:color w:val="000000"/>
              </w:rPr>
            </w:pPr>
          </w:p>
          <w:p w:rsidR="00AB5130" w:rsidP="00236349" w:rsidRDefault="00AB5130" w14:paraId="6F6C01B3" w14:textId="789E644C">
            <w:pPr>
              <w:spacing w:after="0" w:line="240" w:lineRule="auto"/>
              <w:rPr>
                <w:rFonts w:ascii="Calibri" w:hAnsi="Calibri" w:eastAsia="Times New Roman" w:cs="Calibri"/>
                <w:color w:val="000000"/>
              </w:rPr>
            </w:pPr>
            <w:r w:rsidRPr="00AB5130">
              <w:rPr>
                <w:rFonts w:ascii="Calibri" w:hAnsi="Calibri" w:eastAsia="Times New Roman" w:cs="Calibri"/>
                <w:color w:val="000000"/>
              </w:rPr>
              <w:t>Regional and global aggregates are calculated as weighted averages using the denominator of the indicator as the weight. As described previously, where publishable data are not available for a given country or year, values are imputed for the purpose of calculating the regional and global aggregates.</w:t>
            </w:r>
          </w:p>
          <w:p w:rsidR="001E4053" w:rsidP="00236349" w:rsidRDefault="001E4053" w14:paraId="777105AE" w14:textId="3371FBD6">
            <w:pPr>
              <w:spacing w:after="0" w:line="240" w:lineRule="auto"/>
              <w:rPr>
                <w:rFonts w:ascii="Calibri" w:hAnsi="Calibri" w:eastAsia="Times New Roman" w:cs="Calibri"/>
                <w:color w:val="000000"/>
              </w:rPr>
            </w:pPr>
          </w:p>
          <w:p w:rsidR="00BE0176" w:rsidP="00623979" w:rsidRDefault="00BE0176" w14:paraId="36D6FFC2" w14:textId="7893FD7E">
            <w:pPr>
              <w:spacing w:after="0" w:line="240" w:lineRule="auto"/>
              <w:rPr>
                <w:rFonts w:ascii="Calibri" w:hAnsi="Calibri" w:eastAsia="Times New Roman" w:cs="Calibri"/>
                <w:color w:val="000000"/>
              </w:rPr>
            </w:pPr>
            <w:r w:rsidRPr="00BE0176">
              <w:rPr>
                <w:rFonts w:ascii="Calibri" w:hAnsi="Calibri" w:eastAsia="Times New Roman" w:cs="Calibri"/>
                <w:color w:val="000000"/>
              </w:rPr>
              <w:t>Disaggregation</w:t>
            </w:r>
            <w:r w:rsidR="00623979">
              <w:rPr>
                <w:rFonts w:ascii="Calibri" w:hAnsi="Calibri" w:eastAsia="Times New Roman" w:cs="Calibri"/>
                <w:color w:val="000000"/>
              </w:rPr>
              <w:t>: b</w:t>
            </w:r>
            <w:r w:rsidRPr="00BE0176">
              <w:rPr>
                <w:rFonts w:ascii="Calibri" w:hAnsi="Calibri" w:eastAsia="Times New Roman" w:cs="Calibri"/>
                <w:color w:val="000000"/>
              </w:rPr>
              <w:t>y sex</w:t>
            </w:r>
          </w:p>
          <w:p w:rsidRPr="00D02A76" w:rsidR="001E4053" w:rsidP="00236349" w:rsidRDefault="001E4053" w14:paraId="10E44BC0" w14:textId="1C86B8EC">
            <w:pPr>
              <w:spacing w:after="0" w:line="240" w:lineRule="auto"/>
              <w:rPr>
                <w:rFonts w:ascii="Calibri" w:hAnsi="Calibri" w:eastAsia="Times New Roman" w:cs="Calibri"/>
                <w:color w:val="000000"/>
              </w:rPr>
            </w:pPr>
          </w:p>
        </w:tc>
      </w:tr>
      <w:tr w:rsidRPr="00D02A76" w:rsidR="00CA3717" w:rsidTr="797D1E7E" w14:paraId="2EBF08F4" w14:textId="77777777">
        <w:trPr>
          <w:trHeight w:val="1800"/>
        </w:trPr>
        <w:tc>
          <w:tcPr>
            <w:tcW w:w="1325" w:type="dxa"/>
            <w:shd w:val="clear" w:color="auto" w:fill="auto"/>
            <w:tcMar/>
          </w:tcPr>
          <w:p w:rsidRPr="00D02A76" w:rsidR="00CA3717" w:rsidP="00236349" w:rsidRDefault="00CA3717" w14:paraId="0B71E057" w14:textId="17C43052">
            <w:pPr>
              <w:spacing w:after="0" w:line="240" w:lineRule="auto"/>
              <w:jc w:val="right"/>
              <w:rPr>
                <w:rFonts w:ascii="Calibri" w:hAnsi="Calibri" w:eastAsia="Times New Roman" w:cs="Calibri"/>
                <w:color w:val="000000"/>
              </w:rPr>
            </w:pPr>
          </w:p>
        </w:tc>
        <w:tc>
          <w:tcPr>
            <w:tcW w:w="884" w:type="dxa"/>
            <w:shd w:val="clear" w:color="auto" w:fill="auto"/>
            <w:tcMar/>
          </w:tcPr>
          <w:p w:rsidRPr="00D02A76" w:rsidR="00CA3717" w:rsidP="00236349" w:rsidRDefault="00CA3717" w14:paraId="2AB81896" w14:textId="38BF2390">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CA3717" w:rsidP="00236349" w:rsidRDefault="00CA3717" w14:paraId="7394080F"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4</w:t>
            </w:r>
          </w:p>
        </w:tc>
        <w:tc>
          <w:tcPr>
            <w:tcW w:w="2798" w:type="dxa"/>
            <w:shd w:val="clear" w:color="auto" w:fill="auto"/>
            <w:tcMar/>
            <w:hideMark/>
          </w:tcPr>
          <w:p w:rsidRPr="00D02A76" w:rsidR="00CA3717" w:rsidP="00236349" w:rsidRDefault="00CA3717" w14:paraId="110611ED"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Importance of the indicator in addressing gender issues and its limitation</w:t>
            </w:r>
          </w:p>
        </w:tc>
        <w:tc>
          <w:tcPr>
            <w:tcW w:w="7629" w:type="dxa"/>
            <w:shd w:val="clear" w:color="auto" w:fill="auto"/>
            <w:tcMar/>
          </w:tcPr>
          <w:p w:rsidR="00FF6BB7" w:rsidP="00236349" w:rsidRDefault="00FF6BB7" w14:paraId="37F1713C" w14:textId="77FAB03D">
            <w:pPr>
              <w:spacing w:after="0" w:line="240" w:lineRule="auto"/>
              <w:rPr>
                <w:rFonts w:ascii="Calibri" w:hAnsi="Calibri" w:eastAsia="Times New Roman" w:cs="Calibri"/>
                <w:color w:val="000000"/>
              </w:rPr>
            </w:pPr>
            <w:r>
              <w:rPr>
                <w:rFonts w:ascii="Calibri" w:hAnsi="Calibri" w:eastAsia="Times New Roman" w:cs="Calibri"/>
                <w:color w:val="000000"/>
              </w:rPr>
              <w:t>Rationale</w:t>
            </w:r>
          </w:p>
          <w:p w:rsidR="00CA3717" w:rsidP="00236349" w:rsidRDefault="00FF6BB7" w14:paraId="53E8BE08" w14:textId="77777777">
            <w:pPr>
              <w:spacing w:after="0" w:line="240" w:lineRule="auto"/>
              <w:rPr>
                <w:rFonts w:ascii="Calibri" w:hAnsi="Calibri" w:eastAsia="Times New Roman" w:cs="Calibri"/>
                <w:color w:val="000000"/>
              </w:rPr>
            </w:pPr>
            <w:r w:rsidRPr="00FF6BB7">
              <w:rPr>
                <w:rFonts w:ascii="Calibri" w:hAnsi="Calibri" w:eastAsia="Times New Roman" w:cs="Calibri"/>
                <w:color w:val="000000"/>
              </w:rPr>
              <w:t>The indicator measures children’s exposure to organized learning activities in the year prior to the start of primary school. A high value of the indicator shows a high degree of participation in organized learning immediately before the official entrance age to primary education.</w:t>
            </w:r>
          </w:p>
          <w:p w:rsidR="00FF6BB7" w:rsidP="00236349" w:rsidRDefault="00FF6BB7" w14:paraId="7CB5DF10" w14:textId="77777777">
            <w:pPr>
              <w:spacing w:after="0" w:line="240" w:lineRule="auto"/>
              <w:rPr>
                <w:rFonts w:ascii="Calibri" w:hAnsi="Calibri" w:eastAsia="Times New Roman" w:cs="Calibri"/>
                <w:color w:val="000000"/>
              </w:rPr>
            </w:pPr>
          </w:p>
          <w:p w:rsidR="00FF6BB7" w:rsidP="00236349" w:rsidRDefault="00FF6BB7" w14:paraId="2300B150" w14:textId="77777777">
            <w:pPr>
              <w:spacing w:after="0" w:line="240" w:lineRule="auto"/>
              <w:rPr>
                <w:rFonts w:ascii="Calibri" w:hAnsi="Calibri" w:eastAsia="Times New Roman" w:cs="Calibri"/>
                <w:color w:val="000000"/>
              </w:rPr>
            </w:pPr>
            <w:r>
              <w:rPr>
                <w:rFonts w:ascii="Calibri" w:hAnsi="Calibri" w:eastAsia="Times New Roman" w:cs="Calibri"/>
                <w:color w:val="000000"/>
              </w:rPr>
              <w:t>Comments and limitations</w:t>
            </w:r>
          </w:p>
          <w:p w:rsidR="00FF6BB7" w:rsidP="00AA16DA" w:rsidRDefault="00AA16DA" w14:paraId="3E4700E6" w14:textId="77777777">
            <w:pPr>
              <w:spacing w:after="0" w:line="240" w:lineRule="auto"/>
              <w:rPr>
                <w:rFonts w:ascii="Calibri" w:hAnsi="Calibri" w:eastAsia="Times New Roman" w:cs="Calibri"/>
                <w:color w:val="000000"/>
              </w:rPr>
            </w:pPr>
            <w:r w:rsidRPr="00AA16DA">
              <w:rPr>
                <w:rFonts w:ascii="Calibri" w:hAnsi="Calibri" w:eastAsia="Times New Roman" w:cs="Calibri"/>
                <w:color w:val="000000"/>
              </w:rPr>
              <w:t xml:space="preserve">Participation in learning </w:t>
            </w:r>
            <w:proofErr w:type="spellStart"/>
            <w:r w:rsidRPr="00AA16DA">
              <w:rPr>
                <w:rFonts w:ascii="Calibri" w:hAnsi="Calibri" w:eastAsia="Times New Roman" w:cs="Calibri"/>
                <w:color w:val="000000"/>
              </w:rPr>
              <w:t>programmes</w:t>
            </w:r>
            <w:proofErr w:type="spellEnd"/>
            <w:r w:rsidRPr="00AA16DA">
              <w:rPr>
                <w:rFonts w:ascii="Calibri" w:hAnsi="Calibri" w:eastAsia="Times New Roman" w:cs="Calibri"/>
                <w:color w:val="000000"/>
              </w:rPr>
              <w:t xml:space="preserve"> in the early years is not full time for many children, meaning that exposure to learning environments outside of the home will vary in intensity. The indicator measures the percentage of children who are exposed to organized learning but not the intensity of the </w:t>
            </w:r>
            <w:proofErr w:type="spellStart"/>
            <w:r w:rsidRPr="00AA16DA">
              <w:rPr>
                <w:rFonts w:ascii="Calibri" w:hAnsi="Calibri" w:eastAsia="Times New Roman" w:cs="Calibri"/>
                <w:color w:val="000000"/>
              </w:rPr>
              <w:t>programme</w:t>
            </w:r>
            <w:proofErr w:type="spellEnd"/>
            <w:r w:rsidRPr="00AA16DA">
              <w:rPr>
                <w:rFonts w:ascii="Calibri" w:hAnsi="Calibri" w:eastAsia="Times New Roman" w:cs="Calibri"/>
                <w:color w:val="000000"/>
              </w:rPr>
              <w:t xml:space="preserve">, which limits the ability to draw conclusions on the extent to which this target is being achieved. More work is needed to ensure that the definition of learning </w:t>
            </w:r>
            <w:proofErr w:type="spellStart"/>
            <w:r w:rsidRPr="00AA16DA">
              <w:rPr>
                <w:rFonts w:ascii="Calibri" w:hAnsi="Calibri" w:eastAsia="Times New Roman" w:cs="Calibri"/>
                <w:color w:val="000000"/>
              </w:rPr>
              <w:t>programmes</w:t>
            </w:r>
            <w:proofErr w:type="spellEnd"/>
            <w:r w:rsidRPr="00AA16DA">
              <w:rPr>
                <w:rFonts w:ascii="Calibri" w:hAnsi="Calibri" w:eastAsia="Times New Roman" w:cs="Calibri"/>
                <w:color w:val="000000"/>
              </w:rPr>
              <w:t xml:space="preserve"> is consistent across various surveys</w:t>
            </w:r>
            <w:r>
              <w:rPr>
                <w:rFonts w:ascii="Calibri" w:hAnsi="Calibri" w:eastAsia="Times New Roman" w:cs="Calibri"/>
                <w:color w:val="000000"/>
              </w:rPr>
              <w:t xml:space="preserve"> </w:t>
            </w:r>
            <w:r w:rsidRPr="00AA16DA">
              <w:rPr>
                <w:rFonts w:ascii="Calibri" w:hAnsi="Calibri" w:eastAsia="Times New Roman" w:cs="Calibri"/>
                <w:color w:val="000000"/>
              </w:rPr>
              <w:t xml:space="preserve">and defined in a manner that is easily understood by survey respondents, ideally with complementary information collected on the amount of time children spend in learning </w:t>
            </w:r>
            <w:proofErr w:type="spellStart"/>
            <w:r w:rsidRPr="00AA16DA">
              <w:rPr>
                <w:rFonts w:ascii="Calibri" w:hAnsi="Calibri" w:eastAsia="Times New Roman" w:cs="Calibri"/>
                <w:color w:val="000000"/>
              </w:rPr>
              <w:t>programmes</w:t>
            </w:r>
            <w:proofErr w:type="spellEnd"/>
            <w:r w:rsidRPr="00AA16DA">
              <w:rPr>
                <w:rFonts w:ascii="Calibri" w:hAnsi="Calibri" w:eastAsia="Times New Roman" w:cs="Calibri"/>
                <w:color w:val="000000"/>
              </w:rPr>
              <w:t>.</w:t>
            </w:r>
          </w:p>
          <w:p w:rsidRPr="00D02A76" w:rsidR="00AA16DA" w:rsidP="00AA16DA" w:rsidRDefault="00AA16DA" w14:paraId="30EA68EC" w14:textId="71289E1F">
            <w:pPr>
              <w:spacing w:after="0" w:line="240" w:lineRule="auto"/>
              <w:rPr>
                <w:rFonts w:ascii="Calibri" w:hAnsi="Calibri" w:eastAsia="Times New Roman" w:cs="Calibri"/>
                <w:color w:val="000000"/>
              </w:rPr>
            </w:pPr>
          </w:p>
        </w:tc>
      </w:tr>
      <w:tr w:rsidRPr="00D02A76" w:rsidR="00CA3717" w:rsidTr="797D1E7E" w14:paraId="1CB7DFE8" w14:textId="77777777">
        <w:trPr>
          <w:trHeight w:val="900"/>
        </w:trPr>
        <w:tc>
          <w:tcPr>
            <w:tcW w:w="1325" w:type="dxa"/>
            <w:shd w:val="clear" w:color="auto" w:fill="auto"/>
            <w:tcMar/>
          </w:tcPr>
          <w:p w:rsidRPr="00D02A76" w:rsidR="00CA3717" w:rsidP="00236349" w:rsidRDefault="00CA3717" w14:paraId="71C7363B" w14:textId="78582533">
            <w:pPr>
              <w:spacing w:after="0" w:line="240" w:lineRule="auto"/>
              <w:jc w:val="right"/>
              <w:rPr>
                <w:rFonts w:ascii="Calibri" w:hAnsi="Calibri" w:eastAsia="Times New Roman" w:cs="Calibri"/>
                <w:color w:val="000000"/>
              </w:rPr>
            </w:pPr>
          </w:p>
        </w:tc>
        <w:tc>
          <w:tcPr>
            <w:tcW w:w="884" w:type="dxa"/>
            <w:shd w:val="clear" w:color="auto" w:fill="auto"/>
            <w:tcMar/>
          </w:tcPr>
          <w:p w:rsidRPr="00D02A76" w:rsidR="00CA3717" w:rsidP="00236349" w:rsidRDefault="00CA3717" w14:paraId="02785B1E" w14:textId="5C7E6792">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CA3717" w:rsidP="00236349" w:rsidRDefault="00CA3717" w14:paraId="5E4C2DBE"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5</w:t>
            </w:r>
          </w:p>
        </w:tc>
        <w:tc>
          <w:tcPr>
            <w:tcW w:w="2798" w:type="dxa"/>
            <w:shd w:val="clear" w:color="auto" w:fill="auto"/>
            <w:tcMar/>
            <w:hideMark/>
          </w:tcPr>
          <w:p w:rsidRPr="00D02A76" w:rsidR="00CA3717" w:rsidP="00236349" w:rsidRDefault="00CA3717" w14:paraId="2B83B36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Sources of discrepancies between global and national figures</w:t>
            </w:r>
          </w:p>
        </w:tc>
        <w:tc>
          <w:tcPr>
            <w:tcW w:w="7629" w:type="dxa"/>
            <w:shd w:val="clear" w:color="auto" w:fill="auto"/>
            <w:tcMar/>
          </w:tcPr>
          <w:p w:rsidR="00CA3717" w:rsidP="00236349" w:rsidRDefault="00740906" w14:paraId="735020CF" w14:textId="77777777">
            <w:pPr>
              <w:spacing w:after="0" w:line="240" w:lineRule="auto"/>
              <w:rPr>
                <w:rFonts w:ascii="Calibri" w:hAnsi="Calibri" w:eastAsia="Times New Roman" w:cs="Calibri"/>
                <w:color w:val="000000"/>
              </w:rPr>
            </w:pPr>
            <w:r w:rsidRPr="00740906">
              <w:rPr>
                <w:rFonts w:ascii="Calibri" w:hAnsi="Calibri" w:eastAsia="Times New Roman" w:cs="Calibri"/>
                <w:color w:val="000000"/>
              </w:rPr>
              <w:t>Nationally-published figures may differ from the international ones because of differences between national education systems and the International Standard Classification of Education (ISCED); or differences in coverage (</w:t>
            </w:r>
            <w:proofErr w:type="gramStart"/>
            <w:r w:rsidRPr="00740906">
              <w:rPr>
                <w:rFonts w:ascii="Calibri" w:hAnsi="Calibri" w:eastAsia="Times New Roman" w:cs="Calibri"/>
                <w:color w:val="000000"/>
              </w:rPr>
              <w:t>i.e.</w:t>
            </w:r>
            <w:proofErr w:type="gramEnd"/>
            <w:r w:rsidRPr="00740906">
              <w:rPr>
                <w:rFonts w:ascii="Calibri" w:hAnsi="Calibri" w:eastAsia="Times New Roman" w:cs="Calibri"/>
                <w:color w:val="000000"/>
              </w:rPr>
              <w:t xml:space="preserve"> the extent to which different types of education – e.g. private or special education – are included in one rather than the other) and/or between national and the United Nations Population Division (UNPD) population estimates.</w:t>
            </w:r>
          </w:p>
          <w:p w:rsidRPr="00D02A76" w:rsidR="00740906" w:rsidP="00236349" w:rsidRDefault="00740906" w14:paraId="768778E5" w14:textId="218B2D28">
            <w:pPr>
              <w:spacing w:after="0" w:line="240" w:lineRule="auto"/>
              <w:rPr>
                <w:rFonts w:ascii="Calibri" w:hAnsi="Calibri" w:eastAsia="Times New Roman" w:cs="Calibri"/>
                <w:color w:val="000000"/>
              </w:rPr>
            </w:pPr>
          </w:p>
        </w:tc>
      </w:tr>
      <w:tr w:rsidRPr="00D02A76" w:rsidR="00CA3717" w:rsidTr="797D1E7E" w14:paraId="7AE78FF9" w14:textId="77777777">
        <w:trPr>
          <w:trHeight w:val="600"/>
        </w:trPr>
        <w:tc>
          <w:tcPr>
            <w:tcW w:w="1325" w:type="dxa"/>
            <w:shd w:val="clear" w:color="auto" w:fill="auto"/>
            <w:tcMar/>
          </w:tcPr>
          <w:p w:rsidRPr="00D02A76" w:rsidR="00CA3717" w:rsidP="00236349" w:rsidRDefault="00CA3717" w14:paraId="55158F83" w14:textId="2E66AE98">
            <w:pPr>
              <w:spacing w:after="0" w:line="240" w:lineRule="auto"/>
              <w:jc w:val="right"/>
              <w:rPr>
                <w:rFonts w:ascii="Calibri" w:hAnsi="Calibri" w:eastAsia="Times New Roman" w:cs="Calibri"/>
                <w:color w:val="000000"/>
              </w:rPr>
            </w:pPr>
          </w:p>
        </w:tc>
        <w:tc>
          <w:tcPr>
            <w:tcW w:w="884" w:type="dxa"/>
            <w:shd w:val="clear" w:color="auto" w:fill="auto"/>
            <w:tcMar/>
          </w:tcPr>
          <w:p w:rsidRPr="00D02A76" w:rsidR="00CA3717" w:rsidP="00236349" w:rsidRDefault="00CA3717" w14:paraId="372F7253" w14:textId="68981B92">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CA3717" w:rsidP="00236349" w:rsidRDefault="00CA3717" w14:paraId="3241BCE9"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6</w:t>
            </w:r>
          </w:p>
        </w:tc>
        <w:tc>
          <w:tcPr>
            <w:tcW w:w="2798" w:type="dxa"/>
            <w:shd w:val="clear" w:color="auto" w:fill="auto"/>
            <w:tcMar/>
            <w:hideMark/>
          </w:tcPr>
          <w:p w:rsidRPr="00D02A76" w:rsidR="00CA3717" w:rsidP="00236349" w:rsidRDefault="00CA3717" w14:paraId="1EF8F98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Process of obtaining data</w:t>
            </w:r>
          </w:p>
        </w:tc>
        <w:tc>
          <w:tcPr>
            <w:tcW w:w="7629" w:type="dxa"/>
            <w:shd w:val="clear" w:color="auto" w:fill="auto"/>
            <w:tcMar/>
          </w:tcPr>
          <w:p w:rsidR="00CA3717" w:rsidP="00236349" w:rsidRDefault="00CA73DA" w14:paraId="3E58BC64" w14:textId="77777777">
            <w:pPr>
              <w:spacing w:after="0" w:line="240" w:lineRule="auto"/>
              <w:rPr>
                <w:rFonts w:ascii="Calibri" w:hAnsi="Calibri" w:eastAsia="Times New Roman" w:cs="Calibri"/>
                <w:color w:val="000000"/>
              </w:rPr>
            </w:pPr>
            <w:r w:rsidRPr="00CA73DA">
              <w:rPr>
                <w:rFonts w:ascii="Calibri" w:hAnsi="Calibri" w:eastAsia="Times New Roman" w:cs="Calibri"/>
                <w:color w:val="000000"/>
              </w:rPr>
              <w:t xml:space="preserve">Administrative data from schools and other </w:t>
            </w:r>
            <w:proofErr w:type="spellStart"/>
            <w:r w:rsidRPr="00CA73DA">
              <w:rPr>
                <w:rFonts w:ascii="Calibri" w:hAnsi="Calibri" w:eastAsia="Times New Roman" w:cs="Calibri"/>
                <w:color w:val="000000"/>
              </w:rPr>
              <w:t>centres</w:t>
            </w:r>
            <w:proofErr w:type="spellEnd"/>
            <w:r w:rsidRPr="00CA73DA">
              <w:rPr>
                <w:rFonts w:ascii="Calibri" w:hAnsi="Calibri" w:eastAsia="Times New Roman" w:cs="Calibri"/>
                <w:color w:val="000000"/>
              </w:rPr>
              <w:t xml:space="preserve"> of organized learning or from household surveys on enrolment by single year of age in early learning </w:t>
            </w:r>
            <w:proofErr w:type="spellStart"/>
            <w:r w:rsidRPr="00CA73DA">
              <w:rPr>
                <w:rFonts w:ascii="Calibri" w:hAnsi="Calibri" w:eastAsia="Times New Roman" w:cs="Calibri"/>
                <w:color w:val="000000"/>
              </w:rPr>
              <w:t>programmes</w:t>
            </w:r>
            <w:proofErr w:type="spellEnd"/>
            <w:r w:rsidRPr="00CA73DA">
              <w:rPr>
                <w:rFonts w:ascii="Calibri" w:hAnsi="Calibri" w:eastAsia="Times New Roman" w:cs="Calibri"/>
                <w:color w:val="000000"/>
              </w:rPr>
              <w:t>; population censuses and surveys for population estimates by single year of age (if using administrative data on enrolment); administrative data from ministries of education on the official entrance age to primary education.</w:t>
            </w:r>
          </w:p>
          <w:p w:rsidR="00CA73DA" w:rsidP="00236349" w:rsidRDefault="00CA73DA" w14:paraId="18E885B3" w14:textId="77777777">
            <w:pPr>
              <w:spacing w:after="0" w:line="240" w:lineRule="auto"/>
              <w:rPr>
                <w:rFonts w:ascii="Calibri" w:hAnsi="Calibri" w:eastAsia="Times New Roman" w:cs="Calibri"/>
                <w:color w:val="000000"/>
              </w:rPr>
            </w:pPr>
          </w:p>
          <w:p w:rsidR="00AC2BC7" w:rsidP="00AC2BC7" w:rsidRDefault="00AC2BC7" w14:paraId="5434E42A" w14:textId="77777777">
            <w:pPr>
              <w:spacing w:after="0" w:line="240" w:lineRule="auto"/>
              <w:rPr>
                <w:rFonts w:ascii="Calibri" w:hAnsi="Calibri" w:eastAsia="Times New Roman" w:cs="Calibri"/>
                <w:color w:val="000000"/>
              </w:rPr>
            </w:pPr>
            <w:r w:rsidRPr="00AC2BC7">
              <w:rPr>
                <w:rFonts w:ascii="Calibri" w:hAnsi="Calibri" w:eastAsia="Times New Roman" w:cs="Calibri"/>
                <w:color w:val="000000"/>
              </w:rPr>
              <w:t xml:space="preserve">The UNESCO Institute for Statistics produces time series based on enrolment data reported by Ministries of Education or National Statistical Offices and population estimates produced by the UN Population Division. The enrolment data are gathered through the annual Survey of Formal Education. Countries are asked to </w:t>
            </w:r>
            <w:r w:rsidRPr="00AC2BC7">
              <w:rPr>
                <w:rFonts w:ascii="Calibri" w:hAnsi="Calibri" w:eastAsia="Times New Roman" w:cs="Calibri"/>
                <w:color w:val="000000"/>
              </w:rPr>
              <w:lastRenderedPageBreak/>
              <w:t>report data according to the levels of education defined in the International Standard Classification of Education (ISCED) to ensure international comparability of resulting indicators. The data received are validated using electronic error detection systems that check for arithmetic errors and inconsistencies and trend analysis for implausible results. Queries are taken up with the country representatives reporting the data so that corrections can be made (of errors) or explanations given (of implausible but correct results). During this process countries are also encouraged to provide estimates for missing or incomplete data items.</w:t>
            </w:r>
          </w:p>
          <w:p w:rsidR="00AC2BC7" w:rsidP="00AC2BC7" w:rsidRDefault="00AC2BC7" w14:paraId="10B9AA99" w14:textId="77777777">
            <w:pPr>
              <w:spacing w:after="0" w:line="240" w:lineRule="auto"/>
              <w:rPr>
                <w:rFonts w:ascii="Calibri" w:hAnsi="Calibri" w:eastAsia="Times New Roman" w:cs="Calibri"/>
                <w:color w:val="000000"/>
              </w:rPr>
            </w:pPr>
          </w:p>
          <w:p w:rsidR="00AF4F32" w:rsidP="00AC2BC7" w:rsidRDefault="00AC2BC7" w14:paraId="4DA76BAB" w14:textId="77777777">
            <w:pPr>
              <w:spacing w:after="0" w:line="240" w:lineRule="auto"/>
              <w:rPr>
                <w:rFonts w:ascii="Calibri" w:hAnsi="Calibri" w:eastAsia="Times New Roman" w:cs="Calibri"/>
                <w:color w:val="000000"/>
              </w:rPr>
            </w:pPr>
            <w:r w:rsidRPr="00AC2BC7">
              <w:rPr>
                <w:rFonts w:ascii="Calibri" w:hAnsi="Calibri" w:eastAsia="Times New Roman" w:cs="Calibri"/>
                <w:color w:val="000000"/>
              </w:rPr>
              <w:t>In addition, countries also have an opportunity to see and comment on the main indicators the UIS produces in an annual “country review” of indicators.</w:t>
            </w:r>
          </w:p>
          <w:p w:rsidRPr="00D02A76" w:rsidR="00AC2BC7" w:rsidP="00AC2BC7" w:rsidRDefault="00AC2BC7" w14:paraId="508A9E4B" w14:textId="2ADA6699">
            <w:pPr>
              <w:spacing w:after="0" w:line="240" w:lineRule="auto"/>
              <w:rPr>
                <w:rFonts w:ascii="Calibri" w:hAnsi="Calibri" w:eastAsia="Times New Roman" w:cs="Calibri"/>
                <w:color w:val="000000"/>
              </w:rPr>
            </w:pPr>
          </w:p>
        </w:tc>
      </w:tr>
      <w:tr w:rsidRPr="00D02A76" w:rsidR="00CA3717" w:rsidTr="797D1E7E" w14:paraId="4C402108" w14:textId="77777777">
        <w:trPr>
          <w:trHeight w:val="600"/>
        </w:trPr>
        <w:tc>
          <w:tcPr>
            <w:tcW w:w="1325" w:type="dxa"/>
            <w:shd w:val="clear" w:color="auto" w:fill="auto"/>
            <w:tcMar/>
          </w:tcPr>
          <w:p w:rsidRPr="00D02A76" w:rsidR="00CA3717" w:rsidP="00236349" w:rsidRDefault="00CA3717" w14:paraId="208B392C" w14:textId="4EC799F5">
            <w:pPr>
              <w:spacing w:after="0" w:line="240" w:lineRule="auto"/>
              <w:jc w:val="right"/>
              <w:rPr>
                <w:rFonts w:ascii="Calibri" w:hAnsi="Calibri" w:eastAsia="Times New Roman" w:cs="Calibri"/>
                <w:color w:val="000000"/>
              </w:rPr>
            </w:pPr>
          </w:p>
        </w:tc>
        <w:tc>
          <w:tcPr>
            <w:tcW w:w="884" w:type="dxa"/>
            <w:shd w:val="clear" w:color="auto" w:fill="auto"/>
            <w:tcMar/>
          </w:tcPr>
          <w:p w:rsidRPr="00D02A76" w:rsidR="00CA3717" w:rsidP="00236349" w:rsidRDefault="00CA3717" w14:paraId="181D0E40" w14:textId="3444CF0B">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CA3717" w:rsidP="00236349" w:rsidRDefault="00CA3717" w14:paraId="2DB868BF"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7</w:t>
            </w:r>
          </w:p>
        </w:tc>
        <w:tc>
          <w:tcPr>
            <w:tcW w:w="2798" w:type="dxa"/>
            <w:shd w:val="clear" w:color="auto" w:fill="auto"/>
            <w:tcMar/>
            <w:hideMark/>
          </w:tcPr>
          <w:p w:rsidRPr="00D02A76" w:rsidR="00CA3717" w:rsidP="00236349" w:rsidRDefault="00CA3717" w14:paraId="16972368"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Treatment of missing values</w:t>
            </w:r>
          </w:p>
        </w:tc>
        <w:tc>
          <w:tcPr>
            <w:tcW w:w="7629" w:type="dxa"/>
            <w:shd w:val="clear" w:color="auto" w:fill="auto"/>
            <w:tcMar/>
          </w:tcPr>
          <w:p w:rsidRPr="001C7F7D" w:rsidR="001C7F7D" w:rsidP="00236349" w:rsidRDefault="001C7F7D" w14:paraId="05FBC1AA" w14:textId="264149A3">
            <w:pPr>
              <w:spacing w:after="0" w:line="240" w:lineRule="auto"/>
              <w:rPr>
                <w:rFonts w:ascii="Calibri" w:hAnsi="Calibri" w:eastAsia="Times New Roman" w:cs="Calibri"/>
                <w:b/>
                <w:bCs/>
                <w:color w:val="000000"/>
              </w:rPr>
            </w:pPr>
            <w:r w:rsidRPr="001C7F7D">
              <w:rPr>
                <w:rFonts w:ascii="Calibri" w:hAnsi="Calibri" w:eastAsia="Times New Roman" w:cs="Calibri"/>
                <w:b/>
                <w:bCs/>
                <w:color w:val="000000"/>
              </w:rPr>
              <w:t>At country level</w:t>
            </w:r>
          </w:p>
          <w:p w:rsidR="008370F8" w:rsidP="00236349" w:rsidRDefault="001C7F7D" w14:paraId="7D0CE6D0" w14:textId="77777777">
            <w:pPr>
              <w:spacing w:after="0" w:line="240" w:lineRule="auto"/>
              <w:rPr>
                <w:rFonts w:ascii="Calibri" w:hAnsi="Calibri" w:eastAsia="Times New Roman" w:cs="Calibri"/>
                <w:color w:val="000000"/>
              </w:rPr>
            </w:pPr>
            <w:r w:rsidRPr="001C7F7D">
              <w:rPr>
                <w:rFonts w:ascii="Calibri" w:hAnsi="Calibri" w:eastAsia="Times New Roman" w:cs="Calibri"/>
                <w:color w:val="000000"/>
              </w:rPr>
              <w:t xml:space="preserve">The UIS estimates certain key items of data that may be missing or incomplete </w:t>
            </w:r>
            <w:proofErr w:type="gramStart"/>
            <w:r w:rsidRPr="001C7F7D">
              <w:rPr>
                <w:rFonts w:ascii="Calibri" w:hAnsi="Calibri" w:eastAsia="Times New Roman" w:cs="Calibri"/>
                <w:color w:val="000000"/>
              </w:rPr>
              <w:t>in order to</w:t>
            </w:r>
            <w:proofErr w:type="gramEnd"/>
            <w:r w:rsidRPr="001C7F7D">
              <w:rPr>
                <w:rFonts w:ascii="Calibri" w:hAnsi="Calibri" w:eastAsia="Times New Roman" w:cs="Calibri"/>
                <w:color w:val="000000"/>
              </w:rPr>
              <w:t xml:space="preserve"> have publishable estimates at the country level. Where this is not possible the UIS imputes missing values for use only for calculating regional and global aggregates. </w:t>
            </w:r>
          </w:p>
          <w:p w:rsidR="008370F8" w:rsidP="00236349" w:rsidRDefault="008370F8" w14:paraId="5544A005" w14:textId="77777777">
            <w:pPr>
              <w:spacing w:after="0" w:line="240" w:lineRule="auto"/>
              <w:rPr>
                <w:rFonts w:ascii="Calibri" w:hAnsi="Calibri" w:eastAsia="Times New Roman" w:cs="Calibri"/>
                <w:color w:val="000000"/>
              </w:rPr>
            </w:pPr>
          </w:p>
          <w:p w:rsidR="00EE6001" w:rsidP="00236349" w:rsidRDefault="001C7F7D" w14:paraId="36C54E0C" w14:textId="77777777">
            <w:pPr>
              <w:spacing w:after="0" w:line="240" w:lineRule="auto"/>
              <w:rPr>
                <w:rFonts w:ascii="Calibri" w:hAnsi="Calibri" w:eastAsia="Times New Roman" w:cs="Calibri"/>
                <w:color w:val="000000"/>
              </w:rPr>
            </w:pPr>
            <w:r w:rsidRPr="001C7F7D">
              <w:rPr>
                <w:rFonts w:ascii="Calibri" w:hAnsi="Calibri" w:eastAsia="Times New Roman" w:cs="Calibri"/>
                <w:color w:val="000000"/>
              </w:rPr>
              <w:t xml:space="preserve">For the purposes of calculating participation rates by age, the UIS may make one or more of the following: </w:t>
            </w:r>
          </w:p>
          <w:p w:rsidR="00656345" w:rsidP="00656345" w:rsidRDefault="00656345" w14:paraId="1928D9F3" w14:textId="77777777">
            <w:pPr>
              <w:pStyle w:val="ListParagraph"/>
              <w:numPr>
                <w:ilvl w:val="0"/>
                <w:numId w:val="1"/>
              </w:numPr>
              <w:spacing w:after="0" w:line="240" w:lineRule="auto"/>
              <w:rPr>
                <w:rFonts w:ascii="Calibri" w:hAnsi="Calibri" w:eastAsia="Times New Roman" w:cs="Calibri"/>
                <w:color w:val="000000"/>
              </w:rPr>
            </w:pPr>
            <w:r>
              <w:rPr>
                <w:rFonts w:ascii="Calibri" w:hAnsi="Calibri" w:eastAsia="Times New Roman" w:cs="Calibri"/>
                <w:color w:val="000000"/>
              </w:rPr>
              <w:t>a</w:t>
            </w:r>
            <w:r w:rsidRPr="00656345" w:rsidR="001C7F7D">
              <w:rPr>
                <w:rFonts w:ascii="Calibri" w:hAnsi="Calibri" w:eastAsia="Times New Roman" w:cs="Calibri"/>
                <w:color w:val="000000"/>
              </w:rPr>
              <w:t xml:space="preserve">n adjustment to account for over- or under-reporting, for example: </w:t>
            </w:r>
          </w:p>
          <w:p w:rsidR="00656345" w:rsidP="00656345" w:rsidRDefault="001C7F7D" w14:paraId="38E19052" w14:textId="77777777">
            <w:pPr>
              <w:pStyle w:val="ListParagraph"/>
              <w:numPr>
                <w:ilvl w:val="1"/>
                <w:numId w:val="1"/>
              </w:numPr>
              <w:spacing w:after="0" w:line="240" w:lineRule="auto"/>
              <w:rPr>
                <w:rFonts w:ascii="Calibri" w:hAnsi="Calibri" w:eastAsia="Times New Roman" w:cs="Calibri"/>
                <w:color w:val="000000"/>
              </w:rPr>
            </w:pPr>
            <w:r w:rsidRPr="00656345">
              <w:rPr>
                <w:rFonts w:ascii="Calibri" w:hAnsi="Calibri" w:eastAsia="Times New Roman" w:cs="Calibri"/>
                <w:color w:val="000000"/>
              </w:rPr>
              <w:t xml:space="preserve">To include enrolments in a type of education – such as private education or special education – not reported by the country; and/or </w:t>
            </w:r>
          </w:p>
          <w:p w:rsidR="00656345" w:rsidP="00656345" w:rsidRDefault="001C7F7D" w14:paraId="0493DC6C" w14:textId="77777777">
            <w:pPr>
              <w:pStyle w:val="ListParagraph"/>
              <w:numPr>
                <w:ilvl w:val="1"/>
                <w:numId w:val="1"/>
              </w:numPr>
              <w:spacing w:after="0" w:line="240" w:lineRule="auto"/>
              <w:rPr>
                <w:rFonts w:ascii="Calibri" w:hAnsi="Calibri" w:eastAsia="Times New Roman" w:cs="Calibri"/>
                <w:color w:val="000000"/>
              </w:rPr>
            </w:pPr>
            <w:r w:rsidRPr="00656345">
              <w:rPr>
                <w:rFonts w:ascii="Calibri" w:hAnsi="Calibri" w:eastAsia="Times New Roman" w:cs="Calibri"/>
                <w:color w:val="000000"/>
              </w:rPr>
              <w:t xml:space="preserve">To include enrolments in a part of the country not reported by the country. </w:t>
            </w:r>
          </w:p>
          <w:p w:rsidR="00151909" w:rsidP="00151909" w:rsidRDefault="001C7F7D" w14:paraId="105451B4" w14:textId="77777777">
            <w:pPr>
              <w:pStyle w:val="ListParagraph"/>
              <w:numPr>
                <w:ilvl w:val="0"/>
                <w:numId w:val="1"/>
              </w:numPr>
              <w:spacing w:after="0" w:line="240" w:lineRule="auto"/>
              <w:rPr>
                <w:rFonts w:ascii="Calibri" w:hAnsi="Calibri" w:eastAsia="Times New Roman" w:cs="Calibri"/>
                <w:color w:val="000000"/>
              </w:rPr>
            </w:pPr>
            <w:r w:rsidRPr="00656345">
              <w:rPr>
                <w:rFonts w:ascii="Calibri" w:hAnsi="Calibri" w:eastAsia="Times New Roman" w:cs="Calibri"/>
                <w:color w:val="000000"/>
              </w:rPr>
              <w:t>An estimate of the number of enrolments in the given age group if the age distribution was not reported by the country</w:t>
            </w:r>
          </w:p>
          <w:p w:rsidRPr="00151909" w:rsidR="00151909" w:rsidP="00151909" w:rsidRDefault="00151909" w14:paraId="6A5A5019" w14:textId="3E0992DF">
            <w:pPr>
              <w:pStyle w:val="ListParagraph"/>
              <w:numPr>
                <w:ilvl w:val="0"/>
                <w:numId w:val="1"/>
              </w:numPr>
              <w:spacing w:after="0" w:line="240" w:lineRule="auto"/>
              <w:rPr>
                <w:rFonts w:ascii="Calibri" w:hAnsi="Calibri" w:eastAsia="Times New Roman" w:cs="Calibri"/>
                <w:color w:val="000000"/>
              </w:rPr>
            </w:pPr>
            <w:r w:rsidRPr="00151909">
              <w:rPr>
                <w:sz w:val="21"/>
                <w:szCs w:val="21"/>
              </w:rPr>
              <w:t xml:space="preserve">A redistribution of enrolments of unknown age (across known ages) </w:t>
            </w:r>
          </w:p>
          <w:p w:rsidRPr="00151909" w:rsidR="00151909" w:rsidP="00151909" w:rsidRDefault="00151909" w14:paraId="15025CB3" w14:textId="77777777">
            <w:pPr>
              <w:pStyle w:val="ListParagraph"/>
              <w:numPr>
                <w:ilvl w:val="0"/>
                <w:numId w:val="1"/>
              </w:numPr>
              <w:spacing w:after="0" w:line="240" w:lineRule="auto"/>
              <w:rPr>
                <w:rFonts w:ascii="Calibri" w:hAnsi="Calibri" w:eastAsia="Times New Roman" w:cs="Calibri"/>
                <w:color w:val="000000"/>
              </w:rPr>
            </w:pPr>
            <w:r>
              <w:rPr>
                <w:sz w:val="21"/>
                <w:szCs w:val="21"/>
              </w:rPr>
              <w:t>An estimate of the population in the official age group for small countries (if neither the UN Population Division nor the country itself can provide estimates of their own).</w:t>
            </w:r>
          </w:p>
          <w:p w:rsidR="00151909" w:rsidP="00151909" w:rsidRDefault="00151909" w14:paraId="3AD69AC2" w14:textId="77777777">
            <w:pPr>
              <w:spacing w:after="0" w:line="240" w:lineRule="auto"/>
              <w:rPr>
                <w:rFonts w:ascii="Calibri" w:hAnsi="Calibri" w:eastAsia="Times New Roman" w:cs="Calibri"/>
                <w:color w:val="000000"/>
              </w:rPr>
            </w:pPr>
          </w:p>
          <w:p w:rsidR="000830C3" w:rsidP="00151909" w:rsidRDefault="00151909" w14:paraId="1CC6276E" w14:textId="77777777">
            <w:pPr>
              <w:spacing w:after="0" w:line="240" w:lineRule="auto"/>
              <w:rPr>
                <w:rFonts w:ascii="Calibri" w:hAnsi="Calibri" w:eastAsia="Times New Roman" w:cs="Calibri"/>
                <w:color w:val="000000"/>
              </w:rPr>
            </w:pPr>
            <w:r w:rsidRPr="00151909">
              <w:rPr>
                <w:rFonts w:ascii="Calibri" w:hAnsi="Calibri" w:eastAsia="Times New Roman" w:cs="Calibri"/>
                <w:color w:val="000000"/>
              </w:rPr>
              <w:t>In all cases estimates are based on evidence from the country itself (</w:t>
            </w:r>
            <w:proofErr w:type="gramStart"/>
            <w:r w:rsidRPr="00151909">
              <w:rPr>
                <w:rFonts w:ascii="Calibri" w:hAnsi="Calibri" w:eastAsia="Times New Roman" w:cs="Calibri"/>
                <w:color w:val="000000"/>
              </w:rPr>
              <w:t>e.g.</w:t>
            </w:r>
            <w:proofErr w:type="gramEnd"/>
            <w:r w:rsidRPr="00151909">
              <w:rPr>
                <w:rFonts w:ascii="Calibri" w:hAnsi="Calibri" w:eastAsia="Times New Roman" w:cs="Calibri"/>
                <w:color w:val="000000"/>
              </w:rPr>
              <w:t xml:space="preserve"> information from the data provider on the size of the missing component, via correspondence, publications or data on the Ministry’s or National Statistical Office’s Webpage, or via surveys conducted by other organizations) or on data from the country for a previous year. These figures may be published: (</w:t>
            </w:r>
            <w:proofErr w:type="spellStart"/>
            <w:r w:rsidRPr="00151909">
              <w:rPr>
                <w:rFonts w:ascii="Calibri" w:hAnsi="Calibri" w:eastAsia="Times New Roman" w:cs="Calibri"/>
                <w:color w:val="000000"/>
              </w:rPr>
              <w:t>i</w:t>
            </w:r>
            <w:proofErr w:type="spellEnd"/>
            <w:r w:rsidRPr="00151909">
              <w:rPr>
                <w:rFonts w:ascii="Calibri" w:hAnsi="Calibri" w:eastAsia="Times New Roman" w:cs="Calibri"/>
                <w:color w:val="000000"/>
              </w:rPr>
              <w:t xml:space="preserve">) as observed data if the missing items are found in a national source; (ii) as national estimates if the country is persuaded to produce estimates and submit them in place of missing data; or (iii) as UIS </w:t>
            </w:r>
            <w:proofErr w:type="gramStart"/>
            <w:r w:rsidRPr="00151909">
              <w:rPr>
                <w:rFonts w:ascii="Calibri" w:hAnsi="Calibri" w:eastAsia="Times New Roman" w:cs="Calibri"/>
                <w:color w:val="000000"/>
              </w:rPr>
              <w:t>estimates, if</w:t>
            </w:r>
            <w:proofErr w:type="gramEnd"/>
            <w:r w:rsidRPr="00151909">
              <w:rPr>
                <w:rFonts w:ascii="Calibri" w:hAnsi="Calibri" w:eastAsia="Times New Roman" w:cs="Calibri"/>
                <w:color w:val="000000"/>
              </w:rPr>
              <w:t xml:space="preserve"> the estimates are made by the UIS. </w:t>
            </w:r>
          </w:p>
          <w:p w:rsidR="000830C3" w:rsidP="00151909" w:rsidRDefault="000830C3" w14:paraId="46983AC5" w14:textId="77777777">
            <w:pPr>
              <w:spacing w:after="0" w:line="240" w:lineRule="auto"/>
              <w:rPr>
                <w:rFonts w:ascii="Calibri" w:hAnsi="Calibri" w:eastAsia="Times New Roman" w:cs="Calibri"/>
                <w:color w:val="000000"/>
              </w:rPr>
            </w:pPr>
          </w:p>
          <w:p w:rsidR="000830C3" w:rsidP="00151909" w:rsidRDefault="00151909" w14:paraId="5C25DB1B" w14:textId="77777777">
            <w:pPr>
              <w:spacing w:after="0" w:line="240" w:lineRule="auto"/>
              <w:rPr>
                <w:rFonts w:ascii="Calibri" w:hAnsi="Calibri" w:eastAsia="Times New Roman" w:cs="Calibri"/>
                <w:color w:val="000000"/>
              </w:rPr>
            </w:pPr>
            <w:r w:rsidRPr="00151909">
              <w:rPr>
                <w:rFonts w:ascii="Calibri" w:hAnsi="Calibri" w:eastAsia="Times New Roman" w:cs="Calibri"/>
                <w:color w:val="000000"/>
              </w:rPr>
              <w:t xml:space="preserve">The age distribution of enrolments is </w:t>
            </w:r>
            <w:proofErr w:type="gramStart"/>
            <w:r w:rsidRPr="00151909">
              <w:rPr>
                <w:rFonts w:ascii="Calibri" w:hAnsi="Calibri" w:eastAsia="Times New Roman" w:cs="Calibri"/>
                <w:color w:val="000000"/>
              </w:rPr>
              <w:t>most commonly estimated</w:t>
            </w:r>
            <w:proofErr w:type="gramEnd"/>
            <w:r w:rsidRPr="00151909">
              <w:rPr>
                <w:rFonts w:ascii="Calibri" w:hAnsi="Calibri" w:eastAsia="Times New Roman" w:cs="Calibri"/>
                <w:color w:val="000000"/>
              </w:rPr>
              <w:t xml:space="preserve"> from the age distribution reported in a previous year. If the country has never reported the age distribution of enrolments, the age distribution reported in another survey, if available, is used (such as Multiple Indicator Cluster Surveys (MICS) or Demographic Health Surveys (DHS)). </w:t>
            </w:r>
          </w:p>
          <w:p w:rsidR="000830C3" w:rsidP="00151909" w:rsidRDefault="000830C3" w14:paraId="234D1A60" w14:textId="77777777">
            <w:pPr>
              <w:spacing w:after="0" w:line="240" w:lineRule="auto"/>
              <w:rPr>
                <w:rFonts w:ascii="Calibri" w:hAnsi="Calibri" w:eastAsia="Times New Roman" w:cs="Calibri"/>
                <w:color w:val="000000"/>
              </w:rPr>
            </w:pPr>
          </w:p>
          <w:p w:rsidR="000830C3" w:rsidP="00151909" w:rsidRDefault="00151909" w14:paraId="069F8BF4" w14:textId="77777777">
            <w:pPr>
              <w:spacing w:after="0" w:line="240" w:lineRule="auto"/>
              <w:rPr>
                <w:rFonts w:ascii="Calibri" w:hAnsi="Calibri" w:eastAsia="Times New Roman" w:cs="Calibri"/>
                <w:color w:val="000000"/>
              </w:rPr>
            </w:pPr>
            <w:r w:rsidRPr="00151909">
              <w:rPr>
                <w:rFonts w:ascii="Calibri" w:hAnsi="Calibri" w:eastAsia="Times New Roman" w:cs="Calibri"/>
                <w:color w:val="000000"/>
              </w:rPr>
              <w:t xml:space="preserve">Enrolments of unknown age are redistributed across known ages if they constitute more than 5% of the total enrolments in that level of education. No estimation is made if they are 5% or less. </w:t>
            </w:r>
          </w:p>
          <w:p w:rsidR="000830C3" w:rsidP="00151909" w:rsidRDefault="000830C3" w14:paraId="7C87F7DD" w14:textId="77777777">
            <w:pPr>
              <w:spacing w:after="0" w:line="240" w:lineRule="auto"/>
              <w:rPr>
                <w:rFonts w:ascii="Calibri" w:hAnsi="Calibri" w:eastAsia="Times New Roman" w:cs="Calibri"/>
                <w:color w:val="000000"/>
              </w:rPr>
            </w:pPr>
          </w:p>
          <w:p w:rsidR="00151909" w:rsidP="00151909" w:rsidRDefault="00151909" w14:paraId="510E58EA" w14:textId="31C8B9AD">
            <w:pPr>
              <w:spacing w:after="0" w:line="240" w:lineRule="auto"/>
              <w:rPr>
                <w:rFonts w:ascii="Calibri" w:hAnsi="Calibri" w:eastAsia="Times New Roman" w:cs="Calibri"/>
                <w:color w:val="000000"/>
              </w:rPr>
            </w:pPr>
            <w:r w:rsidRPr="00151909">
              <w:rPr>
                <w:rFonts w:ascii="Calibri" w:hAnsi="Calibri" w:eastAsia="Times New Roman" w:cs="Calibri"/>
                <w:color w:val="000000"/>
              </w:rPr>
              <w:t>Population estimates by age for countries with small population – produced only where there are no other suitable estimates available either from UNPD or from the country itself – are made only for countries which have reported education data to the UIS and for which population estimates from a reliable source are available in some years.</w:t>
            </w:r>
          </w:p>
          <w:p w:rsidR="00151909" w:rsidP="00151909" w:rsidRDefault="00151909" w14:paraId="55882BEC" w14:textId="77777777">
            <w:pPr>
              <w:spacing w:after="0" w:line="240" w:lineRule="auto"/>
              <w:rPr>
                <w:rFonts w:ascii="Calibri" w:hAnsi="Calibri" w:eastAsia="Times New Roman" w:cs="Calibri"/>
                <w:color w:val="000000"/>
              </w:rPr>
            </w:pPr>
          </w:p>
          <w:p w:rsidRPr="00556BD7" w:rsidR="00556BD7" w:rsidP="00151909" w:rsidRDefault="00556BD7" w14:paraId="18AE4578" w14:textId="70ABCEC1">
            <w:pPr>
              <w:spacing w:after="0" w:line="240" w:lineRule="auto"/>
              <w:rPr>
                <w:rFonts w:ascii="Calibri" w:hAnsi="Calibri" w:eastAsia="Times New Roman" w:cs="Calibri"/>
                <w:b/>
                <w:bCs/>
                <w:color w:val="000000"/>
              </w:rPr>
            </w:pPr>
            <w:r w:rsidRPr="00556BD7">
              <w:rPr>
                <w:rFonts w:ascii="Calibri" w:hAnsi="Calibri" w:eastAsia="Times New Roman" w:cs="Calibri"/>
                <w:b/>
                <w:bCs/>
                <w:color w:val="000000"/>
              </w:rPr>
              <w:t>At regional and global levels</w:t>
            </w:r>
          </w:p>
          <w:p w:rsidR="00DE6113" w:rsidP="00151909" w:rsidRDefault="00556BD7" w14:paraId="5493FFD3" w14:textId="77777777">
            <w:pPr>
              <w:spacing w:after="0" w:line="240" w:lineRule="auto"/>
              <w:rPr>
                <w:rFonts w:ascii="Calibri" w:hAnsi="Calibri" w:eastAsia="Times New Roman" w:cs="Calibri"/>
                <w:color w:val="000000"/>
              </w:rPr>
            </w:pPr>
            <w:r w:rsidRPr="00556BD7">
              <w:rPr>
                <w:rFonts w:ascii="Calibri" w:hAnsi="Calibri" w:eastAsia="Times New Roman" w:cs="Calibri"/>
                <w:color w:val="000000"/>
              </w:rPr>
              <w:t xml:space="preserve">Regional and global aggregates are derived from both publishable and imputed national data. Publishable data are the data submitted to the UIS by Member States or the result of an explicit estimation made by the Institute based on pre-determined standards. In both cases, these data are sent to Member States for review before they are considered publishable by the UIS. </w:t>
            </w:r>
          </w:p>
          <w:p w:rsidR="00DE6113" w:rsidP="00151909" w:rsidRDefault="00DE6113" w14:paraId="00B000E6" w14:textId="77777777">
            <w:pPr>
              <w:spacing w:after="0" w:line="240" w:lineRule="auto"/>
              <w:rPr>
                <w:rFonts w:ascii="Calibri" w:hAnsi="Calibri" w:eastAsia="Times New Roman" w:cs="Calibri"/>
                <w:color w:val="000000"/>
              </w:rPr>
            </w:pPr>
          </w:p>
          <w:p w:rsidR="00DE61C4" w:rsidP="00151909" w:rsidRDefault="00556BD7" w14:paraId="23263704" w14:textId="4CCA1C64">
            <w:pPr>
              <w:spacing w:after="0" w:line="240" w:lineRule="auto"/>
              <w:rPr>
                <w:rFonts w:ascii="Calibri" w:hAnsi="Calibri" w:eastAsia="Times New Roman" w:cs="Calibri"/>
                <w:color w:val="000000"/>
              </w:rPr>
            </w:pPr>
            <w:r w:rsidRPr="00556BD7">
              <w:rPr>
                <w:rFonts w:ascii="Calibri" w:hAnsi="Calibri" w:eastAsia="Times New Roman" w:cs="Calibri"/>
                <w:color w:val="000000"/>
              </w:rPr>
              <w:lastRenderedPageBreak/>
              <w:t xml:space="preserve">When data are not available for all countries, the UIS imputes national data for the sole purpose of calculating regional averages. These imputed data are not published nor otherwise disseminated. </w:t>
            </w:r>
          </w:p>
          <w:p w:rsidR="00DE61C4" w:rsidP="00151909" w:rsidRDefault="00DE61C4" w14:paraId="45A9306E" w14:textId="77777777">
            <w:pPr>
              <w:spacing w:after="0" w:line="240" w:lineRule="auto"/>
              <w:rPr>
                <w:rFonts w:ascii="Calibri" w:hAnsi="Calibri" w:eastAsia="Times New Roman" w:cs="Calibri"/>
                <w:color w:val="000000"/>
              </w:rPr>
            </w:pPr>
          </w:p>
          <w:p w:rsidR="00DE61C4" w:rsidP="00151909" w:rsidRDefault="00556BD7" w14:paraId="37201905" w14:textId="77777777">
            <w:pPr>
              <w:spacing w:after="0" w:line="240" w:lineRule="auto"/>
              <w:rPr>
                <w:rFonts w:ascii="Calibri" w:hAnsi="Calibri" w:eastAsia="Times New Roman" w:cs="Calibri"/>
                <w:color w:val="000000"/>
              </w:rPr>
            </w:pPr>
            <w:r w:rsidRPr="00556BD7">
              <w:rPr>
                <w:rFonts w:ascii="Calibri" w:hAnsi="Calibri" w:eastAsia="Times New Roman" w:cs="Calibri"/>
                <w:color w:val="000000"/>
              </w:rPr>
              <w:t xml:space="preserve">Where data are available for a country for both an earlier and a more recent year than the missing year, a simple linear interpolation is made. Where data are only available for an earlier year, the most recent value is used as an estimate. Similarly, where data are only available for a more recent year, the last value is used as an estimate. </w:t>
            </w:r>
          </w:p>
          <w:p w:rsidR="00DE61C4" w:rsidP="00151909" w:rsidRDefault="00DE61C4" w14:paraId="1452E1C5" w14:textId="77777777">
            <w:pPr>
              <w:spacing w:after="0" w:line="240" w:lineRule="auto"/>
              <w:rPr>
                <w:rFonts w:ascii="Calibri" w:hAnsi="Calibri" w:eastAsia="Times New Roman" w:cs="Calibri"/>
                <w:color w:val="000000"/>
              </w:rPr>
            </w:pPr>
          </w:p>
          <w:p w:rsidR="00DE6113" w:rsidP="00151909" w:rsidRDefault="00556BD7" w14:paraId="7407F77E" w14:textId="77777777">
            <w:pPr>
              <w:spacing w:after="0" w:line="240" w:lineRule="auto"/>
              <w:rPr>
                <w:rFonts w:ascii="Calibri" w:hAnsi="Calibri" w:eastAsia="Times New Roman" w:cs="Calibri"/>
                <w:color w:val="000000"/>
              </w:rPr>
            </w:pPr>
            <w:r w:rsidRPr="00556BD7">
              <w:rPr>
                <w:rFonts w:ascii="Calibri" w:hAnsi="Calibri" w:eastAsia="Times New Roman" w:cs="Calibri"/>
                <w:color w:val="000000"/>
              </w:rPr>
              <w:t xml:space="preserve">Where the relevant data are not available at all for a country, estimates may be based on another variable which is clearly linked to the item being estimated. For example, enrolments by age may be based on total enrolments. </w:t>
            </w:r>
          </w:p>
          <w:p w:rsidR="00DE6113" w:rsidP="00151909" w:rsidRDefault="00DE6113" w14:paraId="74D1BFB0" w14:textId="77777777">
            <w:pPr>
              <w:spacing w:after="0" w:line="240" w:lineRule="auto"/>
              <w:rPr>
                <w:rFonts w:ascii="Calibri" w:hAnsi="Calibri" w:eastAsia="Times New Roman" w:cs="Calibri"/>
                <w:color w:val="000000"/>
              </w:rPr>
            </w:pPr>
          </w:p>
          <w:p w:rsidR="00556BD7" w:rsidP="00151909" w:rsidRDefault="00556BD7" w14:paraId="60EDF4E1" w14:textId="77777777">
            <w:pPr>
              <w:spacing w:after="0" w:line="240" w:lineRule="auto"/>
              <w:rPr>
                <w:rFonts w:ascii="Calibri" w:hAnsi="Calibri" w:eastAsia="Times New Roman" w:cs="Calibri"/>
                <w:color w:val="000000"/>
              </w:rPr>
            </w:pPr>
            <w:r w:rsidRPr="00556BD7">
              <w:rPr>
                <w:rFonts w:ascii="Calibri" w:hAnsi="Calibri" w:eastAsia="Times New Roman" w:cs="Calibri"/>
                <w:color w:val="000000"/>
              </w:rPr>
              <w:t>Where no data are available for the country in any year that can inform the estimate, the unweighted average for the region in which the country lies is used.</w:t>
            </w:r>
          </w:p>
          <w:p w:rsidRPr="00151909" w:rsidR="00DE6113" w:rsidP="00151909" w:rsidRDefault="00DE6113" w14:paraId="3F361337" w14:textId="2DB3AC83">
            <w:pPr>
              <w:spacing w:after="0" w:line="240" w:lineRule="auto"/>
              <w:rPr>
                <w:rFonts w:ascii="Calibri" w:hAnsi="Calibri" w:eastAsia="Times New Roman" w:cs="Calibri"/>
                <w:color w:val="000000"/>
              </w:rPr>
            </w:pPr>
          </w:p>
        </w:tc>
      </w:tr>
      <w:tr w:rsidRPr="00D02A76" w:rsidR="00CA3717" w:rsidTr="797D1E7E" w14:paraId="7232B92E" w14:textId="77777777">
        <w:trPr>
          <w:trHeight w:val="900"/>
        </w:trPr>
        <w:tc>
          <w:tcPr>
            <w:tcW w:w="1325" w:type="dxa"/>
            <w:shd w:val="clear" w:color="auto" w:fill="auto"/>
            <w:tcMar/>
          </w:tcPr>
          <w:p w:rsidRPr="00D02A76" w:rsidR="00CA3717" w:rsidP="00236349" w:rsidRDefault="00CA3717" w14:paraId="53401030" w14:textId="3800A133">
            <w:pPr>
              <w:spacing w:after="0" w:line="240" w:lineRule="auto"/>
              <w:jc w:val="right"/>
              <w:rPr>
                <w:rFonts w:ascii="Calibri" w:hAnsi="Calibri" w:eastAsia="Times New Roman" w:cs="Calibri"/>
                <w:color w:val="000000"/>
              </w:rPr>
            </w:pPr>
          </w:p>
        </w:tc>
        <w:tc>
          <w:tcPr>
            <w:tcW w:w="884" w:type="dxa"/>
            <w:shd w:val="clear" w:color="auto" w:fill="auto"/>
            <w:tcMar/>
          </w:tcPr>
          <w:p w:rsidRPr="00D02A76" w:rsidR="00CA3717" w:rsidP="00236349" w:rsidRDefault="00CA3717" w14:paraId="5BB9EAEF" w14:textId="5A6A3859">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CA3717" w:rsidP="00236349" w:rsidRDefault="00CA3717" w14:paraId="0676C971"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8</w:t>
            </w:r>
          </w:p>
        </w:tc>
        <w:tc>
          <w:tcPr>
            <w:tcW w:w="2798" w:type="dxa"/>
            <w:shd w:val="clear" w:color="auto" w:fill="auto"/>
            <w:tcMar/>
            <w:hideMark/>
          </w:tcPr>
          <w:p w:rsidRPr="00D02A76" w:rsidR="00CA3717" w:rsidP="00236349" w:rsidRDefault="00CA3717" w14:paraId="161A95C5"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Data availability and assessment of countries’ capacity</w:t>
            </w:r>
          </w:p>
        </w:tc>
        <w:tc>
          <w:tcPr>
            <w:tcW w:w="7629" w:type="dxa"/>
            <w:shd w:val="clear" w:color="auto" w:fill="auto"/>
            <w:tcMar/>
          </w:tcPr>
          <w:p w:rsidRPr="00D02A76" w:rsidR="00CA3717" w:rsidP="00236349" w:rsidRDefault="00CA3717" w14:paraId="14F0765E" w14:textId="65AC0325">
            <w:pPr>
              <w:spacing w:after="0" w:line="240" w:lineRule="auto"/>
              <w:rPr>
                <w:rFonts w:ascii="Calibri" w:hAnsi="Calibri" w:eastAsia="Times New Roman" w:cs="Calibri"/>
                <w:color w:val="000000"/>
              </w:rPr>
            </w:pPr>
          </w:p>
        </w:tc>
      </w:tr>
      <w:tr w:rsidRPr="00D02A76" w:rsidR="00CA3717" w:rsidTr="797D1E7E" w14:paraId="7A024590" w14:textId="77777777">
        <w:trPr>
          <w:trHeight w:val="300"/>
        </w:trPr>
        <w:tc>
          <w:tcPr>
            <w:tcW w:w="1325" w:type="dxa"/>
            <w:shd w:val="clear" w:color="auto" w:fill="auto"/>
            <w:tcMar/>
          </w:tcPr>
          <w:p w:rsidRPr="00D02A76" w:rsidR="00CA3717" w:rsidP="00236349" w:rsidRDefault="00CA3717" w14:paraId="1EF70277" w14:textId="077A1AE8">
            <w:pPr>
              <w:spacing w:after="0" w:line="240" w:lineRule="auto"/>
              <w:jc w:val="right"/>
              <w:rPr>
                <w:rFonts w:ascii="Calibri" w:hAnsi="Calibri" w:eastAsia="Times New Roman" w:cs="Calibri"/>
                <w:color w:val="000000"/>
              </w:rPr>
            </w:pPr>
          </w:p>
        </w:tc>
        <w:tc>
          <w:tcPr>
            <w:tcW w:w="884" w:type="dxa"/>
            <w:shd w:val="clear" w:color="auto" w:fill="auto"/>
            <w:tcMar/>
          </w:tcPr>
          <w:p w:rsidRPr="00D02A76" w:rsidR="00CA3717" w:rsidP="00236349" w:rsidRDefault="00CA3717" w14:paraId="05264050" w14:textId="0B34E677">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CA3717" w:rsidP="00236349" w:rsidRDefault="00CA3717" w14:paraId="277DEF91"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9</w:t>
            </w:r>
          </w:p>
        </w:tc>
        <w:tc>
          <w:tcPr>
            <w:tcW w:w="2798" w:type="dxa"/>
            <w:shd w:val="clear" w:color="auto" w:fill="auto"/>
            <w:tcMar/>
            <w:hideMark/>
          </w:tcPr>
          <w:p w:rsidRPr="00D02A76" w:rsidR="00CA3717" w:rsidP="00236349" w:rsidRDefault="00CA3717" w14:paraId="255C517D"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Expected time of release</w:t>
            </w:r>
          </w:p>
        </w:tc>
        <w:tc>
          <w:tcPr>
            <w:tcW w:w="7629" w:type="dxa"/>
            <w:shd w:val="clear" w:color="auto" w:fill="auto"/>
            <w:tcMar/>
          </w:tcPr>
          <w:p w:rsidRPr="00D02A76" w:rsidR="00CA3717" w:rsidP="00236349" w:rsidRDefault="00CA3717" w14:paraId="61AEEAA5" w14:textId="1301A14C">
            <w:pPr>
              <w:spacing w:after="0" w:line="240" w:lineRule="auto"/>
              <w:rPr>
                <w:rFonts w:ascii="Calibri" w:hAnsi="Calibri" w:eastAsia="Times New Roman" w:cs="Calibri"/>
                <w:color w:val="000000"/>
              </w:rPr>
            </w:pPr>
          </w:p>
        </w:tc>
      </w:tr>
      <w:tr w:rsidRPr="00D02A76" w:rsidR="00CA3717" w:rsidTr="797D1E7E" w14:paraId="7B9A1713" w14:textId="77777777">
        <w:trPr>
          <w:trHeight w:val="300"/>
        </w:trPr>
        <w:tc>
          <w:tcPr>
            <w:tcW w:w="1325" w:type="dxa"/>
            <w:shd w:val="clear" w:color="auto" w:fill="auto"/>
            <w:tcMar/>
          </w:tcPr>
          <w:p w:rsidRPr="00D02A76" w:rsidR="00CA3717" w:rsidP="00236349" w:rsidRDefault="00CA3717" w14:paraId="443396FB" w14:textId="70E62BDD">
            <w:pPr>
              <w:spacing w:after="0" w:line="240" w:lineRule="auto"/>
              <w:jc w:val="right"/>
              <w:rPr>
                <w:rFonts w:ascii="Calibri" w:hAnsi="Calibri" w:eastAsia="Times New Roman" w:cs="Calibri"/>
                <w:color w:val="000000"/>
              </w:rPr>
            </w:pPr>
          </w:p>
        </w:tc>
        <w:tc>
          <w:tcPr>
            <w:tcW w:w="884" w:type="dxa"/>
            <w:shd w:val="clear" w:color="auto" w:fill="auto"/>
            <w:tcMar/>
          </w:tcPr>
          <w:p w:rsidRPr="00D02A76" w:rsidR="00CA3717" w:rsidP="00236349" w:rsidRDefault="00CA3717" w14:paraId="0A33E3CB" w14:textId="7266E82E">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CA3717" w:rsidP="00236349" w:rsidRDefault="00CA3717" w14:paraId="03B6969A"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10</w:t>
            </w:r>
          </w:p>
        </w:tc>
        <w:tc>
          <w:tcPr>
            <w:tcW w:w="2798" w:type="dxa"/>
            <w:shd w:val="clear" w:color="auto" w:fill="auto"/>
            <w:tcMar/>
            <w:hideMark/>
          </w:tcPr>
          <w:p w:rsidRPr="00D02A76" w:rsidR="00CA3717" w:rsidP="00236349" w:rsidRDefault="00CA3717" w14:paraId="0EBC39BC"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Data source</w:t>
            </w:r>
          </w:p>
        </w:tc>
        <w:tc>
          <w:tcPr>
            <w:tcW w:w="7629" w:type="dxa"/>
            <w:shd w:val="clear" w:color="auto" w:fill="auto"/>
            <w:tcMar/>
          </w:tcPr>
          <w:p w:rsidR="00CA3717" w:rsidP="797D1E7E" w:rsidRDefault="00621663" w14:paraId="19DD98BF" w14:textId="15C19E00">
            <w:pPr>
              <w:pStyle w:val="Normal"/>
              <w:bidi w:val="0"/>
              <w:spacing w:before="0" w:beforeAutospacing="off" w:after="0" w:afterAutospacing="off" w:line="240" w:lineRule="auto"/>
              <w:ind w:left="0" w:right="0"/>
              <w:jc w:val="left"/>
              <w:rPr>
                <w:rFonts w:ascii="Calibri" w:hAnsi="Calibri" w:eastAsia="Times New Roman" w:cs="Calibri"/>
                <w:color w:val="000000" w:themeColor="text1" w:themeTint="FF" w:themeShade="FF"/>
              </w:rPr>
            </w:pPr>
            <w:r w:rsidRPr="797D1E7E" w:rsidR="00621663">
              <w:rPr>
                <w:rFonts w:ascii="Calibri" w:hAnsi="Calibri" w:eastAsia="Times New Roman" w:cs="Calibri"/>
                <w:color w:val="000000" w:themeColor="text1" w:themeTint="FF" w:themeShade="FF"/>
              </w:rPr>
              <w:t>Global SDG Indicators Database</w:t>
            </w:r>
            <w:r w:rsidRPr="797D1E7E" w:rsidR="00117DB6">
              <w:rPr>
                <w:rFonts w:ascii="Calibri" w:hAnsi="Calibri" w:eastAsia="Times New Roman" w:cs="Calibri"/>
                <w:color w:val="000000" w:themeColor="text1" w:themeTint="FF" w:themeShade="FF"/>
              </w:rPr>
              <w:t xml:space="preserve">, </w:t>
            </w:r>
            <w:hyperlink r:id="Rdfdf1158eeea48a7">
              <w:r w:rsidRPr="797D1E7E" w:rsidR="00117DB6">
                <w:rPr>
                  <w:rFonts w:ascii="Calibri" w:hAnsi="Calibri" w:eastAsia="Times New Roman" w:cs="Calibri"/>
                  <w:color w:val="000000" w:themeColor="text1" w:themeTint="FF" w:themeShade="FF"/>
                </w:rPr>
                <w:t>https://unstats.un.org/sdgs/indicators/database/</w:t>
              </w:r>
            </w:hyperlink>
            <w:r w:rsidRPr="797D1E7E" w:rsidR="27C34672">
              <w:rPr>
                <w:rFonts w:ascii="Calibri" w:hAnsi="Calibri" w:eastAsia="Times New Roman" w:cs="Calibri"/>
                <w:color w:val="000000" w:themeColor="text1" w:themeTint="FF" w:themeShade="FF"/>
              </w:rPr>
              <w:t xml:space="preserve">, </w:t>
            </w:r>
            <w:r w:rsidRPr="797D1E7E" w:rsidR="27C34672">
              <w:rPr>
                <w:rFonts w:ascii="Calibri" w:hAnsi="Calibri" w:eastAsia="Times New Roman" w:cs="Calibri"/>
                <w:color w:val="000000" w:themeColor="text1" w:themeTint="FF" w:themeShade="FF"/>
              </w:rPr>
              <w:t>Data and metadata extracted on 26 July 2021.</w:t>
            </w:r>
          </w:p>
          <w:p w:rsidRPr="00D02A76" w:rsidR="00117DB6" w:rsidP="797D1E7E" w:rsidRDefault="009A09E5" w14:paraId="65FFA614" w14:textId="0783D3A3">
            <w:pPr>
              <w:pStyle w:val="Normal"/>
              <w:bidi w:val="0"/>
              <w:spacing w:before="0" w:beforeAutospacing="off" w:after="0" w:afterAutospacing="off" w:line="240" w:lineRule="auto"/>
              <w:ind w:left="0" w:right="0"/>
              <w:jc w:val="left"/>
              <w:rPr>
                <w:rFonts w:ascii="Calibri" w:hAnsi="Calibri" w:eastAsia="Times New Roman" w:cs="Calibri"/>
                <w:color w:val="000000" w:themeColor="text1" w:themeTint="FF" w:themeShade="FF"/>
              </w:rPr>
            </w:pPr>
            <w:r w:rsidRPr="797D1E7E" w:rsidR="009A09E5">
              <w:rPr>
                <w:rFonts w:ascii="Calibri" w:hAnsi="Calibri" w:eastAsia="Times New Roman" w:cs="Calibri"/>
                <w:color w:val="000000" w:themeColor="text1" w:themeTint="FF" w:themeShade="FF"/>
              </w:rPr>
              <w:t>UNESCO Institute for Statistics, http://uis.unesco.org</w:t>
            </w:r>
          </w:p>
        </w:tc>
      </w:tr>
    </w:tbl>
    <w:p w:rsidR="00516DC3" w:rsidRDefault="00516DC3" w14:paraId="0BF8781C" w14:textId="77777777"/>
    <w:sectPr w:rsidR="00516DC3" w:rsidSect="00CA371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D34D5F"/>
    <w:multiLevelType w:val="hybridMultilevel"/>
    <w:tmpl w:val="1324A9E2"/>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17"/>
    <w:rsid w:val="000830C3"/>
    <w:rsid w:val="00117DB6"/>
    <w:rsid w:val="00151909"/>
    <w:rsid w:val="001C7F7D"/>
    <w:rsid w:val="001E4053"/>
    <w:rsid w:val="0029376A"/>
    <w:rsid w:val="002D07A2"/>
    <w:rsid w:val="00452F65"/>
    <w:rsid w:val="00516DC3"/>
    <w:rsid w:val="00556BD7"/>
    <w:rsid w:val="00621663"/>
    <w:rsid w:val="00623979"/>
    <w:rsid w:val="00656345"/>
    <w:rsid w:val="00740906"/>
    <w:rsid w:val="008370F8"/>
    <w:rsid w:val="009A09E5"/>
    <w:rsid w:val="00A608C6"/>
    <w:rsid w:val="00A6233D"/>
    <w:rsid w:val="00A7148B"/>
    <w:rsid w:val="00AA16DA"/>
    <w:rsid w:val="00AB5130"/>
    <w:rsid w:val="00AC2BC7"/>
    <w:rsid w:val="00AF4F32"/>
    <w:rsid w:val="00BE0176"/>
    <w:rsid w:val="00BE58A5"/>
    <w:rsid w:val="00C2696A"/>
    <w:rsid w:val="00CA3717"/>
    <w:rsid w:val="00CA73DA"/>
    <w:rsid w:val="00D62B5D"/>
    <w:rsid w:val="00DE6113"/>
    <w:rsid w:val="00DE61C4"/>
    <w:rsid w:val="00E119D5"/>
    <w:rsid w:val="00E90200"/>
    <w:rsid w:val="00EE6001"/>
    <w:rsid w:val="00FF6BB7"/>
    <w:rsid w:val="10B8730E"/>
    <w:rsid w:val="27C34672"/>
    <w:rsid w:val="6B19FA39"/>
    <w:rsid w:val="797D1E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1B08"/>
  <w15:chartTrackingRefBased/>
  <w15:docId w15:val="{29186E83-F454-457F-8756-5BFC90D47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3717"/>
    <w:rPr>
      <w:rFonts w:eastAsiaTheme="minorHAnsi"/>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56345"/>
    <w:pPr>
      <w:ind w:left="720"/>
      <w:contextualSpacing/>
    </w:pPr>
  </w:style>
  <w:style w:type="paragraph" w:styleId="Default" w:customStyle="1">
    <w:name w:val="Default"/>
    <w:rsid w:val="0015190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https://unstats.un.org/sdgs/indicators/database/" TargetMode="External" Id="Rdfdf1158eeea48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6317E4A2-B016-406D-9D41-4B37DD1CA045}"/>
</file>

<file path=customXml/itemProps2.xml><?xml version="1.0" encoding="utf-8"?>
<ds:datastoreItem xmlns:ds="http://schemas.openxmlformats.org/officeDocument/2006/customXml" ds:itemID="{56D14E07-C49C-4C12-AD0E-BDC72DBC766E}"/>
</file>

<file path=customXml/itemProps3.xml><?xml version="1.0" encoding="utf-8"?>
<ds:datastoreItem xmlns:ds="http://schemas.openxmlformats.org/officeDocument/2006/customXml" ds:itemID="{8088B42B-548E-4893-96D4-36A03F17633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Lingyan Hu</dc:creator>
  <keywords/>
  <dc:description/>
  <lastModifiedBy>Lingyan Hu</lastModifiedBy>
  <revision>35</revision>
  <dcterms:created xsi:type="dcterms:W3CDTF">2021-08-09T14:24:00.0000000Z</dcterms:created>
  <dcterms:modified xsi:type="dcterms:W3CDTF">2021-08-11T13:14:28.7834248Z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