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249" w:lineRule="auto" w:before="109"/>
      </w:pPr>
      <w:bookmarkStart w:name="Power and decision-making" w:id="1"/>
      <w:bookmarkEnd w:id="1"/>
      <w:r>
        <w:rPr/>
      </w:r>
      <w:r>
        <w:rPr>
          <w:color w:val="212121"/>
          <w:spacing w:val="-12"/>
        </w:rPr>
        <w:t>Women </w:t>
      </w:r>
      <w:r>
        <w:rPr>
          <w:color w:val="212121"/>
          <w:spacing w:val="-8"/>
        </w:rPr>
        <w:t>in</w:t>
      </w:r>
      <w:r>
        <w:rPr>
          <w:color w:val="212121"/>
          <w:spacing w:val="-45"/>
        </w:rPr>
        <w:t> </w:t>
      </w:r>
      <w:r>
        <w:rPr>
          <w:color w:val="212121"/>
          <w:spacing w:val="-17"/>
        </w:rPr>
        <w:t>managerial </w:t>
      </w:r>
      <w:r>
        <w:rPr>
          <w:color w:val="212121"/>
          <w:spacing w:val="-16"/>
        </w:rPr>
        <w:t>positions</w:t>
      </w:r>
    </w:p>
    <w:p>
      <w:pPr>
        <w:pStyle w:val="Heading2"/>
        <w:spacing w:before="329"/>
      </w:pPr>
      <w:r>
        <w:rPr>
          <w:color w:val="212121"/>
          <w:spacing w:val="-11"/>
        </w:rPr>
        <w:t>Key</w:t>
      </w:r>
      <w:r>
        <w:rPr>
          <w:color w:val="212121"/>
          <w:spacing w:val="-30"/>
        </w:rPr>
        <w:t> </w:t>
      </w:r>
      <w:r>
        <w:rPr>
          <w:color w:val="212121"/>
          <w:spacing w:val="-16"/>
        </w:rPr>
        <w:t>points</w:t>
      </w:r>
    </w:p>
    <w:p>
      <w:pPr>
        <w:pStyle w:val="BodyText"/>
        <w:spacing w:before="10"/>
        <w:rPr>
          <w:sz w:val="25"/>
        </w:rPr>
      </w:pPr>
    </w:p>
    <w:p>
      <w:pPr>
        <w:pStyle w:val="BodyText"/>
        <w:spacing w:line="340" w:lineRule="auto" w:before="97"/>
        <w:ind w:left="124" w:right="457" w:firstLine="195"/>
        <w:jc w:val="both"/>
      </w:pPr>
      <w:r>
        <w:rPr/>
        <w:pict>
          <v:shape style="position:absolute;margin-left:69.25pt;margin-top:10.667871pt;width:3pt;height:3pt;mso-position-horizontal-relative:page;mso-position-vertical-relative:paragraph;z-index:-15910400" coordorigin="1385,213" coordsize="60,60" path="m1445,243l1436,221,1415,213,1394,221,1385,243,1394,266,1415,273,1436,266,1445,243xe" filled="false" stroked="true" strokeweight=".75pt" strokecolor="#212121">
            <v:path arrowok="t"/>
            <v:stroke dashstyle="solid"/>
            <w10:wrap type="none"/>
          </v:shape>
        </w:pict>
      </w:r>
      <w:r>
        <w:rPr>
          <w:color w:val="212121"/>
        </w:rPr>
        <w:t>Although higher proportions of women in decision-making roles in the private sector has a positive correlation to superior corporate profitability, the proportion of women in managerial positions remains low in both the public and private sectors.</w:t>
      </w:r>
    </w:p>
    <w:p>
      <w:pPr>
        <w:pStyle w:val="BodyText"/>
        <w:spacing w:line="340" w:lineRule="auto" w:before="153"/>
        <w:ind w:left="124" w:right="394" w:firstLine="195"/>
      </w:pPr>
      <w:r>
        <w:rPr/>
        <w:pict>
          <v:shape style="position:absolute;margin-left:69.25pt;margin-top:13.467871pt;width:3pt;height:3pt;mso-position-horizontal-relative:page;mso-position-vertical-relative:paragraph;z-index:-15909888" coordorigin="1385,269" coordsize="60,60" path="m1445,299l1436,277,1415,269,1394,277,1385,299,1394,322,1415,329,1436,322,1445,299xe" filled="false" stroked="true" strokeweight=".75pt" strokecolor="#212121">
            <v:path arrowok="t"/>
            <v:stroke dashstyle="solid"/>
            <w10:wrap type="none"/>
          </v:shape>
        </w:pict>
      </w:r>
      <w:r>
        <w:rPr>
          <w:color w:val="212121"/>
        </w:rPr>
        <w:t>Globally, women held only 28% of managerial positions in 2019, with some regional variations, and in countries in Northern Africa and Western Asia and Central and Southern  Asia the proportion barely reached 13%, a statistic that has not changed significantly over the past 20</w:t>
      </w:r>
      <w:r>
        <w:rPr>
          <w:color w:val="212121"/>
          <w:spacing w:val="2"/>
        </w:rPr>
        <w:t> </w:t>
      </w:r>
      <w:r>
        <w:rPr>
          <w:color w:val="212121"/>
        </w:rPr>
        <w:t>years.</w:t>
      </w:r>
    </w:p>
    <w:p>
      <w:pPr>
        <w:pStyle w:val="BodyText"/>
        <w:spacing w:line="340" w:lineRule="auto" w:before="153"/>
        <w:ind w:left="124" w:firstLine="195"/>
      </w:pPr>
      <w:r>
        <w:rPr/>
        <w:pict>
          <v:shape style="position:absolute;margin-left:69.25pt;margin-top:13.467871pt;width:3pt;height:3pt;mso-position-horizontal-relative:page;mso-position-vertical-relative:paragraph;z-index:-15909376" coordorigin="1385,269" coordsize="60,60" path="m1445,299l1436,277,1415,269,1394,277,1385,299,1394,322,1415,329,1436,322,1445,299xe" filled="false" stroked="true" strokeweight=".75pt" strokecolor="#212121">
            <v:path arrowok="t"/>
            <v:stroke dashstyle="solid"/>
            <w10:wrap type="none"/>
          </v:shape>
        </w:pict>
      </w:r>
      <w:r>
        <w:rPr>
          <w:color w:val="212121"/>
        </w:rPr>
        <w:t>Since 2000, while the proportion of women in managerial positions has increased in most regions, the rate of improvement is slight.</w:t>
      </w:r>
    </w:p>
    <w:p>
      <w:pPr>
        <w:pStyle w:val="BodyText"/>
        <w:spacing w:line="340" w:lineRule="auto" w:before="151"/>
        <w:ind w:left="124" w:right="293" w:firstLine="195"/>
      </w:pPr>
      <w:r>
        <w:rPr/>
        <w:pict>
          <v:shape style="position:absolute;margin-left:69.25pt;margin-top:13.367871pt;width:3pt;height:3pt;mso-position-horizontal-relative:page;mso-position-vertical-relative:paragraph;z-index:-15908864" coordorigin="1385,267" coordsize="60,60" path="m1445,297l1436,275,1415,267,1394,275,1385,297,1394,320,1415,327,1436,320,1445,297xe" filled="false" stroked="true" strokeweight=".75pt" strokecolor="#212121">
            <v:path arrowok="t"/>
            <v:stroke dashstyle="solid"/>
            <w10:wrap type="none"/>
          </v:shape>
        </w:pict>
      </w:r>
      <w:r>
        <w:rPr>
          <w:color w:val="212121"/>
        </w:rPr>
        <w:t>The underrepresentation of women in management positions is even more visible at the higher levels of decision-making: 48% of companies surveyed by the International Labour Organization (ILO) in 20181 had at least one woman in senior management, but only 31% had women in top executive</w:t>
      </w:r>
      <w:r>
        <w:rPr>
          <w:color w:val="212121"/>
          <w:spacing w:val="5"/>
        </w:rPr>
        <w:t> </w:t>
      </w:r>
      <w:r>
        <w:rPr>
          <w:color w:val="212121"/>
        </w:rPr>
        <w:t>positions.</w:t>
      </w:r>
    </w:p>
    <w:p>
      <w:pPr>
        <w:pStyle w:val="BodyText"/>
        <w:spacing w:line="340" w:lineRule="auto" w:before="153"/>
        <w:ind w:left="124" w:right="394" w:firstLine="195"/>
      </w:pPr>
      <w:r>
        <w:rPr/>
        <w:pict>
          <v:shape style="position:absolute;margin-left:69.25pt;margin-top:13.467871pt;width:3pt;height:3pt;mso-position-horizontal-relative:page;mso-position-vertical-relative:paragraph;z-index:-15908352" coordorigin="1385,269" coordsize="60,60" path="m1445,299l1436,277,1415,269,1394,277,1385,299,1394,322,1415,329,1436,322,1445,299xe" filled="false" stroked="true" strokeweight=".75pt" strokecolor="#212121">
            <v:path arrowok="t"/>
            <v:stroke dashstyle="solid"/>
            <w10:wrap type="none"/>
          </v:shape>
        </w:pict>
      </w:r>
      <w:r>
        <w:rPr>
          <w:color w:val="212121"/>
        </w:rPr>
        <w:t>Women CEOs or top managers are even more scarce: only 18% of enterprises surveyed by the World Bank had a woman CEO.</w:t>
      </w:r>
    </w:p>
    <w:p>
      <w:pPr>
        <w:pStyle w:val="BodyText"/>
        <w:spacing w:line="340" w:lineRule="auto" w:before="152"/>
        <w:ind w:left="124" w:right="243" w:firstLine="195"/>
        <w:jc w:val="both"/>
      </w:pPr>
      <w:r>
        <w:rPr/>
        <w:pict>
          <v:shape style="position:absolute;margin-left:69.25pt;margin-top:13.417871pt;width:3pt;height:3pt;mso-position-horizontal-relative:page;mso-position-vertical-relative:paragraph;z-index:-15907840" coordorigin="1385,268" coordsize="60,60" path="m1445,298l1436,276,1415,268,1394,276,1385,298,1394,321,1415,328,1436,321,1445,298xe" filled="false" stroked="true" strokeweight=".75pt" strokecolor="#212121">
            <v:path arrowok="t"/>
            <v:stroke dashstyle="solid"/>
            <w10:wrap type="none"/>
          </v:shape>
        </w:pict>
      </w:r>
      <w:r>
        <w:rPr>
          <w:color w:val="212121"/>
        </w:rPr>
        <w:t>Among Fortune 500 corporations, women accounted for only 7.4%, or 37 out of 500 CEOs. Despite the minor improvement from 1998, when only 1 out of the top 500 corporations had a female CEO, the gender gap at the level of top corporate decision makers remains significant.</w:t>
      </w:r>
    </w:p>
    <w:p>
      <w:pPr>
        <w:pStyle w:val="BodyText"/>
        <w:spacing w:line="340" w:lineRule="auto" w:before="152"/>
        <w:ind w:left="124" w:right="507" w:firstLine="195"/>
        <w:jc w:val="both"/>
      </w:pPr>
      <w:r>
        <w:rPr/>
        <w:pict>
          <v:shape style="position:absolute;margin-left:69.25pt;margin-top:13.417871pt;width:3pt;height:3pt;mso-position-horizontal-relative:page;mso-position-vertical-relative:paragraph;z-index:-15907328" coordorigin="1385,268" coordsize="60,60" path="m1445,298l1436,276,1415,268,1394,276,1385,298,1394,321,1415,328,1436,321,1445,298xe" filled="false" stroked="true" strokeweight=".75pt" strokecolor="#212121">
            <v:path arrowok="t"/>
            <v:stroke dashstyle="solid"/>
            <w10:wrap type="none"/>
          </v:shape>
        </w:pict>
      </w:r>
      <w:r>
        <w:rPr>
          <w:color w:val="212121"/>
        </w:rPr>
        <w:t>The bigger the enterprise, the lower the chances of it having a woman CEO: over 26% of small enterprises surveyed by ILO in 2018 (employing 2 to 100 workers) had female CEOs, compared with 16% of large enterprises (employing more than 250 workers).</w:t>
      </w:r>
    </w:p>
    <w:p>
      <w:pPr>
        <w:pStyle w:val="BodyText"/>
        <w:spacing w:line="340" w:lineRule="auto" w:before="153"/>
        <w:ind w:left="124" w:right="133" w:firstLine="195"/>
      </w:pPr>
      <w:r>
        <w:rPr/>
        <w:pict>
          <v:shape style="position:absolute;margin-left:69.25pt;margin-top:13.467871pt;width:3pt;height:3pt;mso-position-horizontal-relative:page;mso-position-vertical-relative:paragraph;z-index:-15906816" coordorigin="1385,269" coordsize="60,60" path="m1445,299l1436,277,1415,269,1394,277,1385,299,1394,322,1415,329,1436,322,1445,299xe" filled="false" stroked="true" strokeweight=".75pt" strokecolor="#212121">
            <v:path arrowok="t"/>
            <v:stroke dashstyle="solid"/>
            <w10:wrap type="none"/>
          </v:shape>
        </w:pict>
      </w:r>
      <w:r>
        <w:rPr>
          <w:color w:val="212121"/>
        </w:rPr>
        <w:t>Enterprises with more women in their workforce are more likely to have a female CEO. Of    the enterprises surveyed by ILO in 2018, enterprises with a gender balanced workforce were 15% more likely to have a female CEO; and enterprises with a predominantly female workforce (between 61% and 100%) were 22% more likely to have a female</w:t>
      </w:r>
      <w:r>
        <w:rPr>
          <w:color w:val="212121"/>
          <w:spacing w:val="40"/>
        </w:rPr>
        <w:t> </w:t>
      </w:r>
      <w:r>
        <w:rPr>
          <w:color w:val="212121"/>
        </w:rPr>
        <w:t>CEO.</w:t>
      </w:r>
    </w:p>
    <w:p>
      <w:pPr>
        <w:spacing w:after="0" w:line="340" w:lineRule="auto"/>
        <w:sectPr>
          <w:headerReference w:type="default" r:id="rId5"/>
          <w:footerReference w:type="default" r:id="rId6"/>
          <w:type w:val="continuous"/>
          <w:pgSz w:w="12240" w:h="15840"/>
          <w:pgMar w:header="99" w:footer="60" w:top="400" w:bottom="260" w:left="1260" w:right="1280"/>
        </w:sectPr>
      </w:pPr>
    </w:p>
    <w:p>
      <w:pPr>
        <w:pStyle w:val="BodyText"/>
        <w:spacing w:before="11"/>
        <w:rPr>
          <w:sz w:val="11"/>
        </w:rPr>
      </w:pPr>
    </w:p>
    <w:p>
      <w:pPr>
        <w:pStyle w:val="BodyText"/>
        <w:ind w:left="125"/>
        <w:rPr>
          <w:sz w:val="20"/>
        </w:rPr>
      </w:pPr>
      <w:r>
        <w:rPr>
          <w:sz w:val="20"/>
        </w:rPr>
        <w:drawing>
          <wp:inline distT="0" distB="0" distL="0" distR="0">
            <wp:extent cx="4797932" cy="7196899"/>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4797932" cy="7196899"/>
                    </a:xfrm>
                    <a:prstGeom prst="rect">
                      <a:avLst/>
                    </a:prstGeom>
                  </pic:spPr>
                </pic:pic>
              </a:graphicData>
            </a:graphic>
          </wp:inline>
        </w:drawing>
      </w:r>
      <w:r>
        <w:rPr>
          <w:sz w:val="20"/>
        </w:rPr>
      </w:r>
    </w:p>
    <w:p>
      <w:pPr>
        <w:pStyle w:val="BodyText"/>
        <w:rPr>
          <w:sz w:val="20"/>
        </w:rPr>
      </w:pPr>
    </w:p>
    <w:p>
      <w:pPr>
        <w:pStyle w:val="BodyText"/>
        <w:spacing w:before="6"/>
        <w:rPr>
          <w:sz w:val="17"/>
        </w:rPr>
      </w:pPr>
      <w:r>
        <w:rPr/>
        <w:pict>
          <v:rect style="position:absolute;margin-left:69.25pt;margin-top:12.049976pt;width:473.251pt;height:.751pt;mso-position-horizontal-relative:page;mso-position-vertical-relative:paragraph;z-index:-15724544;mso-wrap-distance-left:0;mso-wrap-distance-right:0" filled="true" fillcolor="#e0e0e0" stroked="false">
            <v:fill type="solid"/>
            <w10:wrap type="topAndBottom"/>
          </v:rect>
        </w:pict>
      </w:r>
    </w:p>
    <w:p>
      <w:pPr>
        <w:pStyle w:val="BodyText"/>
        <w:rPr>
          <w:sz w:val="20"/>
        </w:rPr>
      </w:pPr>
    </w:p>
    <w:p>
      <w:pPr>
        <w:pStyle w:val="BodyText"/>
        <w:rPr>
          <w:sz w:val="20"/>
        </w:rPr>
      </w:pPr>
    </w:p>
    <w:p>
      <w:pPr>
        <w:pStyle w:val="BodyText"/>
        <w:spacing w:before="3"/>
        <w:rPr>
          <w:sz w:val="28"/>
        </w:rPr>
      </w:pPr>
    </w:p>
    <w:p>
      <w:pPr>
        <w:pStyle w:val="Heading2"/>
      </w:pPr>
      <w:r>
        <w:rPr>
          <w:color w:val="212121"/>
        </w:rPr>
        <w:t>Background</w:t>
      </w:r>
    </w:p>
    <w:p>
      <w:pPr>
        <w:pStyle w:val="BodyText"/>
        <w:spacing w:line="340" w:lineRule="auto" w:before="395"/>
        <w:ind w:left="125"/>
      </w:pPr>
      <w:r>
        <w:rPr>
          <w:color w:val="212121"/>
        </w:rPr>
        <w:t>Gender diversity in managerial positions, as evidenced by greater representation of women in senior roles, as CEOs and senior-level managers, is not just about human rights and social</w:t>
      </w:r>
    </w:p>
    <w:p>
      <w:pPr>
        <w:spacing w:after="0" w:line="340" w:lineRule="auto"/>
        <w:sectPr>
          <w:pgSz w:w="12240" w:h="15840"/>
          <w:pgMar w:header="99" w:footer="60" w:top="400" w:bottom="260" w:left="1260" w:right="1280"/>
        </w:sectPr>
      </w:pPr>
    </w:p>
    <w:p>
      <w:pPr>
        <w:pStyle w:val="BodyText"/>
        <w:spacing w:line="340" w:lineRule="auto" w:before="126"/>
        <w:ind w:left="125" w:right="394"/>
      </w:pPr>
      <w:r>
        <w:rPr>
          <w:color w:val="212121"/>
        </w:rPr>
        <w:t>equality. A number of studies have shown that a higher proportion of women in decision- making roles in the private sector has had a positive effect, boosting stock market returns and creating superior corporate profitability.2</w:t>
      </w:r>
    </w:p>
    <w:p>
      <w:pPr>
        <w:pStyle w:val="BodyText"/>
        <w:spacing w:before="9"/>
        <w:rPr>
          <w:sz w:val="32"/>
        </w:rPr>
      </w:pPr>
    </w:p>
    <w:p>
      <w:pPr>
        <w:pStyle w:val="BodyText"/>
        <w:spacing w:line="340" w:lineRule="auto" w:before="1"/>
        <w:ind w:left="125" w:right="293"/>
      </w:pPr>
      <w:r>
        <w:rPr>
          <w:color w:val="212121"/>
        </w:rPr>
        <w:t>A global survey of enterprises conducted by ILO in 2018 reaffirmed that company profits increase as a result of gender diversity and equality initiatives.3 Nevertheless, the proportion of women in managerial positions remains low in both the public and private sectors, and the number of women fall as they move up the corporate ladder towards the top executive   positions.</w:t>
      </w:r>
    </w:p>
    <w:p>
      <w:pPr>
        <w:spacing w:after="0" w:line="340" w:lineRule="auto"/>
        <w:sectPr>
          <w:pgSz w:w="12240" w:h="15840"/>
          <w:pgMar w:header="99" w:footer="60" w:top="400" w:bottom="260" w:left="1260" w:right="1280"/>
        </w:sectPr>
      </w:pPr>
    </w:p>
    <w:p>
      <w:pPr>
        <w:pStyle w:val="BodyText"/>
        <w:spacing w:before="11"/>
        <w:rPr>
          <w:sz w:val="11"/>
        </w:rPr>
      </w:pPr>
    </w:p>
    <w:p>
      <w:pPr>
        <w:pStyle w:val="BodyText"/>
        <w:ind w:left="125"/>
        <w:rPr>
          <w:sz w:val="20"/>
        </w:rPr>
      </w:pPr>
      <w:r>
        <w:rPr>
          <w:sz w:val="20"/>
        </w:rPr>
        <w:drawing>
          <wp:inline distT="0" distB="0" distL="0" distR="0">
            <wp:extent cx="4801668" cy="7192899"/>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4801668" cy="7192899"/>
                    </a:xfrm>
                    <a:prstGeom prst="rect">
                      <a:avLst/>
                    </a:prstGeom>
                  </pic:spPr>
                </pic:pic>
              </a:graphicData>
            </a:graphic>
          </wp:inline>
        </w:drawing>
      </w:r>
      <w:r>
        <w:rPr>
          <w:sz w:val="20"/>
        </w:rPr>
      </w:r>
    </w:p>
    <w:p>
      <w:pPr>
        <w:pStyle w:val="BodyText"/>
        <w:rPr>
          <w:sz w:val="20"/>
        </w:rPr>
      </w:pPr>
    </w:p>
    <w:p>
      <w:pPr>
        <w:pStyle w:val="BodyText"/>
        <w:spacing w:before="9"/>
        <w:rPr>
          <w:sz w:val="16"/>
        </w:rPr>
      </w:pPr>
      <w:r>
        <w:rPr/>
        <w:pict>
          <v:rect style="position:absolute;margin-left:69.25pt;margin-top:11.600977pt;width:473.251pt;height:.75pt;mso-position-horizontal-relative:page;mso-position-vertical-relative:paragraph;z-index:-15724032;mso-wrap-distance-left:0;mso-wrap-distance-right:0" filled="true" fillcolor="#e0e0e0" stroked="false">
            <v:fill type="solid"/>
            <w10:wrap type="topAndBottom"/>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Heading4"/>
        <w:spacing w:line="340" w:lineRule="auto"/>
      </w:pPr>
      <w:r>
        <w:rPr>
          <w:color w:val="212121"/>
        </w:rPr>
        <w:t>Women are less likely than men to be employed and if employed are less likely to hold managerial positions.</w:t>
      </w:r>
    </w:p>
    <w:p>
      <w:pPr>
        <w:pStyle w:val="BodyText"/>
        <w:spacing w:before="9"/>
        <w:rPr>
          <w:b/>
          <w:sz w:val="32"/>
        </w:rPr>
      </w:pPr>
    </w:p>
    <w:p>
      <w:pPr>
        <w:pStyle w:val="BodyText"/>
        <w:ind w:left="125"/>
      </w:pPr>
      <w:r>
        <w:rPr>
          <w:color w:val="212121"/>
        </w:rPr>
        <w:t>In 2019, on average, women comprised 39% of the </w:t>
      </w:r>
      <w:hyperlink r:id="rId9">
        <w:r>
          <w:rPr>
            <w:color w:val="1EADDB"/>
            <w:u w:val="single" w:color="1EADDB"/>
          </w:rPr>
          <w:t>workforce worldwide</w:t>
        </w:r>
      </w:hyperlink>
      <w:r>
        <w:rPr>
          <w:color w:val="212121"/>
        </w:rPr>
        <w:t>, but held only 28% of</w:t>
      </w:r>
    </w:p>
    <w:p>
      <w:pPr>
        <w:spacing w:after="0"/>
        <w:sectPr>
          <w:pgSz w:w="12240" w:h="15840"/>
          <w:pgMar w:header="99" w:footer="60" w:top="400" w:bottom="260" w:left="1260" w:right="1280"/>
        </w:sectPr>
      </w:pPr>
    </w:p>
    <w:p>
      <w:pPr>
        <w:pStyle w:val="BodyText"/>
        <w:spacing w:line="340" w:lineRule="auto" w:before="126"/>
        <w:ind w:left="125" w:right="293"/>
      </w:pPr>
      <w:r>
        <w:rPr>
          <w:color w:val="212121"/>
        </w:rPr>
        <w:t>managerial positions.4 In the three regions with the highest proportion of women in managerial positions, Latin America and the Caribbean, Australia and New Zealand and Europe and Northern America, women held 38% of managerial positions; in the two regions with the lowest proportion of women in managerial positions, Northern Africa and Western Asia and Central   and Southern Asia, women barely reached 13% of such positions – less than half the global average (see figure</w:t>
      </w:r>
      <w:r>
        <w:rPr>
          <w:color w:val="212121"/>
          <w:spacing w:val="4"/>
        </w:rPr>
        <w:t> </w:t>
      </w:r>
      <w:r>
        <w:rPr>
          <w:color w:val="212121"/>
        </w:rPr>
        <w:t>I).5</w:t>
      </w:r>
    </w:p>
    <w:p>
      <w:pPr>
        <w:pStyle w:val="BodyText"/>
        <w:spacing w:before="4"/>
        <w:rPr>
          <w:sz w:val="25"/>
        </w:rPr>
      </w:pPr>
      <w:r>
        <w:rPr/>
        <w:pict>
          <v:group style="position:absolute;margin-left:69.25pt;margin-top:16.571045pt;width:228pt;height:115.5pt;mso-position-horizontal-relative:page;mso-position-vertical-relative:paragraph;z-index:-15723520;mso-wrap-distance-left:0;mso-wrap-distance-right:0" coordorigin="1385,331" coordsize="4560,2310">
            <v:shape style="position:absolute;left:1385;top:331;width:4560;height:2310" coordorigin="1385,331" coordsize="4560,2310" path="m5945,331l1385,331,1385,2641,1415,2611,1415,361,5915,361,5945,331xe" filled="true" fillcolor="#9a9a9a" stroked="false">
              <v:path arrowok="t"/>
              <v:fill type="solid"/>
            </v:shape>
            <v:shape style="position:absolute;left:5915;top:331;width:30;height:2310" coordorigin="5915,331" coordsize="30,2310" path="m5945,331l5915,361,5915,2611,5945,2641,5945,331xe" filled="true" fillcolor="#ededed" stroked="false">
              <v:path arrowok="t"/>
              <v:fill type="solid"/>
            </v:shape>
            <v:shape style="position:absolute;left:1385;top:331;width:4560;height:2310" type="#_x0000_t202" filled="false" stroked="false">
              <v:textbox inset="0,0,0,0">
                <w:txbxContent>
                  <w:p>
                    <w:pPr>
                      <w:spacing w:line="280" w:lineRule="auto" w:before="123"/>
                      <w:ind w:left="30" w:right="158" w:firstLine="0"/>
                      <w:jc w:val="left"/>
                      <w:rPr>
                        <w:sz w:val="30"/>
                      </w:rPr>
                    </w:pPr>
                    <w:r>
                      <w:rPr>
                        <w:b/>
                        <w:color w:val="545454"/>
                        <w:sz w:val="30"/>
                      </w:rPr>
                      <w:t>Figure I: </w:t>
                    </w:r>
                    <w:r>
                      <w:rPr>
                        <w:color w:val="545454"/>
                        <w:sz w:val="30"/>
                      </w:rPr>
                      <w:t>Proportion of women in managerial positions, by region, 2019</w:t>
                    </w:r>
                  </w:p>
                  <w:p>
                    <w:pPr>
                      <w:spacing w:before="145"/>
                      <w:ind w:left="30" w:right="0" w:firstLine="0"/>
                      <w:jc w:val="left"/>
                      <w:rPr>
                        <w:b/>
                        <w:sz w:val="16"/>
                      </w:rPr>
                    </w:pPr>
                    <w:r>
                      <w:rPr>
                        <w:color w:val="FFFFFF"/>
                        <w:sz w:val="15"/>
                        <w:shd w:fill="C00000" w:color="auto" w:val="clear"/>
                      </w:rPr>
                      <w:t> 'null' is not an object </w:t>
                    </w:r>
                    <w:r>
                      <w:rPr>
                        <w:b/>
                        <w:position w:val="-4"/>
                        <w:sz w:val="16"/>
                        <w:shd w:fill="C00000" w:color="auto" w:val="clear"/>
                      </w:rPr>
                      <w:t>×</w:t>
                    </w:r>
                  </w:p>
                </w:txbxContent>
              </v:textbox>
              <w10:wrap type="none"/>
            </v:shape>
            <w10:wrap type="topAndBottom"/>
          </v:group>
        </w:pict>
      </w:r>
    </w:p>
    <w:p>
      <w:pPr>
        <w:pStyle w:val="BodyText"/>
        <w:rPr>
          <w:sz w:val="20"/>
        </w:rPr>
      </w:pPr>
    </w:p>
    <w:p>
      <w:pPr>
        <w:pStyle w:val="BodyText"/>
        <w:spacing w:before="4"/>
      </w:pPr>
      <w:r>
        <w:rPr/>
        <w:pict>
          <v:rect style="position:absolute;margin-left:69.25pt;margin-top:14.800977pt;width:1.5pt;height:.75pt;mso-position-horizontal-relative:page;mso-position-vertical-relative:paragraph;z-index:-15723008;mso-wrap-distance-left:0;mso-wrap-distance-right:0" filled="true" fillcolor="#e0e0e0" stroked="false">
            <v:fill type="solid"/>
            <w10:wrap type="topAndBottom"/>
          </v:rect>
        </w:pict>
      </w:r>
      <w:r>
        <w:rPr/>
        <w:pict>
          <v:rect style="position:absolute;margin-left:295.75pt;margin-top:14.800977pt;width:246.751pt;height:.75pt;mso-position-horizontal-relative:page;mso-position-vertical-relative:paragraph;z-index:-15722496;mso-wrap-distance-left:0;mso-wrap-distance-right:0" filled="true" fillcolor="#e0e0e0" stroked="false">
            <v:fill type="solid"/>
            <w10:wrap type="topAndBottom"/>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BodyText"/>
        <w:spacing w:line="340" w:lineRule="auto" w:before="97"/>
        <w:ind w:left="125" w:right="394"/>
      </w:pPr>
      <w:r>
        <w:rPr>
          <w:color w:val="212121"/>
        </w:rPr>
        <w:t>Since 2000, the proportion of women in managerial positions has increased in all regions, although their numbers remain disproportionately low and overall there has only been a slight improvement. In particular, female managers in countries in Central and Southern Asia and Northern Africa and Western Asia have remained in the minority over the last 20 years, with  the share of all managerial positions held by women at between only 9% and 13% (see figure II).</w:t>
      </w:r>
    </w:p>
    <w:p>
      <w:pPr>
        <w:pStyle w:val="BodyText"/>
        <w:spacing w:before="5"/>
        <w:rPr>
          <w:sz w:val="25"/>
        </w:rPr>
      </w:pPr>
      <w:r>
        <w:rPr/>
        <w:pict>
          <v:group style="position:absolute;margin-left:69.25pt;margin-top:16.58584pt;width:228pt;height:115.5pt;mso-position-horizontal-relative:page;mso-position-vertical-relative:paragraph;z-index:-15721984;mso-wrap-distance-left:0;mso-wrap-distance-right:0" coordorigin="1385,332" coordsize="4560,2310">
            <v:shape style="position:absolute;left:1385;top:331;width:4560;height:2310" coordorigin="1385,332" coordsize="4560,2310" path="m5945,332l1385,332,1385,2642,1415,2612,1415,362,5915,362,5945,332xe" filled="true" fillcolor="#9a9a9a" stroked="false">
              <v:path arrowok="t"/>
              <v:fill type="solid"/>
            </v:shape>
            <v:shape style="position:absolute;left:5915;top:331;width:30;height:2310" coordorigin="5915,332" coordsize="30,2310" path="m5945,332l5915,362,5915,2612,5945,2642,5945,332xe" filled="true" fillcolor="#ededed" stroked="false">
              <v:path arrowok="t"/>
              <v:fill type="solid"/>
            </v:shape>
            <v:shape style="position:absolute;left:1385;top:331;width:4560;height:2310" type="#_x0000_t202" filled="false" stroked="false">
              <v:textbox inset="0,0,0,0">
                <w:txbxContent>
                  <w:p>
                    <w:pPr>
                      <w:spacing w:line="280" w:lineRule="auto" w:before="123"/>
                      <w:ind w:left="30" w:right="75" w:firstLine="0"/>
                      <w:jc w:val="left"/>
                      <w:rPr>
                        <w:sz w:val="30"/>
                      </w:rPr>
                    </w:pPr>
                    <w:r>
                      <w:rPr>
                        <w:b/>
                        <w:color w:val="545454"/>
                        <w:sz w:val="30"/>
                      </w:rPr>
                      <w:t>Figure II: </w:t>
                    </w:r>
                    <w:r>
                      <w:rPr>
                        <w:color w:val="545454"/>
                        <w:sz w:val="30"/>
                      </w:rPr>
                      <w:t>Proportion of women in managerial positions by region: 2000–2019 (Percentage)</w:t>
                    </w:r>
                  </w:p>
                  <w:p>
                    <w:pPr>
                      <w:spacing w:before="145"/>
                      <w:ind w:left="30" w:right="0" w:firstLine="0"/>
                      <w:jc w:val="left"/>
                      <w:rPr>
                        <w:b/>
                        <w:sz w:val="16"/>
                      </w:rPr>
                    </w:pPr>
                    <w:r>
                      <w:rPr>
                        <w:color w:val="FFFFFF"/>
                        <w:sz w:val="15"/>
                        <w:shd w:fill="C00000" w:color="auto" w:val="clear"/>
                      </w:rPr>
                      <w:t> 'null' is not an object </w:t>
                    </w:r>
                    <w:r>
                      <w:rPr>
                        <w:b/>
                        <w:position w:val="-4"/>
                        <w:sz w:val="16"/>
                        <w:shd w:fill="C00000" w:color="auto" w:val="clear"/>
                      </w:rPr>
                      <w:t>×</w:t>
                    </w:r>
                  </w:p>
                </w:txbxContent>
              </v:textbox>
              <w10:wrap type="none"/>
            </v:shape>
            <w10:wrap type="topAndBottom"/>
          </v:group>
        </w:pict>
      </w:r>
    </w:p>
    <w:p>
      <w:pPr>
        <w:pStyle w:val="BodyText"/>
        <w:rPr>
          <w:sz w:val="20"/>
        </w:rPr>
      </w:pPr>
    </w:p>
    <w:p>
      <w:pPr>
        <w:pStyle w:val="BodyText"/>
        <w:spacing w:before="4"/>
      </w:pPr>
      <w:r>
        <w:rPr/>
        <w:pict>
          <v:rect style="position:absolute;margin-left:69.25pt;margin-top:14.799976pt;width:1.5pt;height:.751pt;mso-position-horizontal-relative:page;mso-position-vertical-relative:paragraph;z-index:-15721472;mso-wrap-distance-left:0;mso-wrap-distance-right:0" filled="true" fillcolor="#e0e0e0" stroked="false">
            <v:fill type="solid"/>
            <w10:wrap type="topAndBottom"/>
          </v:rect>
        </w:pict>
      </w:r>
      <w:r>
        <w:rPr/>
        <w:pict>
          <v:rect style="position:absolute;margin-left:295.75pt;margin-top:14.799976pt;width:246.751pt;height:.751pt;mso-position-horizontal-relative:page;mso-position-vertical-relative:paragraph;z-index:-15720960;mso-wrap-distance-left:0;mso-wrap-distance-right:0" filled="true" fillcolor="#e0e0e0" stroked="false">
            <v:fill type="solid"/>
            <w10:wrap type="topAndBottom"/>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Heading4"/>
        <w:spacing w:line="340" w:lineRule="auto"/>
        <w:ind w:right="301"/>
      </w:pPr>
      <w:r>
        <w:rPr>
          <w:color w:val="212121"/>
        </w:rPr>
        <w:t>More women are employed in junior management than in senior and middle    management positions, and the glass ceiling is more difficult to break through at the top echelons of</w:t>
      </w:r>
      <w:r>
        <w:rPr>
          <w:color w:val="212121"/>
          <w:spacing w:val="2"/>
        </w:rPr>
        <w:t> </w:t>
      </w:r>
      <w:r>
        <w:rPr>
          <w:color w:val="212121"/>
        </w:rPr>
        <w:t>management</w:t>
      </w:r>
    </w:p>
    <w:p>
      <w:pPr>
        <w:spacing w:after="0" w:line="340" w:lineRule="auto"/>
        <w:sectPr>
          <w:pgSz w:w="12240" w:h="15840"/>
          <w:pgMar w:header="99" w:footer="60" w:top="400" w:bottom="260" w:left="1260" w:right="1280"/>
        </w:sectPr>
      </w:pPr>
    </w:p>
    <w:p>
      <w:pPr>
        <w:pStyle w:val="BodyText"/>
        <w:spacing w:line="340" w:lineRule="auto" w:before="186"/>
        <w:ind w:left="125" w:right="394"/>
      </w:pPr>
      <w:r>
        <w:rPr>
          <w:color w:val="212121"/>
        </w:rPr>
        <w:t>In the majority of countries in the world, more women work in junior managerial positions than at the level of senior and middle management. In countries in Latin America and the  Caribbean, however, where the proportion of women managers tends to be the highest, there are some country variations in the proportion of women in top management positions, relative to their overall share in management (see figure</w:t>
      </w:r>
      <w:r>
        <w:rPr>
          <w:color w:val="212121"/>
          <w:spacing w:val="18"/>
        </w:rPr>
        <w:t> </w:t>
      </w:r>
      <w:r>
        <w:rPr>
          <w:color w:val="212121"/>
        </w:rPr>
        <w:t>III).</w:t>
      </w:r>
    </w:p>
    <w:p>
      <w:pPr>
        <w:pStyle w:val="BodyText"/>
        <w:spacing w:before="4"/>
        <w:rPr>
          <w:sz w:val="25"/>
        </w:rPr>
      </w:pPr>
      <w:r>
        <w:rPr/>
        <w:pict>
          <v:group style="position:absolute;margin-left:69.25pt;margin-top:16.532520pt;width:228pt;height:115.5pt;mso-position-horizontal-relative:page;mso-position-vertical-relative:paragraph;z-index:-15720448;mso-wrap-distance-left:0;mso-wrap-distance-right:0" coordorigin="1385,331" coordsize="4560,2310">
            <v:shape style="position:absolute;left:1385;top:330;width:4560;height:2310" coordorigin="1385,331" coordsize="4560,2310" path="m5945,331l1385,331,1385,2641,1415,2611,1415,361,5915,361,5945,331xe" filled="true" fillcolor="#9a9a9a" stroked="false">
              <v:path arrowok="t"/>
              <v:fill type="solid"/>
            </v:shape>
            <v:shape style="position:absolute;left:5915;top:330;width:30;height:2310" coordorigin="5915,331" coordsize="30,2310" path="m5945,331l5915,361,5915,2611,5945,2641,5945,331xe" filled="true" fillcolor="#ededed" stroked="false">
              <v:path arrowok="t"/>
              <v:fill type="solid"/>
            </v:shape>
            <v:shape style="position:absolute;left:1385;top:330;width:4560;height:2310" type="#_x0000_t202" filled="false" stroked="false">
              <v:textbox inset="0,0,0,0">
                <w:txbxContent>
                  <w:p>
                    <w:pPr>
                      <w:spacing w:line="280" w:lineRule="auto" w:before="123"/>
                      <w:ind w:left="30" w:right="92" w:firstLine="0"/>
                      <w:jc w:val="left"/>
                      <w:rPr>
                        <w:sz w:val="30"/>
                      </w:rPr>
                    </w:pPr>
                    <w:r>
                      <w:rPr>
                        <w:b/>
                        <w:color w:val="545454"/>
                        <w:sz w:val="30"/>
                      </w:rPr>
                      <w:t>Figure III: </w:t>
                    </w:r>
                    <w:r>
                      <w:rPr>
                        <w:color w:val="545454"/>
                        <w:sz w:val="30"/>
                      </w:rPr>
                      <w:t>Share of women in any management positions, by the share of women in senior and middle management positions only, 2000-2019 (latest</w:t>
                    </w:r>
                    <w:r>
                      <w:rPr>
                        <w:color w:val="545454"/>
                        <w:spacing w:val="-21"/>
                        <w:sz w:val="30"/>
                      </w:rPr>
                      <w:t> </w:t>
                    </w:r>
                    <w:r>
                      <w:rPr>
                        <w:color w:val="545454"/>
                        <w:sz w:val="30"/>
                      </w:rPr>
                      <w:t>available)</w:t>
                    </w:r>
                  </w:p>
                </w:txbxContent>
              </v:textbox>
              <w10:wrap type="none"/>
            </v:shape>
            <w10:wrap type="topAndBottom"/>
          </v:group>
        </w:pict>
      </w:r>
    </w:p>
    <w:p>
      <w:pPr>
        <w:pStyle w:val="BodyText"/>
        <w:rPr>
          <w:sz w:val="20"/>
        </w:rPr>
      </w:pPr>
    </w:p>
    <w:p>
      <w:pPr>
        <w:pStyle w:val="BodyText"/>
        <w:spacing w:before="4"/>
      </w:pPr>
      <w:r>
        <w:rPr/>
        <w:pict>
          <v:rect style="position:absolute;margin-left:69.25pt;margin-top:14.800977pt;width:1.5pt;height:.75pt;mso-position-horizontal-relative:page;mso-position-vertical-relative:paragraph;z-index:-15719936;mso-wrap-distance-left:0;mso-wrap-distance-right:0" filled="true" fillcolor="#e0e0e0" stroked="false">
            <v:fill type="solid"/>
            <w10:wrap type="topAndBottom"/>
          </v:rect>
        </w:pict>
      </w:r>
      <w:r>
        <w:rPr/>
        <w:pict>
          <v:rect style="position:absolute;margin-left:295.75pt;margin-top:14.800977pt;width:246.751pt;height:.75pt;mso-position-horizontal-relative:page;mso-position-vertical-relative:paragraph;z-index:-15719424;mso-wrap-distance-left:0;mso-wrap-distance-right:0" filled="true" fillcolor="#e0e0e0" stroked="false">
            <v:fill type="solid"/>
            <w10:wrap type="topAndBottom"/>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BodyText"/>
        <w:spacing w:line="340" w:lineRule="auto" w:before="97"/>
        <w:ind w:left="125" w:right="329"/>
      </w:pPr>
      <w:r>
        <w:rPr>
          <w:color w:val="212121"/>
        </w:rPr>
        <w:t>The finding that fewer women than men are represented at the higher levels of management is also supported by an ILO survey conducted in 2018,5 which collected a sample of almost  13,000 companies in 70 countries across five regions: sub-Saharan Africa; Asia and the   Pacific; Europe and Central Asia; Latin America and the Caribbean; and the Middle East and Northern</w:t>
      </w:r>
      <w:r>
        <w:rPr>
          <w:color w:val="212121"/>
          <w:spacing w:val="1"/>
        </w:rPr>
        <w:t> </w:t>
      </w:r>
      <w:r>
        <w:rPr>
          <w:color w:val="212121"/>
        </w:rPr>
        <w:t>Africa.6</w:t>
      </w:r>
    </w:p>
    <w:p>
      <w:pPr>
        <w:pStyle w:val="BodyText"/>
        <w:rPr>
          <w:sz w:val="33"/>
        </w:rPr>
      </w:pPr>
    </w:p>
    <w:p>
      <w:pPr>
        <w:pStyle w:val="BodyText"/>
        <w:spacing w:line="340" w:lineRule="auto"/>
        <w:ind w:left="125" w:right="394"/>
      </w:pPr>
      <w:r>
        <w:rPr>
          <w:color w:val="212121"/>
        </w:rPr>
        <w:t>The survey showed that more than 60% of companies had at least one woman in supervisory, junior or administrative management and middle management. However, at the senior echelons, there were very few women: only 48% of companies had at least one woman in senior management, and less than a third had women in top executive positions (see figure   IV).</w:t>
      </w:r>
    </w:p>
    <w:p>
      <w:pPr>
        <w:pStyle w:val="BodyText"/>
        <w:spacing w:before="3"/>
        <w:rPr>
          <w:sz w:val="25"/>
        </w:rPr>
      </w:pPr>
      <w:r>
        <w:rPr/>
        <w:pict>
          <v:group style="position:absolute;margin-left:69.25pt;margin-top:16.516552pt;width:228pt;height:115.5pt;mso-position-horizontal-relative:page;mso-position-vertical-relative:paragraph;z-index:-15718912;mso-wrap-distance-left:0;mso-wrap-distance-right:0" coordorigin="1385,330" coordsize="4560,2310">
            <v:shape style="position:absolute;left:1385;top:330;width:4560;height:2310" coordorigin="1385,330" coordsize="4560,2310" path="m5945,330l1385,330,1385,2640,1415,2610,1415,360,5915,360,5945,330xe" filled="true" fillcolor="#9a9a9a" stroked="false">
              <v:path arrowok="t"/>
              <v:fill type="solid"/>
            </v:shape>
            <v:shape style="position:absolute;left:5915;top:330;width:30;height:2310" coordorigin="5915,330" coordsize="30,2310" path="m5945,330l5915,360,5915,2610,5945,2640,5945,330xe" filled="true" fillcolor="#ededed" stroked="false">
              <v:path arrowok="t"/>
              <v:fill type="solid"/>
            </v:shape>
            <v:shape style="position:absolute;left:1385;top:330;width:4560;height:2310" type="#_x0000_t202" filled="false" stroked="false">
              <v:textbox inset="0,0,0,0">
                <w:txbxContent>
                  <w:p>
                    <w:pPr>
                      <w:spacing w:line="280" w:lineRule="auto" w:before="123"/>
                      <w:ind w:left="30" w:right="107" w:firstLine="0"/>
                      <w:jc w:val="left"/>
                      <w:rPr>
                        <w:sz w:val="30"/>
                      </w:rPr>
                    </w:pPr>
                    <w:r>
                      <w:rPr>
                        <w:b/>
                        <w:color w:val="545454"/>
                        <w:sz w:val="30"/>
                      </w:rPr>
                      <w:t>Figure IV: </w:t>
                    </w:r>
                    <w:r>
                      <w:rPr>
                        <w:color w:val="545454"/>
                        <w:sz w:val="30"/>
                      </w:rPr>
                      <w:t>Proportion of companies that have at least one woman in different levels of managerial positions, 2018</w:t>
                    </w:r>
                  </w:p>
                  <w:p>
                    <w:pPr>
                      <w:spacing w:before="147"/>
                      <w:ind w:left="30" w:right="0" w:firstLine="0"/>
                      <w:jc w:val="left"/>
                      <w:rPr>
                        <w:b/>
                        <w:sz w:val="16"/>
                      </w:rPr>
                    </w:pPr>
                    <w:r>
                      <w:rPr>
                        <w:color w:val="FFFFFF"/>
                        <w:sz w:val="15"/>
                        <w:shd w:fill="C00000" w:color="auto" w:val="clear"/>
                      </w:rPr>
                      <w:t> 'null' is not an object </w:t>
                    </w:r>
                    <w:r>
                      <w:rPr>
                        <w:b/>
                        <w:position w:val="-4"/>
                        <w:sz w:val="16"/>
                        <w:shd w:fill="C00000" w:color="auto" w:val="clear"/>
                      </w:rPr>
                      <w:t>×</w:t>
                    </w:r>
                  </w:p>
                </w:txbxContent>
              </v:textbox>
              <w10:wrap type="none"/>
            </v:shape>
            <w10:wrap type="topAndBottom"/>
          </v:group>
        </w:pict>
      </w:r>
    </w:p>
    <w:p>
      <w:pPr>
        <w:pStyle w:val="BodyText"/>
        <w:rPr>
          <w:sz w:val="20"/>
        </w:rPr>
      </w:pPr>
    </w:p>
    <w:p>
      <w:pPr>
        <w:pStyle w:val="BodyText"/>
        <w:spacing w:before="4"/>
      </w:pPr>
      <w:r>
        <w:rPr/>
        <w:pict>
          <v:rect style="position:absolute;margin-left:69.25pt;margin-top:14.800977pt;width:1.5pt;height:.75pt;mso-position-horizontal-relative:page;mso-position-vertical-relative:paragraph;z-index:-15718400;mso-wrap-distance-left:0;mso-wrap-distance-right:0" filled="true" fillcolor="#e0e0e0" stroked="false">
            <v:fill type="solid"/>
            <w10:wrap type="topAndBottom"/>
          </v:rect>
        </w:pict>
      </w:r>
      <w:r>
        <w:rPr/>
        <w:pict>
          <v:rect style="position:absolute;margin-left:295.75pt;margin-top:14.800977pt;width:246.751pt;height:.75pt;mso-position-horizontal-relative:page;mso-position-vertical-relative:paragraph;z-index:-15717888;mso-wrap-distance-left:0;mso-wrap-distance-right:0" filled="true" fillcolor="#e0e0e0" stroked="false">
            <v:fill type="solid"/>
            <w10:wrap type="topAndBottom"/>
          </v:rect>
        </w:pict>
      </w:r>
    </w:p>
    <w:p>
      <w:pPr>
        <w:spacing w:after="0"/>
        <w:sectPr>
          <w:pgSz w:w="12240" w:h="15840"/>
          <w:pgMar w:header="99" w:footer="60" w:top="400" w:bottom="260" w:left="1260" w:right="1280"/>
        </w:sectPr>
      </w:pPr>
    </w:p>
    <w:p>
      <w:pPr>
        <w:pStyle w:val="BodyText"/>
        <w:spacing w:before="11"/>
        <w:rPr>
          <w:sz w:val="12"/>
        </w:rPr>
      </w:pPr>
    </w:p>
    <w:p>
      <w:pPr>
        <w:pStyle w:val="Heading4"/>
        <w:spacing w:line="340" w:lineRule="auto"/>
      </w:pPr>
      <w:r>
        <w:rPr>
          <w:color w:val="212121"/>
        </w:rPr>
        <w:t>Women are better represented in support management functions than in more strategic managerial posts</w:t>
      </w:r>
    </w:p>
    <w:p>
      <w:pPr>
        <w:pStyle w:val="BodyText"/>
        <w:spacing w:before="9"/>
        <w:rPr>
          <w:b/>
          <w:sz w:val="32"/>
        </w:rPr>
      </w:pPr>
    </w:p>
    <w:p>
      <w:pPr>
        <w:pStyle w:val="BodyText"/>
        <w:spacing w:line="340" w:lineRule="auto"/>
        <w:ind w:left="125" w:right="155"/>
      </w:pPr>
      <w:r>
        <w:rPr>
          <w:color w:val="212121"/>
        </w:rPr>
        <w:t>The glass ceiling at senior managerial levels has created occupational segregation within management functions. As of 2018, even though 63% of surveyed enterprises had at least one female middle manager and close to 50% of surveyed enterprises had at least one female  senior manager, when looking at their functional responsibilities,  women  were  over represented in support management functions, such as human resources, finance and administration, while managerial posts in the areas of research and development and profit- and-loss management, which are considered to be more strategic, were generally occupied by men.</w:t>
      </w:r>
    </w:p>
    <w:p>
      <w:pPr>
        <w:pStyle w:val="BodyText"/>
        <w:spacing w:before="1"/>
        <w:rPr>
          <w:sz w:val="33"/>
        </w:rPr>
      </w:pPr>
    </w:p>
    <w:p>
      <w:pPr>
        <w:pStyle w:val="BodyText"/>
        <w:spacing w:line="340" w:lineRule="auto" w:before="1"/>
        <w:ind w:left="125" w:right="293"/>
      </w:pPr>
      <w:r>
        <w:rPr>
          <w:color w:val="212121"/>
        </w:rPr>
        <w:t>At top managerial positions, among enterprises with a CEO, less than a fifth have a woman in that position.8 Variations exist across regions, however, with countries in Eastern and South- Eastern Asia reporting the highest proportion of enterprises with female top managers, at  35.5%, while countries in Northern Africa and Western Asia reported the lowest share, at 6.4% (see figure</w:t>
      </w:r>
      <w:r>
        <w:rPr>
          <w:color w:val="212121"/>
          <w:spacing w:val="2"/>
        </w:rPr>
        <w:t> </w:t>
      </w:r>
      <w:r>
        <w:rPr>
          <w:color w:val="212121"/>
        </w:rPr>
        <w:t>V).</w:t>
      </w:r>
    </w:p>
    <w:p>
      <w:pPr>
        <w:pStyle w:val="BodyText"/>
        <w:spacing w:before="3"/>
        <w:rPr>
          <w:sz w:val="25"/>
        </w:rPr>
      </w:pPr>
      <w:r>
        <w:rPr/>
        <w:pict>
          <v:group style="position:absolute;margin-left:69.25pt;margin-top:16.496532pt;width:228pt;height:115.5pt;mso-position-horizontal-relative:page;mso-position-vertical-relative:paragraph;z-index:-15717376;mso-wrap-distance-left:0;mso-wrap-distance-right:0" coordorigin="1385,330" coordsize="4560,2310">
            <v:shape style="position:absolute;left:1385;top:329;width:4560;height:2310" coordorigin="1385,330" coordsize="4560,2310" path="m5945,330l1385,330,1385,2640,1415,2610,1415,360,5915,360,5945,330xe" filled="true" fillcolor="#9a9a9a" stroked="false">
              <v:path arrowok="t"/>
              <v:fill type="solid"/>
            </v:shape>
            <v:shape style="position:absolute;left:5915;top:329;width:30;height:2310" coordorigin="5915,330" coordsize="30,2310" path="m5945,330l5915,360,5915,2610,5945,2640,5945,330xe" filled="true" fillcolor="#ededed" stroked="false">
              <v:path arrowok="t"/>
              <v:fill type="solid"/>
            </v:shape>
            <v:shape style="position:absolute;left:1385;top:329;width:4560;height:2310" type="#_x0000_t202" filled="false" stroked="false">
              <v:textbox inset="0,0,0,0">
                <w:txbxContent>
                  <w:p>
                    <w:pPr>
                      <w:spacing w:line="280" w:lineRule="auto" w:before="123"/>
                      <w:ind w:left="30" w:right="58" w:firstLine="0"/>
                      <w:jc w:val="left"/>
                      <w:rPr>
                        <w:sz w:val="30"/>
                      </w:rPr>
                    </w:pPr>
                    <w:r>
                      <w:rPr>
                        <w:b/>
                        <w:color w:val="545454"/>
                        <w:sz w:val="30"/>
                      </w:rPr>
                      <w:t>Figure V: </w:t>
                    </w:r>
                    <w:r>
                      <w:rPr>
                        <w:color w:val="545454"/>
                        <w:sz w:val="30"/>
                      </w:rPr>
                      <w:t>Proportion of firms with a woman as top manager by region, 2010-2020 (latest available)</w:t>
                    </w:r>
                  </w:p>
                  <w:p>
                    <w:pPr>
                      <w:spacing w:before="147"/>
                      <w:ind w:left="30" w:right="0" w:firstLine="0"/>
                      <w:jc w:val="left"/>
                      <w:rPr>
                        <w:b/>
                        <w:sz w:val="16"/>
                      </w:rPr>
                    </w:pPr>
                    <w:r>
                      <w:rPr>
                        <w:color w:val="FFFFFF"/>
                        <w:sz w:val="15"/>
                        <w:shd w:fill="C00000" w:color="auto" w:val="clear"/>
                      </w:rPr>
                      <w:t> 'null' is not an object </w:t>
                    </w:r>
                    <w:r>
                      <w:rPr>
                        <w:b/>
                        <w:position w:val="-4"/>
                        <w:sz w:val="16"/>
                        <w:shd w:fill="C00000" w:color="auto" w:val="clear"/>
                      </w:rPr>
                      <w:t>×</w:t>
                    </w:r>
                  </w:p>
                </w:txbxContent>
              </v:textbox>
              <w10:wrap type="none"/>
            </v:shape>
            <w10:wrap type="topAndBottom"/>
          </v:group>
        </w:pict>
      </w:r>
    </w:p>
    <w:p>
      <w:pPr>
        <w:pStyle w:val="BodyText"/>
        <w:rPr>
          <w:sz w:val="20"/>
        </w:rPr>
      </w:pPr>
    </w:p>
    <w:p>
      <w:pPr>
        <w:pStyle w:val="BodyText"/>
        <w:spacing w:before="4"/>
      </w:pPr>
      <w:r>
        <w:rPr/>
        <w:pict>
          <v:rect style="position:absolute;margin-left:69.25pt;margin-top:14.800977pt;width:1.5pt;height:.75pt;mso-position-horizontal-relative:page;mso-position-vertical-relative:paragraph;z-index:-15716864;mso-wrap-distance-left:0;mso-wrap-distance-right:0" filled="true" fillcolor="#e0e0e0" stroked="false">
            <v:fill type="solid"/>
            <w10:wrap type="topAndBottom"/>
          </v:rect>
        </w:pict>
      </w:r>
      <w:r>
        <w:rPr/>
        <w:pict>
          <v:rect style="position:absolute;margin-left:295.75pt;margin-top:14.800977pt;width:246.751pt;height:.75pt;mso-position-horizontal-relative:page;mso-position-vertical-relative:paragraph;z-index:-15716352;mso-wrap-distance-left:0;mso-wrap-distance-right:0" filled="true" fillcolor="#e0e0e0" stroked="false">
            <v:fill type="solid"/>
            <w10:wrap type="topAndBottom"/>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Heading4"/>
        <w:spacing w:line="340" w:lineRule="auto"/>
        <w:ind w:right="133"/>
      </w:pPr>
      <w:r>
        <w:rPr>
          <w:color w:val="212121"/>
        </w:rPr>
        <w:t>Company size and share of female CEOs: it is unclear how the size of a company affects the chances that a woman will be a CEO</w:t>
      </w:r>
    </w:p>
    <w:p>
      <w:pPr>
        <w:pStyle w:val="BodyText"/>
        <w:spacing w:before="9"/>
        <w:rPr>
          <w:b/>
          <w:sz w:val="32"/>
        </w:rPr>
      </w:pPr>
    </w:p>
    <w:p>
      <w:pPr>
        <w:pStyle w:val="BodyText"/>
        <w:spacing w:line="340" w:lineRule="auto"/>
        <w:ind w:left="125" w:right="293"/>
      </w:pPr>
      <w:r>
        <w:rPr>
          <w:color w:val="212121"/>
        </w:rPr>
        <w:t>The link between the size of a company and the likelihood that it will have a woman as CEO is not straightforward. While large companies have higher profiles, and may thus be less likely to discriminate against women candidates for top managerial positions, they also tend to be more hierarchical, making it more difficult for women to reach those positions as they may fall behind men in terms of networks, training and relevant job experience.9</w:t>
      </w:r>
    </w:p>
    <w:p>
      <w:pPr>
        <w:pStyle w:val="BodyText"/>
        <w:spacing w:before="11"/>
        <w:rPr>
          <w:sz w:val="32"/>
        </w:rPr>
      </w:pPr>
    </w:p>
    <w:p>
      <w:pPr>
        <w:pStyle w:val="BodyText"/>
        <w:spacing w:line="340" w:lineRule="auto"/>
        <w:ind w:left="125" w:right="394"/>
      </w:pPr>
      <w:r>
        <w:rPr>
          <w:color w:val="212121"/>
        </w:rPr>
        <w:t>Furthermore, recent evidence shows that the proportion of enterprises with a female CEO shrinks as the size of an enterprise grows: over 26% of small enterprises (employing 2–100</w:t>
      </w:r>
    </w:p>
    <w:p>
      <w:pPr>
        <w:spacing w:after="0" w:line="340" w:lineRule="auto"/>
        <w:sectPr>
          <w:pgSz w:w="12240" w:h="15840"/>
          <w:pgMar w:header="99" w:footer="60" w:top="400" w:bottom="260" w:left="1260" w:right="1280"/>
        </w:sectPr>
      </w:pPr>
    </w:p>
    <w:p>
      <w:pPr>
        <w:pStyle w:val="BodyText"/>
        <w:spacing w:before="7"/>
        <w:rPr>
          <w:sz w:val="11"/>
        </w:rPr>
      </w:pPr>
    </w:p>
    <w:p>
      <w:pPr>
        <w:pStyle w:val="BodyText"/>
        <w:spacing w:line="340" w:lineRule="auto" w:before="98"/>
        <w:ind w:left="125" w:right="394"/>
      </w:pPr>
      <w:r>
        <w:rPr>
          <w:color w:val="212121"/>
        </w:rPr>
        <w:t>workers) have female CEOs, compared with 20% of medium-sized enterprises (employing 101–250 workers) and 16% of large enterprises (employing more than 250 workers)10 (see figure VI).</w:t>
      </w:r>
    </w:p>
    <w:p>
      <w:pPr>
        <w:pStyle w:val="BodyText"/>
        <w:spacing w:before="2"/>
        <w:rPr>
          <w:sz w:val="25"/>
        </w:rPr>
      </w:pPr>
      <w:r>
        <w:rPr/>
        <w:pict>
          <v:group style="position:absolute;margin-left:69.25pt;margin-top:16.431005pt;width:228pt;height:115.5pt;mso-position-horizontal-relative:page;mso-position-vertical-relative:paragraph;z-index:-15715840;mso-wrap-distance-left:0;mso-wrap-distance-right:0" coordorigin="1385,329" coordsize="4560,2310">
            <v:shape style="position:absolute;left:1385;top:328;width:4560;height:2310" coordorigin="1385,329" coordsize="4560,2310" path="m5945,329l1385,329,1385,2639,1415,2609,1415,359,5915,359,5945,329xe" filled="true" fillcolor="#9a9a9a" stroked="false">
              <v:path arrowok="t"/>
              <v:fill type="solid"/>
            </v:shape>
            <v:shape style="position:absolute;left:5915;top:328;width:30;height:2310" coordorigin="5915,329" coordsize="30,2310" path="m5945,329l5915,359,5915,2609,5945,2639,5945,329xe" filled="true" fillcolor="#ededed" stroked="false">
              <v:path arrowok="t"/>
              <v:fill type="solid"/>
            </v:shape>
            <v:shape style="position:absolute;left:1385;top:328;width:4560;height:2310" type="#_x0000_t202" filled="false" stroked="false">
              <v:textbox inset="0,0,0,0">
                <w:txbxContent>
                  <w:p>
                    <w:pPr>
                      <w:spacing w:line="280" w:lineRule="auto" w:before="123"/>
                      <w:ind w:left="30" w:right="358" w:firstLine="0"/>
                      <w:jc w:val="left"/>
                      <w:rPr>
                        <w:sz w:val="30"/>
                      </w:rPr>
                    </w:pPr>
                    <w:r>
                      <w:rPr>
                        <w:b/>
                        <w:color w:val="545454"/>
                        <w:sz w:val="30"/>
                      </w:rPr>
                      <w:t>Figure VI: </w:t>
                    </w:r>
                    <w:r>
                      <w:rPr>
                        <w:color w:val="545454"/>
                        <w:sz w:val="30"/>
                      </w:rPr>
                      <w:t>Proportion of enterprises with a female CEO, by size of enterprise,2018</w:t>
                    </w:r>
                  </w:p>
                  <w:p>
                    <w:pPr>
                      <w:spacing w:before="145"/>
                      <w:ind w:left="30" w:right="0" w:firstLine="0"/>
                      <w:jc w:val="left"/>
                      <w:rPr>
                        <w:b/>
                        <w:sz w:val="16"/>
                      </w:rPr>
                    </w:pPr>
                    <w:r>
                      <w:rPr>
                        <w:color w:val="FFFFFF"/>
                        <w:sz w:val="15"/>
                        <w:shd w:fill="C00000" w:color="auto" w:val="clear"/>
                      </w:rPr>
                      <w:t> 'null' is not an object </w:t>
                    </w:r>
                    <w:r>
                      <w:rPr>
                        <w:b/>
                        <w:position w:val="-4"/>
                        <w:sz w:val="16"/>
                        <w:shd w:fill="C00000" w:color="auto" w:val="clear"/>
                      </w:rPr>
                      <w:t>×</w:t>
                    </w:r>
                  </w:p>
                </w:txbxContent>
              </v:textbox>
              <w10:wrap type="none"/>
            </v:shape>
            <w10:wrap type="topAndBottom"/>
          </v:group>
        </w:pict>
      </w:r>
    </w:p>
    <w:p>
      <w:pPr>
        <w:pStyle w:val="BodyText"/>
        <w:rPr>
          <w:sz w:val="20"/>
        </w:rPr>
      </w:pPr>
    </w:p>
    <w:p>
      <w:pPr>
        <w:pStyle w:val="BodyText"/>
        <w:spacing w:before="4"/>
      </w:pPr>
      <w:r>
        <w:rPr/>
        <w:pict>
          <v:rect style="position:absolute;margin-left:69.25pt;margin-top:14.800977pt;width:1.5pt;height:.75pt;mso-position-horizontal-relative:page;mso-position-vertical-relative:paragraph;z-index:-15715328;mso-wrap-distance-left:0;mso-wrap-distance-right:0" filled="true" fillcolor="#e0e0e0" stroked="false">
            <v:fill type="solid"/>
            <w10:wrap type="topAndBottom"/>
          </v:rect>
        </w:pict>
      </w:r>
      <w:r>
        <w:rPr/>
        <w:pict>
          <v:rect style="position:absolute;margin-left:295.75pt;margin-top:14.800977pt;width:246.751pt;height:.75pt;mso-position-horizontal-relative:page;mso-position-vertical-relative:paragraph;z-index:-15714816;mso-wrap-distance-left:0;mso-wrap-distance-right:0" filled="true" fillcolor="#e0e0e0" stroked="false">
            <v:fill type="solid"/>
            <w10:wrap type="topAndBottom"/>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BodyText"/>
        <w:spacing w:line="340" w:lineRule="auto" w:before="97"/>
        <w:ind w:left="125" w:right="394"/>
      </w:pPr>
      <w:r>
        <w:rPr>
          <w:color w:val="212121"/>
        </w:rPr>
        <w:t>This argument is also supported by the historical data on the number of female CEOs on the list of the Fortune 500,11 which shows the largest corporations in the United States of America. While the list from 2020 has more female CEOs than ever before, women only account for 7.4% of the total number: only 37 out of 500 CEOs are women (see figure VII).</w:t>
      </w:r>
    </w:p>
    <w:p>
      <w:pPr>
        <w:pStyle w:val="BodyText"/>
        <w:spacing w:before="10"/>
        <w:rPr>
          <w:sz w:val="32"/>
        </w:rPr>
      </w:pPr>
    </w:p>
    <w:p>
      <w:pPr>
        <w:pStyle w:val="BodyText"/>
        <w:spacing w:line="340" w:lineRule="auto" w:before="1"/>
        <w:ind w:left="125" w:right="268"/>
        <w:jc w:val="both"/>
      </w:pPr>
      <w:r>
        <w:rPr>
          <w:color w:val="212121"/>
        </w:rPr>
        <w:t>While this shows an improvement from 1998, when only 1 out of the top 500 corporations had  a female CEO, the gender gap remains significant and is even more pronounced than among large</w:t>
      </w:r>
      <w:r>
        <w:rPr>
          <w:color w:val="212121"/>
          <w:spacing w:val="9"/>
        </w:rPr>
        <w:t> </w:t>
      </w:r>
      <w:r>
        <w:rPr>
          <w:color w:val="212121"/>
        </w:rPr>
        <w:t>enterprises,</w:t>
      </w:r>
      <w:r>
        <w:rPr>
          <w:color w:val="212121"/>
          <w:spacing w:val="10"/>
        </w:rPr>
        <w:t> </w:t>
      </w:r>
      <w:r>
        <w:rPr>
          <w:color w:val="212121"/>
        </w:rPr>
        <w:t>where</w:t>
      </w:r>
      <w:r>
        <w:rPr>
          <w:color w:val="212121"/>
          <w:spacing w:val="9"/>
        </w:rPr>
        <w:t> </w:t>
      </w:r>
      <w:r>
        <w:rPr>
          <w:color w:val="212121"/>
        </w:rPr>
        <w:t>in</w:t>
      </w:r>
      <w:r>
        <w:rPr>
          <w:color w:val="212121"/>
          <w:spacing w:val="10"/>
        </w:rPr>
        <w:t> </w:t>
      </w:r>
      <w:r>
        <w:rPr>
          <w:color w:val="212121"/>
        </w:rPr>
        <w:t>2018</w:t>
      </w:r>
      <w:r>
        <w:rPr>
          <w:color w:val="212121"/>
          <w:spacing w:val="10"/>
        </w:rPr>
        <w:t> </w:t>
      </w:r>
      <w:r>
        <w:rPr>
          <w:color w:val="212121"/>
        </w:rPr>
        <w:t>the</w:t>
      </w:r>
      <w:r>
        <w:rPr>
          <w:color w:val="212121"/>
          <w:spacing w:val="9"/>
        </w:rPr>
        <w:t> </w:t>
      </w:r>
      <w:r>
        <w:rPr>
          <w:color w:val="212121"/>
        </w:rPr>
        <w:t>share</w:t>
      </w:r>
      <w:r>
        <w:rPr>
          <w:color w:val="212121"/>
          <w:spacing w:val="10"/>
        </w:rPr>
        <w:t> </w:t>
      </w:r>
      <w:r>
        <w:rPr>
          <w:color w:val="212121"/>
        </w:rPr>
        <w:t>of</w:t>
      </w:r>
      <w:r>
        <w:rPr>
          <w:color w:val="212121"/>
          <w:spacing w:val="10"/>
        </w:rPr>
        <w:t> </w:t>
      </w:r>
      <w:r>
        <w:rPr>
          <w:color w:val="212121"/>
        </w:rPr>
        <w:t>women</w:t>
      </w:r>
      <w:r>
        <w:rPr>
          <w:color w:val="212121"/>
          <w:spacing w:val="9"/>
        </w:rPr>
        <w:t> </w:t>
      </w:r>
      <w:r>
        <w:rPr>
          <w:color w:val="212121"/>
        </w:rPr>
        <w:t>CEOs</w:t>
      </w:r>
      <w:r>
        <w:rPr>
          <w:color w:val="212121"/>
          <w:spacing w:val="10"/>
        </w:rPr>
        <w:t> </w:t>
      </w:r>
      <w:r>
        <w:rPr>
          <w:color w:val="212121"/>
        </w:rPr>
        <w:t>was</w:t>
      </w:r>
      <w:r>
        <w:rPr>
          <w:color w:val="212121"/>
          <w:spacing w:val="10"/>
        </w:rPr>
        <w:t> </w:t>
      </w:r>
      <w:r>
        <w:rPr>
          <w:color w:val="212121"/>
        </w:rPr>
        <w:t>reported</w:t>
      </w:r>
      <w:r>
        <w:rPr>
          <w:color w:val="212121"/>
          <w:spacing w:val="9"/>
        </w:rPr>
        <w:t> </w:t>
      </w:r>
      <w:r>
        <w:rPr>
          <w:color w:val="212121"/>
        </w:rPr>
        <w:t>at</w:t>
      </w:r>
      <w:r>
        <w:rPr>
          <w:color w:val="212121"/>
          <w:spacing w:val="10"/>
        </w:rPr>
        <w:t> </w:t>
      </w:r>
      <w:r>
        <w:rPr>
          <w:color w:val="212121"/>
        </w:rPr>
        <w:t>16%</w:t>
      </w:r>
      <w:r>
        <w:rPr>
          <w:color w:val="212121"/>
          <w:spacing w:val="10"/>
        </w:rPr>
        <w:t> </w:t>
      </w:r>
      <w:r>
        <w:rPr>
          <w:color w:val="212121"/>
        </w:rPr>
        <w:t>(figure</w:t>
      </w:r>
      <w:r>
        <w:rPr>
          <w:color w:val="212121"/>
          <w:spacing w:val="9"/>
        </w:rPr>
        <w:t> </w:t>
      </w:r>
      <w:r>
        <w:rPr>
          <w:color w:val="212121"/>
        </w:rPr>
        <w:t>VII).</w:t>
      </w:r>
    </w:p>
    <w:p>
      <w:pPr>
        <w:pStyle w:val="BodyText"/>
        <w:spacing w:before="2"/>
        <w:rPr>
          <w:sz w:val="25"/>
        </w:rPr>
      </w:pPr>
      <w:r>
        <w:rPr/>
        <w:pict>
          <v:group style="position:absolute;margin-left:69.25pt;margin-top:16.425928pt;width:228pt;height:115.5pt;mso-position-horizontal-relative:page;mso-position-vertical-relative:paragraph;z-index:-15714304;mso-wrap-distance-left:0;mso-wrap-distance-right:0" coordorigin="1385,329" coordsize="4560,2310">
            <v:shape style="position:absolute;left:1385;top:328;width:4560;height:2310" coordorigin="1385,329" coordsize="4560,2310" path="m5945,329l1385,329,1385,2639,1415,2609,1415,359,5915,359,5945,329xe" filled="true" fillcolor="#9a9a9a" stroked="false">
              <v:path arrowok="t"/>
              <v:fill type="solid"/>
            </v:shape>
            <v:shape style="position:absolute;left:5915;top:328;width:30;height:2310" coordorigin="5915,329" coordsize="30,2310" path="m5945,329l5915,359,5915,2609,5945,2639,5945,329xe" filled="true" fillcolor="#ededed" stroked="false">
              <v:path arrowok="t"/>
              <v:fill type="solid"/>
            </v:shape>
            <v:shape style="position:absolute;left:1385;top:328;width:4560;height:2310" type="#_x0000_t202" filled="false" stroked="false">
              <v:textbox inset="0,0,0,0">
                <w:txbxContent>
                  <w:p>
                    <w:pPr>
                      <w:spacing w:line="280" w:lineRule="auto" w:before="123"/>
                      <w:ind w:left="30" w:right="475" w:firstLine="0"/>
                      <w:jc w:val="left"/>
                      <w:rPr>
                        <w:sz w:val="30"/>
                      </w:rPr>
                    </w:pPr>
                    <w:r>
                      <w:rPr>
                        <w:b/>
                        <w:color w:val="545454"/>
                        <w:sz w:val="30"/>
                      </w:rPr>
                      <w:t>Figure VII: </w:t>
                    </w:r>
                    <w:r>
                      <w:rPr>
                        <w:color w:val="545454"/>
                        <w:sz w:val="30"/>
                      </w:rPr>
                      <w:t>Number of Female CEOs among Fortune 500 companies: 1998-2020</w:t>
                    </w:r>
                  </w:p>
                  <w:p>
                    <w:pPr>
                      <w:spacing w:before="145"/>
                      <w:ind w:left="30" w:right="0" w:firstLine="0"/>
                      <w:jc w:val="left"/>
                      <w:rPr>
                        <w:b/>
                        <w:sz w:val="16"/>
                      </w:rPr>
                    </w:pPr>
                    <w:r>
                      <w:rPr>
                        <w:color w:val="FFFFFF"/>
                        <w:sz w:val="15"/>
                        <w:shd w:fill="C00000" w:color="auto" w:val="clear"/>
                      </w:rPr>
                      <w:t> 'null' is not an object </w:t>
                    </w:r>
                    <w:r>
                      <w:rPr>
                        <w:b/>
                        <w:position w:val="-4"/>
                        <w:sz w:val="16"/>
                        <w:shd w:fill="C00000" w:color="auto" w:val="clear"/>
                      </w:rPr>
                      <w:t>×</w:t>
                    </w:r>
                  </w:p>
                </w:txbxContent>
              </v:textbox>
              <w10:wrap type="none"/>
            </v:shape>
            <w10:wrap type="topAndBottom"/>
          </v:group>
        </w:pict>
      </w:r>
    </w:p>
    <w:p>
      <w:pPr>
        <w:pStyle w:val="BodyText"/>
        <w:rPr>
          <w:sz w:val="20"/>
        </w:rPr>
      </w:pPr>
    </w:p>
    <w:p>
      <w:pPr>
        <w:pStyle w:val="BodyText"/>
        <w:spacing w:before="4"/>
      </w:pPr>
      <w:r>
        <w:rPr/>
        <w:pict>
          <v:rect style="position:absolute;margin-left:69.25pt;margin-top:14.800977pt;width:1.5pt;height:.75pt;mso-position-horizontal-relative:page;mso-position-vertical-relative:paragraph;z-index:-15713792;mso-wrap-distance-left:0;mso-wrap-distance-right:0" filled="true" fillcolor="#e0e0e0" stroked="false">
            <v:fill type="solid"/>
            <w10:wrap type="topAndBottom"/>
          </v:rect>
        </w:pict>
      </w:r>
      <w:r>
        <w:rPr/>
        <w:pict>
          <v:rect style="position:absolute;margin-left:295.75pt;margin-top:14.800977pt;width:246.751pt;height:.75pt;mso-position-horizontal-relative:page;mso-position-vertical-relative:paragraph;z-index:-15713280;mso-wrap-distance-left:0;mso-wrap-distance-right:0" filled="true" fillcolor="#e0e0e0" stroked="false">
            <v:fill type="solid"/>
            <w10:wrap type="topAndBottom"/>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Heading4"/>
      </w:pPr>
      <w:r>
        <w:rPr>
          <w:color w:val="212121"/>
        </w:rPr>
        <w:t>Enterprises</w:t>
      </w:r>
      <w:r>
        <w:rPr>
          <w:color w:val="212121"/>
          <w:spacing w:val="13"/>
        </w:rPr>
        <w:t> </w:t>
      </w:r>
      <w:r>
        <w:rPr>
          <w:color w:val="212121"/>
        </w:rPr>
        <w:t>with</w:t>
      </w:r>
      <w:r>
        <w:rPr>
          <w:color w:val="212121"/>
          <w:spacing w:val="13"/>
        </w:rPr>
        <w:t> </w:t>
      </w:r>
      <w:r>
        <w:rPr>
          <w:color w:val="212121"/>
        </w:rPr>
        <w:t>more</w:t>
      </w:r>
      <w:r>
        <w:rPr>
          <w:color w:val="212121"/>
          <w:spacing w:val="14"/>
        </w:rPr>
        <w:t> </w:t>
      </w:r>
      <w:r>
        <w:rPr>
          <w:color w:val="212121"/>
        </w:rPr>
        <w:t>women</w:t>
      </w:r>
      <w:r>
        <w:rPr>
          <w:color w:val="212121"/>
          <w:spacing w:val="13"/>
        </w:rPr>
        <w:t> </w:t>
      </w:r>
      <w:r>
        <w:rPr>
          <w:color w:val="212121"/>
        </w:rPr>
        <w:t>in</w:t>
      </w:r>
      <w:r>
        <w:rPr>
          <w:color w:val="212121"/>
          <w:spacing w:val="13"/>
        </w:rPr>
        <w:t> </w:t>
      </w:r>
      <w:r>
        <w:rPr>
          <w:color w:val="212121"/>
        </w:rPr>
        <w:t>their</w:t>
      </w:r>
      <w:r>
        <w:rPr>
          <w:color w:val="212121"/>
          <w:spacing w:val="14"/>
        </w:rPr>
        <w:t> </w:t>
      </w:r>
      <w:r>
        <w:rPr>
          <w:color w:val="212121"/>
        </w:rPr>
        <w:t>workforce</w:t>
      </w:r>
      <w:r>
        <w:rPr>
          <w:color w:val="212121"/>
          <w:spacing w:val="13"/>
        </w:rPr>
        <w:t> </w:t>
      </w:r>
      <w:r>
        <w:rPr>
          <w:color w:val="212121"/>
        </w:rPr>
        <w:t>are</w:t>
      </w:r>
      <w:r>
        <w:rPr>
          <w:color w:val="212121"/>
          <w:spacing w:val="13"/>
        </w:rPr>
        <w:t> </w:t>
      </w:r>
      <w:r>
        <w:rPr>
          <w:color w:val="212121"/>
        </w:rPr>
        <w:t>more</w:t>
      </w:r>
      <w:r>
        <w:rPr>
          <w:color w:val="212121"/>
          <w:spacing w:val="14"/>
        </w:rPr>
        <w:t> </w:t>
      </w:r>
      <w:r>
        <w:rPr>
          <w:color w:val="212121"/>
        </w:rPr>
        <w:t>likely</w:t>
      </w:r>
      <w:r>
        <w:rPr>
          <w:color w:val="212121"/>
          <w:spacing w:val="13"/>
        </w:rPr>
        <w:t> </w:t>
      </w:r>
      <w:r>
        <w:rPr>
          <w:color w:val="212121"/>
        </w:rPr>
        <w:t>to</w:t>
      </w:r>
      <w:r>
        <w:rPr>
          <w:color w:val="212121"/>
          <w:spacing w:val="13"/>
        </w:rPr>
        <w:t> </w:t>
      </w:r>
      <w:r>
        <w:rPr>
          <w:color w:val="212121"/>
        </w:rPr>
        <w:t>have</w:t>
      </w:r>
      <w:r>
        <w:rPr>
          <w:color w:val="212121"/>
          <w:spacing w:val="14"/>
        </w:rPr>
        <w:t> </w:t>
      </w:r>
      <w:r>
        <w:rPr>
          <w:color w:val="212121"/>
        </w:rPr>
        <w:t>a</w:t>
      </w:r>
      <w:r>
        <w:rPr>
          <w:color w:val="212121"/>
          <w:spacing w:val="13"/>
        </w:rPr>
        <w:t> </w:t>
      </w:r>
      <w:r>
        <w:rPr>
          <w:color w:val="212121"/>
        </w:rPr>
        <w:t>female</w:t>
      </w:r>
      <w:r>
        <w:rPr>
          <w:color w:val="212121"/>
          <w:spacing w:val="13"/>
        </w:rPr>
        <w:t> </w:t>
      </w:r>
      <w:r>
        <w:rPr>
          <w:color w:val="212121"/>
        </w:rPr>
        <w:t>CEO</w:t>
      </w:r>
    </w:p>
    <w:p>
      <w:pPr>
        <w:pStyle w:val="BodyText"/>
        <w:rPr>
          <w:b/>
          <w:sz w:val="24"/>
        </w:rPr>
      </w:pPr>
    </w:p>
    <w:p>
      <w:pPr>
        <w:pStyle w:val="BodyText"/>
        <w:spacing w:line="340" w:lineRule="auto" w:before="207"/>
        <w:ind w:left="125" w:right="394"/>
      </w:pPr>
      <w:r>
        <w:rPr>
          <w:color w:val="212121"/>
        </w:rPr>
        <w:t>In 2018, enterprises where women accounted for 30% to 39% of the workforce had a 6% higher likelihood of having a female CEO than enterprises where women made up less than</w:t>
      </w:r>
    </w:p>
    <w:p>
      <w:pPr>
        <w:spacing w:after="0" w:line="340" w:lineRule="auto"/>
        <w:sectPr>
          <w:pgSz w:w="12240" w:h="15840"/>
          <w:pgMar w:header="99" w:footer="60" w:top="400" w:bottom="260" w:left="1260" w:right="1280"/>
        </w:sectPr>
      </w:pPr>
    </w:p>
    <w:p>
      <w:pPr>
        <w:pStyle w:val="BodyText"/>
        <w:spacing w:line="340" w:lineRule="auto" w:before="126"/>
        <w:ind w:left="125" w:right="293"/>
      </w:pPr>
      <w:r>
        <w:rPr>
          <w:color w:val="212121"/>
        </w:rPr>
        <w:t>30% of the workforce; when the workforce was gender balanced, enterprises were 15% more likely to have a female CEO; and when the workforce was predominantly female (61% to 100%</w:t>
      </w:r>
    </w:p>
    <w:p>
      <w:pPr>
        <w:pStyle w:val="BodyText"/>
        <w:spacing w:before="2"/>
        <w:ind w:left="125"/>
      </w:pPr>
      <w:r>
        <w:rPr>
          <w:color w:val="212121"/>
        </w:rPr>
        <w:t>), enterprises were 22% more likely to have a female CEO.13</w:t>
      </w:r>
    </w:p>
    <w:p>
      <w:pPr>
        <w:pStyle w:val="BodyText"/>
        <w:rPr>
          <w:sz w:val="20"/>
        </w:rPr>
      </w:pPr>
    </w:p>
    <w:p>
      <w:pPr>
        <w:pStyle w:val="BodyText"/>
        <w:spacing w:before="3"/>
        <w:rPr>
          <w:sz w:val="14"/>
        </w:rPr>
      </w:pPr>
      <w:r>
        <w:rPr/>
        <w:drawing>
          <wp:anchor distT="0" distB="0" distL="0" distR="0" allowOverlap="1" layoutInCell="1" locked="0" behindDoc="0" simplePos="0" relativeHeight="31">
            <wp:simplePos x="0" y="0"/>
            <wp:positionH relativeFrom="page">
              <wp:posOffset>879475</wp:posOffset>
            </wp:positionH>
            <wp:positionV relativeFrom="paragraph">
              <wp:posOffset>129146</wp:posOffset>
            </wp:positionV>
            <wp:extent cx="4800600" cy="705688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4800600" cy="7056882"/>
                    </a:xfrm>
                    <a:prstGeom prst="rect">
                      <a:avLst/>
                    </a:prstGeom>
                  </pic:spPr>
                </pic:pic>
              </a:graphicData>
            </a:graphic>
          </wp:anchor>
        </w:drawing>
      </w:r>
    </w:p>
    <w:p>
      <w:pPr>
        <w:pStyle w:val="BodyText"/>
        <w:rPr>
          <w:sz w:val="20"/>
        </w:rPr>
      </w:pPr>
    </w:p>
    <w:p>
      <w:pPr>
        <w:pStyle w:val="BodyText"/>
        <w:spacing w:before="7"/>
        <w:rPr>
          <w:sz w:val="14"/>
        </w:rPr>
      </w:pPr>
      <w:r>
        <w:rPr/>
        <w:pict>
          <v:rect style="position:absolute;margin-left:69.25pt;margin-top:10.389963pt;width:473.251pt;height:.751pt;mso-position-horizontal-relative:page;mso-position-vertical-relative:paragraph;z-index:-15712256;mso-wrap-distance-left:0;mso-wrap-distance-right:0" filled="true" fillcolor="#e0e0e0" stroked="false">
            <v:fill type="solid"/>
            <w10:wrap type="topAndBottom"/>
          </v:rect>
        </w:pict>
      </w:r>
    </w:p>
    <w:p>
      <w:pPr>
        <w:spacing w:after="0"/>
        <w:rPr>
          <w:sz w:val="14"/>
        </w:rPr>
        <w:sectPr>
          <w:pgSz w:w="12240" w:h="15840"/>
          <w:pgMar w:header="99" w:footer="60" w:top="400" w:bottom="260" w:left="1260" w:right="1280"/>
        </w:sectPr>
      </w:pPr>
    </w:p>
    <w:p>
      <w:pPr>
        <w:pStyle w:val="Heading1"/>
      </w:pPr>
      <w:r>
        <w:rPr>
          <w:color w:val="212121"/>
        </w:rPr>
        <w:t>About the data</w:t>
      </w:r>
    </w:p>
    <w:p>
      <w:pPr>
        <w:pStyle w:val="Heading3"/>
        <w:spacing w:line="278" w:lineRule="auto" w:before="379"/>
      </w:pPr>
      <w:r>
        <w:rPr>
          <w:color w:val="212121"/>
        </w:rPr>
        <w:t>Proportion of managerial positions held by women</w:t>
      </w:r>
    </w:p>
    <w:p>
      <w:pPr>
        <w:pStyle w:val="BodyText"/>
        <w:spacing w:before="4"/>
        <w:rPr>
          <w:sz w:val="19"/>
        </w:rPr>
      </w:pPr>
    </w:p>
    <w:p>
      <w:pPr>
        <w:pStyle w:val="BodyText"/>
        <w:spacing w:line="340" w:lineRule="auto" w:before="98"/>
        <w:ind w:left="125" w:right="297" w:firstLine="194"/>
      </w:pPr>
      <w:r>
        <w:rPr/>
        <w:pict>
          <v:shape style="position:absolute;margin-left:69.25pt;margin-top:10.717871pt;width:3pt;height:3pt;mso-position-horizontal-relative:page;mso-position-vertical-relative:paragraph;z-index:-15893504" coordorigin="1385,214" coordsize="60,60" path="m1445,244l1436,222,1415,214,1394,222,1385,244,1394,267,1415,274,1436,267,1445,244xe" filled="false" stroked="true" strokeweight=".75pt" strokecolor="#212121">
            <v:path arrowok="t"/>
            <v:stroke dashstyle="solid"/>
            <w10:wrap type="none"/>
          </v:shape>
        </w:pict>
      </w:r>
      <w:r>
        <w:rPr>
          <w:color w:val="212121"/>
        </w:rPr>
        <w:t>Definition: Percentage of women in management positions as a measure of total employment in management. Managerial positions correspond to major group 1 of the International    Standard Classification of Occupations (ISCO-88 or</w:t>
      </w:r>
      <w:r>
        <w:rPr>
          <w:color w:val="212121"/>
          <w:spacing w:val="17"/>
        </w:rPr>
        <w:t> </w:t>
      </w:r>
      <w:r>
        <w:rPr>
          <w:color w:val="212121"/>
        </w:rPr>
        <w:t>ISCO-08).</w:t>
      </w:r>
    </w:p>
    <w:p>
      <w:pPr>
        <w:pStyle w:val="BodyText"/>
        <w:spacing w:line="340" w:lineRule="auto" w:before="152"/>
        <w:ind w:left="124" w:firstLine="195"/>
      </w:pPr>
      <w:r>
        <w:rPr/>
        <w:pict>
          <v:shape style="position:absolute;margin-left:69.25pt;margin-top:13.417871pt;width:3pt;height:3pt;mso-position-horizontal-relative:page;mso-position-vertical-relative:paragraph;z-index:-15892992" coordorigin="1385,268" coordsize="60,60" path="m1445,298l1436,276,1415,268,1394,276,1385,298,1394,321,1415,328,1436,321,1445,298xe" filled="false" stroked="true" strokeweight=".75pt" strokecolor="#212121">
            <v:path arrowok="t"/>
            <v:stroke dashstyle="solid"/>
            <w10:wrap type="none"/>
          </v:shape>
        </w:pict>
      </w:r>
      <w:r>
        <w:rPr>
          <w:color w:val="212121"/>
        </w:rPr>
        <w:t>Data availability: Data are derived from International Labour Organization (ILO) modelled estimates at the regional level</w:t>
      </w:r>
    </w:p>
    <w:p>
      <w:pPr>
        <w:pStyle w:val="BodyText"/>
        <w:spacing w:before="11"/>
        <w:rPr>
          <w:sz w:val="30"/>
        </w:rPr>
      </w:pPr>
    </w:p>
    <w:p>
      <w:pPr>
        <w:pStyle w:val="Heading3"/>
        <w:spacing w:line="278" w:lineRule="auto"/>
        <w:ind w:right="1250"/>
      </w:pPr>
      <w:r>
        <w:rPr>
          <w:color w:val="212121"/>
        </w:rPr>
        <w:t>Proportion of women in senior and middle management positions</w:t>
      </w:r>
    </w:p>
    <w:p>
      <w:pPr>
        <w:pStyle w:val="BodyText"/>
        <w:spacing w:before="4"/>
        <w:rPr>
          <w:sz w:val="19"/>
        </w:rPr>
      </w:pPr>
    </w:p>
    <w:p>
      <w:pPr>
        <w:pStyle w:val="BodyText"/>
        <w:spacing w:line="340" w:lineRule="auto" w:before="98"/>
        <w:ind w:left="125" w:right="143" w:firstLine="194"/>
      </w:pPr>
      <w:r>
        <w:rPr/>
        <w:pict>
          <v:shape style="position:absolute;margin-left:69.25pt;margin-top:10.717871pt;width:3pt;height:3pt;mso-position-horizontal-relative:page;mso-position-vertical-relative:paragraph;z-index:-15892480" coordorigin="1385,214" coordsize="60,60" path="m1445,244l1436,222,1415,214,1394,222,1385,244,1394,267,1415,274,1436,267,1445,244xe" filled="false" stroked="true" strokeweight=".75pt" strokecolor="#212121">
            <v:path arrowok="t"/>
            <v:stroke dashstyle="solid"/>
            <w10:wrap type="none"/>
          </v:shape>
        </w:pict>
      </w:r>
      <w:r>
        <w:rPr>
          <w:color w:val="212121"/>
        </w:rPr>
        <w:t>Definition: Senior and middle management correspond to sub-major groups 11, 12 and 13 in ISCO-08 and sub-major groups 11 and 12 in ISCO-88. If disaggregated statistics were not available at the sub-major group level (two-digit level of ISCO), major group 1 of ISCO-88 and ISCO-08 was used as a proxy, and in such cases the indicator refers only to total management (including junior management).</w:t>
      </w:r>
    </w:p>
    <w:p>
      <w:pPr>
        <w:pStyle w:val="BodyText"/>
        <w:spacing w:line="340" w:lineRule="auto" w:before="153"/>
        <w:ind w:left="124" w:right="394" w:firstLine="195"/>
      </w:pPr>
      <w:r>
        <w:rPr/>
        <w:pict>
          <v:shape style="position:absolute;margin-left:69.25pt;margin-top:13.467871pt;width:3pt;height:3pt;mso-position-horizontal-relative:page;mso-position-vertical-relative:paragraph;z-index:-15891968" coordorigin="1385,269" coordsize="60,60" path="m1445,299l1436,277,1415,269,1394,277,1385,299,1394,322,1415,329,1436,322,1445,299xe" filled="false" stroked="true" strokeweight=".75pt" strokecolor="#212121">
            <v:path arrowok="t"/>
            <v:stroke dashstyle="solid"/>
            <w10:wrap type="none"/>
          </v:shape>
        </w:pict>
      </w:r>
      <w:r>
        <w:rPr>
          <w:color w:val="212121"/>
        </w:rPr>
        <w:t>Data availability: Available data from 63 countries (with 2018 data) and 50 countries (with 2019 data).</w:t>
      </w:r>
    </w:p>
    <w:p>
      <w:pPr>
        <w:pStyle w:val="BodyText"/>
        <w:rPr>
          <w:sz w:val="31"/>
        </w:rPr>
      </w:pPr>
    </w:p>
    <w:p>
      <w:pPr>
        <w:pStyle w:val="Heading3"/>
        <w:spacing w:line="278" w:lineRule="auto"/>
        <w:ind w:right="1701"/>
      </w:pPr>
      <w:r>
        <w:rPr>
          <w:color w:val="212121"/>
        </w:rPr>
        <w:t>Percentage of firms with a female Chief Executive Officer/top manager</w:t>
      </w:r>
    </w:p>
    <w:p>
      <w:pPr>
        <w:pStyle w:val="BodyText"/>
        <w:spacing w:before="4"/>
        <w:rPr>
          <w:sz w:val="19"/>
        </w:rPr>
      </w:pPr>
    </w:p>
    <w:p>
      <w:pPr>
        <w:pStyle w:val="BodyText"/>
        <w:spacing w:line="340" w:lineRule="auto" w:before="98"/>
        <w:ind w:left="125" w:right="394" w:firstLine="194"/>
      </w:pPr>
      <w:r>
        <w:rPr/>
        <w:pict>
          <v:shape style="position:absolute;margin-left:69.25pt;margin-top:10.717871pt;width:3pt;height:3pt;mso-position-horizontal-relative:page;mso-position-vertical-relative:paragraph;z-index:-15891456" coordorigin="1385,214" coordsize="60,60" path="m1445,244l1436,222,1415,214,1394,222,1385,244,1394,267,1415,274,1436,267,1445,244xe" filled="false" stroked="true" strokeweight=".75pt" strokecolor="#212121">
            <v:path arrowok="t"/>
            <v:stroke dashstyle="solid"/>
            <w10:wrap type="none"/>
          </v:shape>
        </w:pict>
      </w:r>
      <w:r>
        <w:rPr>
          <w:color w:val="212121"/>
        </w:rPr>
        <w:t>Definition: The Chief Executive Officer (CEO) is the top manager in a company, the person who is ultimately responsible for making managerial decisions. The percentage of firms with a female CEO/top manager is calculated as the weighted average of data obtained from businesses in enterprise surveys, using sampling weights.</w:t>
      </w:r>
    </w:p>
    <w:p>
      <w:pPr>
        <w:pStyle w:val="BodyText"/>
        <w:spacing w:line="340" w:lineRule="auto" w:before="153"/>
        <w:ind w:left="124" w:right="293" w:firstLine="195"/>
      </w:pPr>
      <w:r>
        <w:rPr/>
        <w:pict>
          <v:shape style="position:absolute;margin-left:69.25pt;margin-top:13.467871pt;width:3pt;height:3pt;mso-position-horizontal-relative:page;mso-position-vertical-relative:paragraph;z-index:-15890944" coordorigin="1385,269" coordsize="60,60" path="m1445,299l1436,277,1415,269,1394,277,1385,299,1394,322,1415,329,1436,322,1445,299xe" filled="false" stroked="true" strokeweight=".75pt" strokecolor="#212121">
            <v:path arrowok="t"/>
            <v:stroke dashstyle="solid"/>
            <w10:wrap type="none"/>
          </v:shape>
        </w:pict>
      </w:r>
      <w:r>
        <w:rPr>
          <w:color w:val="212121"/>
        </w:rPr>
        <w:t>Data availability: For the period 2010–2020, latest data on the percentage of firms with a female top manager were available for 134 countries from enterprise surveys conducted by the World Bank in 144 countries covering more than 161,000 companies.</w:t>
      </w:r>
    </w:p>
    <w:p>
      <w:pPr>
        <w:spacing w:after="0" w:line="340" w:lineRule="auto"/>
        <w:sectPr>
          <w:pgSz w:w="12240" w:h="15840"/>
          <w:pgMar w:header="99" w:footer="60" w:top="400" w:bottom="260" w:left="1260" w:right="1280"/>
        </w:sectPr>
      </w:pPr>
    </w:p>
    <w:p>
      <w:pPr>
        <w:pStyle w:val="BodyText"/>
        <w:spacing w:before="11"/>
        <w:rPr>
          <w:sz w:val="11"/>
        </w:rPr>
      </w:pPr>
    </w:p>
    <w:p>
      <w:pPr>
        <w:pStyle w:val="BodyText"/>
        <w:ind w:left="125"/>
        <w:rPr>
          <w:sz w:val="20"/>
        </w:rPr>
      </w:pPr>
      <w:r>
        <w:rPr>
          <w:sz w:val="20"/>
        </w:rPr>
        <w:drawing>
          <wp:inline distT="0" distB="0" distL="0" distR="0">
            <wp:extent cx="4805405" cy="3200400"/>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4805405" cy="3200400"/>
                    </a:xfrm>
                    <a:prstGeom prst="rect">
                      <a:avLst/>
                    </a:prstGeom>
                  </pic:spPr>
                </pic:pic>
              </a:graphicData>
            </a:graphic>
          </wp:inline>
        </w:drawing>
      </w:r>
      <w:r>
        <w:rPr>
          <w:sz w:val="20"/>
        </w:rPr>
      </w:r>
    </w:p>
    <w:p>
      <w:pPr>
        <w:pStyle w:val="BodyText"/>
        <w:rPr>
          <w:sz w:val="20"/>
        </w:rPr>
      </w:pPr>
    </w:p>
    <w:p>
      <w:pPr>
        <w:pStyle w:val="BodyText"/>
        <w:spacing w:before="11"/>
        <w:rPr>
          <w:sz w:val="20"/>
        </w:rPr>
      </w:pPr>
      <w:r>
        <w:rPr/>
        <w:pict>
          <v:rect style="position:absolute;margin-left:69.25pt;margin-top:13.99997pt;width:473.251pt;height:.751pt;mso-position-horizontal-relative:page;mso-position-vertical-relative:paragraph;z-index:-15708672;mso-wrap-distance-left:0;mso-wrap-distance-right:0" filled="true" fillcolor="#e0e0e0" stroked="false">
            <v:fill type="solid"/>
            <w10:wrap type="topAndBottom"/>
          </v:rect>
        </w:pict>
      </w: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249" w:lineRule="auto" w:before="222"/>
        <w:ind w:right="1132"/>
      </w:pPr>
      <w:r>
        <w:rPr>
          <w:color w:val="212121"/>
          <w:spacing w:val="-14"/>
        </w:rPr>
        <w:t>Related </w:t>
      </w:r>
      <w:r>
        <w:rPr>
          <w:color w:val="212121"/>
          <w:spacing w:val="-13"/>
        </w:rPr>
        <w:t>stories </w:t>
      </w:r>
      <w:r>
        <w:rPr>
          <w:color w:val="212121"/>
          <w:spacing w:val="-11"/>
        </w:rPr>
        <w:t>and</w:t>
      </w:r>
      <w:r>
        <w:rPr>
          <w:color w:val="212121"/>
          <w:spacing w:val="-62"/>
        </w:rPr>
        <w:t> </w:t>
      </w:r>
      <w:r>
        <w:rPr>
          <w:color w:val="212121"/>
          <w:spacing w:val="-15"/>
        </w:rPr>
        <w:t>further reading</w:t>
      </w:r>
    </w:p>
    <w:p>
      <w:pPr>
        <w:pStyle w:val="BodyText"/>
        <w:spacing w:before="7"/>
        <w:rPr>
          <w:sz w:val="23"/>
        </w:rPr>
      </w:pPr>
    </w:p>
    <w:p>
      <w:pPr>
        <w:pStyle w:val="BodyText"/>
        <w:spacing w:before="97"/>
        <w:ind w:left="320"/>
      </w:pPr>
      <w:r>
        <w:rPr/>
        <w:pict>
          <v:shape style="position:absolute;margin-left:69.25pt;margin-top:10.667871pt;width:3pt;height:3pt;mso-position-horizontal-relative:page;mso-position-vertical-relative:paragraph;z-index:15749120" coordorigin="1385,213" coordsize="60,60" path="m1445,243l1436,221,1415,213,1394,221,1385,243,1394,266,1415,273,1436,266,1445,243xe" filled="false" stroked="true" strokeweight=".75pt" strokecolor="#212121">
            <v:path arrowok="t"/>
            <v:stroke dashstyle="solid"/>
            <w10:wrap type="none"/>
          </v:shape>
        </w:pict>
      </w:r>
      <w:hyperlink r:id="rId12">
        <w:r>
          <w:rPr>
            <w:color w:val="1EADDB"/>
            <w:u w:val="single" w:color="1EADDB"/>
          </w:rPr>
          <w:t>Women in power and decision-making positions in the corporate world</w:t>
        </w:r>
      </w:hyperlink>
    </w:p>
    <w:p>
      <w:pPr>
        <w:spacing w:after="0"/>
        <w:sectPr>
          <w:pgSz w:w="12240" w:h="15840"/>
          <w:pgMar w:header="99" w:footer="60" w:top="400" w:bottom="260" w:left="1260" w:right="1280"/>
        </w:sectPr>
      </w:pPr>
    </w:p>
    <w:p>
      <w:pPr>
        <w:pStyle w:val="BodyText"/>
        <w:spacing w:before="11"/>
        <w:rPr>
          <w:sz w:val="11"/>
        </w:rPr>
      </w:pPr>
    </w:p>
    <w:p>
      <w:pPr>
        <w:pStyle w:val="BodyText"/>
        <w:ind w:left="125"/>
        <w:rPr>
          <w:sz w:val="20"/>
        </w:rPr>
      </w:pPr>
      <w:r>
        <w:rPr>
          <w:sz w:val="20"/>
        </w:rPr>
        <w:drawing>
          <wp:inline distT="0" distB="0" distL="0" distR="0">
            <wp:extent cx="4803050" cy="6272784"/>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4803050" cy="6272784"/>
                    </a:xfrm>
                    <a:prstGeom prst="rect">
                      <a:avLst/>
                    </a:prstGeom>
                  </pic:spPr>
                </pic:pic>
              </a:graphicData>
            </a:graphic>
          </wp:inline>
        </w:drawing>
      </w:r>
      <w:r>
        <w:rPr>
          <w:sz w:val="20"/>
        </w:rPr>
      </w:r>
    </w:p>
    <w:p>
      <w:pPr>
        <w:pStyle w:val="BodyText"/>
        <w:rPr>
          <w:sz w:val="20"/>
        </w:rPr>
      </w:pPr>
    </w:p>
    <w:p>
      <w:pPr>
        <w:pStyle w:val="BodyText"/>
        <w:spacing w:before="6"/>
        <w:rPr>
          <w:sz w:val="17"/>
        </w:rPr>
      </w:pPr>
      <w:r>
        <w:rPr/>
        <w:pict>
          <v:rect style="position:absolute;margin-left:69.25pt;margin-top:12.050971pt;width:473.251pt;height:.75pt;mso-position-horizontal-relative:page;mso-position-vertical-relative:paragraph;z-index:-15707648;mso-wrap-distance-left:0;mso-wrap-distance-right:0" filled="true" fillcolor="#e0e0e0" stroked="false">
            <v:fill type="solid"/>
            <w10:wrap type="topAndBottom"/>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p>
    <w:p>
      <w:pPr>
        <w:spacing w:before="88"/>
        <w:ind w:left="125" w:right="0" w:firstLine="0"/>
        <w:jc w:val="left"/>
        <w:rPr>
          <w:sz w:val="36"/>
        </w:rPr>
      </w:pPr>
      <w:r>
        <w:rPr>
          <w:color w:val="212121"/>
          <w:sz w:val="36"/>
        </w:rPr>
        <w:t>Footnotes</w:t>
      </w:r>
    </w:p>
    <w:p>
      <w:pPr>
        <w:pStyle w:val="BodyText"/>
        <w:rPr>
          <w:sz w:val="38"/>
        </w:rPr>
      </w:pPr>
    </w:p>
    <w:p>
      <w:pPr>
        <w:pStyle w:val="ListParagraph"/>
        <w:numPr>
          <w:ilvl w:val="0"/>
          <w:numId w:val="1"/>
        </w:numPr>
        <w:tabs>
          <w:tab w:pos="365" w:val="left" w:leader="none"/>
        </w:tabs>
        <w:spacing w:line="312" w:lineRule="auto" w:before="1" w:after="0"/>
        <w:ind w:left="125" w:right="426" w:firstLine="0"/>
        <w:jc w:val="left"/>
        <w:rPr>
          <w:sz w:val="22"/>
        </w:rPr>
      </w:pPr>
      <w:hyperlink r:id="rId14">
        <w:r>
          <w:rPr>
            <w:color w:val="1EADDB"/>
            <w:sz w:val="22"/>
            <w:u w:val="single" w:color="1EADDB"/>
          </w:rPr>
          <w:t>International Labour Organization (ILO), Women in Business and Management: -A Global</w:t>
        </w:r>
      </w:hyperlink>
      <w:hyperlink r:id="rId14">
        <w:r>
          <w:rPr>
            <w:color w:val="1EADDB"/>
            <w:sz w:val="22"/>
            <w:u w:val="single" w:color="1EADDB"/>
          </w:rPr>
          <w:t> Survey of Enterprises, Geneva, 2019</w:t>
        </w:r>
      </w:hyperlink>
      <w:r>
        <w:rPr>
          <w:color w:val="212121"/>
          <w:sz w:val="22"/>
        </w:rPr>
        <w:t>. (</w:t>
      </w:r>
      <w:r>
        <w:rPr>
          <w:rFonts w:ascii="Segoe UI Symbol" w:hAnsi="Segoe UI Symbol"/>
          <w:color w:val="1EADDB"/>
          <w:sz w:val="22"/>
        </w:rPr>
        <w:t>⇡</w:t>
      </w:r>
      <w:r>
        <w:rPr>
          <w:color w:val="1EADDB"/>
          <w:sz w:val="22"/>
        </w:rPr>
        <w:t>back to</w:t>
      </w:r>
      <w:r>
        <w:rPr>
          <w:color w:val="1EADDB"/>
          <w:spacing w:val="16"/>
          <w:sz w:val="22"/>
        </w:rPr>
        <w:t> </w:t>
      </w:r>
      <w:r>
        <w:rPr>
          <w:color w:val="1EADDB"/>
          <w:sz w:val="22"/>
        </w:rPr>
        <w:t>text</w:t>
      </w:r>
      <w:r>
        <w:rPr>
          <w:color w:val="212121"/>
          <w:sz w:val="22"/>
        </w:rPr>
        <w:t>)</w:t>
      </w:r>
    </w:p>
    <w:p>
      <w:pPr>
        <w:pStyle w:val="ListParagraph"/>
        <w:numPr>
          <w:ilvl w:val="0"/>
          <w:numId w:val="1"/>
        </w:numPr>
        <w:tabs>
          <w:tab w:pos="365" w:val="left" w:leader="none"/>
        </w:tabs>
        <w:spacing w:line="340" w:lineRule="auto" w:before="160" w:after="0"/>
        <w:ind w:left="124" w:right="191" w:firstLine="0"/>
        <w:jc w:val="left"/>
        <w:rPr>
          <w:sz w:val="22"/>
        </w:rPr>
      </w:pPr>
      <w:r>
        <w:rPr>
          <w:color w:val="212121"/>
          <w:sz w:val="22"/>
        </w:rPr>
        <w:t>Credit Suisse AG, Research Institute, The CS Gender 3000: The Reward for Change, 2016; ILO, Women in Business and Management: The business case for change, Geneva, 2019;</w:t>
      </w:r>
      <w:r>
        <w:rPr>
          <w:color w:val="1EADDB"/>
          <w:sz w:val="22"/>
          <w:u w:val="single" w:color="1EADDB"/>
        </w:rPr>
        <w:t> </w:t>
      </w:r>
      <w:hyperlink r:id="rId15">
        <w:r>
          <w:rPr>
            <w:color w:val="1EADDB"/>
            <w:sz w:val="22"/>
            <w:u w:val="single" w:color="1EADDB"/>
          </w:rPr>
          <w:t>Harvard</w:t>
        </w:r>
        <w:r>
          <w:rPr>
            <w:color w:val="1EADDB"/>
            <w:spacing w:val="17"/>
            <w:sz w:val="22"/>
            <w:u w:val="single" w:color="1EADDB"/>
          </w:rPr>
          <w:t> </w:t>
        </w:r>
        <w:r>
          <w:rPr>
            <w:color w:val="1EADDB"/>
            <w:sz w:val="22"/>
            <w:u w:val="single" w:color="1EADDB"/>
          </w:rPr>
          <w:t>Business</w:t>
        </w:r>
        <w:r>
          <w:rPr>
            <w:color w:val="1EADDB"/>
            <w:spacing w:val="18"/>
            <w:sz w:val="22"/>
            <w:u w:val="single" w:color="1EADDB"/>
          </w:rPr>
          <w:t> </w:t>
        </w:r>
        <w:r>
          <w:rPr>
            <w:color w:val="1EADDB"/>
            <w:sz w:val="22"/>
            <w:u w:val="single" w:color="1EADDB"/>
          </w:rPr>
          <w:t>Review,</w:t>
        </w:r>
        <w:r>
          <w:rPr>
            <w:color w:val="1EADDB"/>
            <w:spacing w:val="17"/>
            <w:sz w:val="22"/>
            <w:u w:val="single" w:color="1EADDB"/>
          </w:rPr>
          <w:t> </w:t>
        </w:r>
        <w:r>
          <w:rPr>
            <w:color w:val="1EADDB"/>
            <w:sz w:val="22"/>
            <w:u w:val="single" w:color="1EADDB"/>
          </w:rPr>
          <w:t>“Research:</w:t>
        </w:r>
        <w:r>
          <w:rPr>
            <w:color w:val="1EADDB"/>
            <w:spacing w:val="18"/>
            <w:sz w:val="22"/>
            <w:u w:val="single" w:color="1EADDB"/>
          </w:rPr>
          <w:t> </w:t>
        </w:r>
        <w:r>
          <w:rPr>
            <w:color w:val="1EADDB"/>
            <w:sz w:val="22"/>
            <w:u w:val="single" w:color="1EADDB"/>
          </w:rPr>
          <w:t>When</w:t>
        </w:r>
        <w:r>
          <w:rPr>
            <w:color w:val="1EADDB"/>
            <w:spacing w:val="18"/>
            <w:sz w:val="22"/>
            <w:u w:val="single" w:color="1EADDB"/>
          </w:rPr>
          <w:t> </w:t>
        </w:r>
        <w:r>
          <w:rPr>
            <w:color w:val="1EADDB"/>
            <w:sz w:val="22"/>
            <w:u w:val="single" w:color="1EADDB"/>
          </w:rPr>
          <w:t>Gender</w:t>
        </w:r>
        <w:r>
          <w:rPr>
            <w:color w:val="1EADDB"/>
            <w:spacing w:val="17"/>
            <w:sz w:val="22"/>
            <w:u w:val="single" w:color="1EADDB"/>
          </w:rPr>
          <w:t> </w:t>
        </w:r>
        <w:r>
          <w:rPr>
            <w:color w:val="1EADDB"/>
            <w:sz w:val="22"/>
            <w:u w:val="single" w:color="1EADDB"/>
          </w:rPr>
          <w:t>Diversity</w:t>
        </w:r>
        <w:r>
          <w:rPr>
            <w:color w:val="1EADDB"/>
            <w:spacing w:val="18"/>
            <w:sz w:val="22"/>
            <w:u w:val="single" w:color="1EADDB"/>
          </w:rPr>
          <w:t> </w:t>
        </w:r>
        <w:r>
          <w:rPr>
            <w:color w:val="1EADDB"/>
            <w:sz w:val="22"/>
            <w:u w:val="single" w:color="1EADDB"/>
          </w:rPr>
          <w:t>Makes</w:t>
        </w:r>
        <w:r>
          <w:rPr>
            <w:color w:val="1EADDB"/>
            <w:spacing w:val="17"/>
            <w:sz w:val="22"/>
            <w:u w:val="single" w:color="1EADDB"/>
          </w:rPr>
          <w:t> </w:t>
        </w:r>
        <w:r>
          <w:rPr>
            <w:color w:val="1EADDB"/>
            <w:sz w:val="22"/>
            <w:u w:val="single" w:color="1EADDB"/>
          </w:rPr>
          <w:t>Firms</w:t>
        </w:r>
        <w:r>
          <w:rPr>
            <w:color w:val="1EADDB"/>
            <w:spacing w:val="18"/>
            <w:sz w:val="22"/>
            <w:u w:val="single" w:color="1EADDB"/>
          </w:rPr>
          <w:t> </w:t>
        </w:r>
        <w:r>
          <w:rPr>
            <w:color w:val="1EADDB"/>
            <w:sz w:val="22"/>
            <w:u w:val="single" w:color="1EADDB"/>
          </w:rPr>
          <w:t>More</w:t>
        </w:r>
        <w:r>
          <w:rPr>
            <w:color w:val="1EADDB"/>
            <w:spacing w:val="18"/>
            <w:sz w:val="22"/>
            <w:u w:val="single" w:color="1EADDB"/>
          </w:rPr>
          <w:t> </w:t>
        </w:r>
        <w:r>
          <w:rPr>
            <w:color w:val="1EADDB"/>
            <w:sz w:val="22"/>
            <w:u w:val="single" w:color="1EADDB"/>
          </w:rPr>
          <w:t>Productive”</w:t>
        </w:r>
      </w:hyperlink>
      <w:r>
        <w:rPr>
          <w:color w:val="212121"/>
          <w:sz w:val="22"/>
        </w:rPr>
        <w:t>;</w:t>
      </w:r>
    </w:p>
    <w:p>
      <w:pPr>
        <w:spacing w:after="0" w:line="340" w:lineRule="auto"/>
        <w:jc w:val="left"/>
        <w:rPr>
          <w:sz w:val="22"/>
        </w:rPr>
        <w:sectPr>
          <w:pgSz w:w="12240" w:h="15840"/>
          <w:pgMar w:header="99" w:footer="60" w:top="400" w:bottom="260" w:left="1260" w:right="1280"/>
        </w:sectPr>
      </w:pPr>
    </w:p>
    <w:p>
      <w:pPr>
        <w:pStyle w:val="BodyText"/>
        <w:spacing w:before="95"/>
        <w:ind w:left="125"/>
      </w:pPr>
      <w:r>
        <w:rPr>
          <w:color w:val="212121"/>
        </w:rPr>
        <w:t>and McKinsey &amp; Company, “Women in the Workplace 2019”, October 2019. (</w:t>
      </w:r>
      <w:r>
        <w:rPr>
          <w:rFonts w:ascii="Segoe UI Symbol" w:hAnsi="Segoe UI Symbol"/>
          <w:color w:val="1EADDB"/>
        </w:rPr>
        <w:t>⇡</w:t>
      </w:r>
      <w:r>
        <w:rPr>
          <w:color w:val="1EADDB"/>
        </w:rPr>
        <w:t>back to text</w:t>
      </w:r>
      <w:r>
        <w:rPr>
          <w:color w:val="212121"/>
        </w:rPr>
        <w:t>)</w:t>
      </w:r>
    </w:p>
    <w:p>
      <w:pPr>
        <w:pStyle w:val="ListParagraph"/>
        <w:numPr>
          <w:ilvl w:val="0"/>
          <w:numId w:val="1"/>
        </w:numPr>
        <w:tabs>
          <w:tab w:pos="365" w:val="left" w:leader="none"/>
        </w:tabs>
        <w:spacing w:line="312" w:lineRule="auto" w:before="249" w:after="0"/>
        <w:ind w:left="124" w:right="252" w:firstLine="0"/>
        <w:jc w:val="left"/>
        <w:rPr>
          <w:sz w:val="22"/>
        </w:rPr>
      </w:pPr>
      <w:r>
        <w:rPr>
          <w:color w:val="212121"/>
          <w:sz w:val="22"/>
        </w:rPr>
        <w:t>ILO, Women in Business and Management: The business case for change, Geneva, 2019.. (</w:t>
      </w:r>
      <w:r>
        <w:rPr>
          <w:rFonts w:ascii="Segoe UI Symbol" w:hAnsi="Segoe UI Symbol"/>
          <w:color w:val="1EADDB"/>
          <w:sz w:val="22"/>
        </w:rPr>
        <w:t>⇡</w:t>
      </w:r>
      <w:r>
        <w:rPr>
          <w:color w:val="1EADDB"/>
          <w:sz w:val="22"/>
        </w:rPr>
        <w:t>back to</w:t>
      </w:r>
      <w:r>
        <w:rPr>
          <w:color w:val="1EADDB"/>
          <w:spacing w:val="2"/>
          <w:sz w:val="22"/>
        </w:rPr>
        <w:t> </w:t>
      </w:r>
      <w:r>
        <w:rPr>
          <w:color w:val="1EADDB"/>
          <w:sz w:val="22"/>
        </w:rPr>
        <w:t>text</w:t>
      </w:r>
      <w:r>
        <w:rPr>
          <w:color w:val="212121"/>
          <w:sz w:val="22"/>
        </w:rPr>
        <w:t>)</w:t>
      </w:r>
    </w:p>
    <w:p>
      <w:pPr>
        <w:pStyle w:val="ListParagraph"/>
        <w:numPr>
          <w:ilvl w:val="0"/>
          <w:numId w:val="1"/>
        </w:numPr>
        <w:tabs>
          <w:tab w:pos="365" w:val="left" w:leader="none"/>
        </w:tabs>
        <w:spacing w:line="312" w:lineRule="auto" w:before="160" w:after="0"/>
        <w:ind w:left="124" w:right="356" w:firstLine="0"/>
        <w:jc w:val="left"/>
        <w:rPr>
          <w:sz w:val="22"/>
        </w:rPr>
      </w:pPr>
      <w:r>
        <w:rPr>
          <w:color w:val="212121"/>
          <w:sz w:val="22"/>
        </w:rPr>
        <w:t>United Nations Department of Economic and Social Affairs (UNDESA), Statistical Division,</w:t>
      </w:r>
      <w:r>
        <w:rPr>
          <w:color w:val="1EADDB"/>
          <w:sz w:val="22"/>
          <w:u w:val="single" w:color="1EADDB"/>
        </w:rPr>
        <w:t> </w:t>
      </w:r>
      <w:hyperlink r:id="rId16">
        <w:r>
          <w:rPr>
            <w:color w:val="1EADDB"/>
            <w:sz w:val="22"/>
            <w:u w:val="single" w:color="1EADDB"/>
          </w:rPr>
          <w:t>Sustainable Development Goals Report 2020</w:t>
        </w:r>
      </w:hyperlink>
      <w:r>
        <w:rPr>
          <w:color w:val="212121"/>
          <w:sz w:val="22"/>
        </w:rPr>
        <w:t>. (</w:t>
      </w:r>
      <w:r>
        <w:rPr>
          <w:rFonts w:ascii="Segoe UI Symbol" w:hAnsi="Segoe UI Symbol"/>
          <w:color w:val="1EADDB"/>
          <w:sz w:val="22"/>
        </w:rPr>
        <w:t>⇡</w:t>
      </w:r>
      <w:r>
        <w:rPr>
          <w:color w:val="1EADDB"/>
          <w:sz w:val="22"/>
        </w:rPr>
        <w:t>back to</w:t>
      </w:r>
      <w:r>
        <w:rPr>
          <w:color w:val="1EADDB"/>
          <w:spacing w:val="19"/>
          <w:sz w:val="22"/>
        </w:rPr>
        <w:t> </w:t>
      </w:r>
      <w:r>
        <w:rPr>
          <w:color w:val="1EADDB"/>
          <w:sz w:val="22"/>
        </w:rPr>
        <w:t>text</w:t>
      </w:r>
      <w:r>
        <w:rPr>
          <w:color w:val="212121"/>
          <w:sz w:val="22"/>
        </w:rPr>
        <w:t>)</w:t>
      </w:r>
    </w:p>
    <w:p>
      <w:pPr>
        <w:pStyle w:val="ListParagraph"/>
        <w:numPr>
          <w:ilvl w:val="0"/>
          <w:numId w:val="1"/>
        </w:numPr>
        <w:tabs>
          <w:tab w:pos="365" w:val="left" w:leader="none"/>
        </w:tabs>
        <w:spacing w:line="312" w:lineRule="auto" w:before="161" w:after="0"/>
        <w:ind w:left="124" w:right="353" w:firstLine="0"/>
        <w:jc w:val="left"/>
        <w:rPr>
          <w:sz w:val="22"/>
        </w:rPr>
      </w:pPr>
      <w:r>
        <w:rPr>
          <w:color w:val="212121"/>
          <w:sz w:val="22"/>
        </w:rPr>
        <w:t>ILO, Women in Business and Management: A global survey of enterprises, Geneva, 2019. (</w:t>
      </w:r>
      <w:r>
        <w:rPr>
          <w:rFonts w:ascii="Segoe UI Symbol" w:hAnsi="Segoe UI Symbol"/>
          <w:color w:val="1EADDB"/>
          <w:sz w:val="22"/>
        </w:rPr>
        <w:t>⇡</w:t>
      </w:r>
      <w:r>
        <w:rPr>
          <w:color w:val="1EADDB"/>
          <w:sz w:val="22"/>
        </w:rPr>
        <w:t>back to</w:t>
      </w:r>
      <w:r>
        <w:rPr>
          <w:color w:val="1EADDB"/>
          <w:spacing w:val="2"/>
          <w:sz w:val="22"/>
        </w:rPr>
        <w:t> </w:t>
      </w:r>
      <w:r>
        <w:rPr>
          <w:color w:val="1EADDB"/>
          <w:sz w:val="22"/>
        </w:rPr>
        <w:t>text</w:t>
      </w:r>
      <w:r>
        <w:rPr>
          <w:color w:val="212121"/>
          <w:sz w:val="22"/>
        </w:rPr>
        <w:t>)</w:t>
      </w:r>
    </w:p>
    <w:p>
      <w:pPr>
        <w:pStyle w:val="ListParagraph"/>
        <w:numPr>
          <w:ilvl w:val="0"/>
          <w:numId w:val="1"/>
        </w:numPr>
        <w:tabs>
          <w:tab w:pos="365" w:val="left" w:leader="none"/>
        </w:tabs>
        <w:spacing w:line="312" w:lineRule="auto" w:before="161" w:after="0"/>
        <w:ind w:left="124" w:right="340" w:firstLine="0"/>
        <w:jc w:val="left"/>
        <w:rPr>
          <w:sz w:val="22"/>
        </w:rPr>
      </w:pPr>
      <w:r>
        <w:rPr>
          <w:color w:val="212121"/>
          <w:sz w:val="22"/>
        </w:rPr>
        <w:t>The regional groupings shown here are not the same as those used under the Sustainable Development Goals (SDGs). (</w:t>
      </w:r>
      <w:r>
        <w:rPr>
          <w:rFonts w:ascii="Segoe UI Symbol" w:hAnsi="Segoe UI Symbol"/>
          <w:color w:val="1EADDB"/>
          <w:sz w:val="22"/>
        </w:rPr>
        <w:t>⇡</w:t>
      </w:r>
      <w:r>
        <w:rPr>
          <w:color w:val="1EADDB"/>
          <w:sz w:val="22"/>
        </w:rPr>
        <w:t>back to</w:t>
      </w:r>
      <w:r>
        <w:rPr>
          <w:color w:val="1EADDB"/>
          <w:spacing w:val="9"/>
          <w:sz w:val="22"/>
        </w:rPr>
        <w:t> </w:t>
      </w:r>
      <w:r>
        <w:rPr>
          <w:color w:val="1EADDB"/>
          <w:sz w:val="22"/>
        </w:rPr>
        <w:t>text</w:t>
      </w:r>
      <w:r>
        <w:rPr>
          <w:color w:val="212121"/>
          <w:sz w:val="22"/>
        </w:rPr>
        <w:t>)</w:t>
      </w:r>
    </w:p>
    <w:p>
      <w:pPr>
        <w:pStyle w:val="ListParagraph"/>
        <w:numPr>
          <w:ilvl w:val="0"/>
          <w:numId w:val="1"/>
        </w:numPr>
        <w:tabs>
          <w:tab w:pos="365" w:val="left" w:leader="none"/>
        </w:tabs>
        <w:spacing w:line="312" w:lineRule="auto" w:before="161" w:after="0"/>
        <w:ind w:left="124" w:right="314" w:firstLine="0"/>
        <w:jc w:val="left"/>
        <w:rPr>
          <w:sz w:val="22"/>
        </w:rPr>
      </w:pPr>
      <w:r>
        <w:rPr>
          <w:color w:val="212121"/>
          <w:sz w:val="22"/>
        </w:rPr>
        <w:t>ILO, Women in Business and Management: The business case for change, Geneva, 2019. (</w:t>
      </w:r>
      <w:r>
        <w:rPr>
          <w:rFonts w:ascii="Segoe UI Symbol" w:hAnsi="Segoe UI Symbol"/>
          <w:color w:val="1EADDB"/>
          <w:sz w:val="22"/>
        </w:rPr>
        <w:t>⇡</w:t>
      </w:r>
      <w:r>
        <w:rPr>
          <w:color w:val="1EADDB"/>
          <w:sz w:val="22"/>
        </w:rPr>
        <w:t>back to</w:t>
      </w:r>
      <w:r>
        <w:rPr>
          <w:color w:val="1EADDB"/>
          <w:spacing w:val="2"/>
          <w:sz w:val="22"/>
        </w:rPr>
        <w:t> </w:t>
      </w:r>
      <w:r>
        <w:rPr>
          <w:color w:val="1EADDB"/>
          <w:sz w:val="22"/>
        </w:rPr>
        <w:t>text</w:t>
      </w:r>
      <w:r>
        <w:rPr>
          <w:color w:val="212121"/>
          <w:sz w:val="22"/>
        </w:rPr>
        <w:t>)</w:t>
      </w:r>
    </w:p>
    <w:p>
      <w:pPr>
        <w:pStyle w:val="ListParagraph"/>
        <w:numPr>
          <w:ilvl w:val="0"/>
          <w:numId w:val="1"/>
        </w:numPr>
        <w:tabs>
          <w:tab w:pos="365" w:val="left" w:leader="none"/>
        </w:tabs>
        <w:spacing w:line="240" w:lineRule="auto" w:before="129" w:after="0"/>
        <w:ind w:left="364" w:right="0" w:hanging="241"/>
        <w:jc w:val="left"/>
        <w:rPr>
          <w:sz w:val="22"/>
        </w:rPr>
      </w:pPr>
      <w:hyperlink r:id="rId17">
        <w:r>
          <w:rPr>
            <w:color w:val="1EADDB"/>
            <w:sz w:val="22"/>
            <w:u w:val="single" w:color="1EADDB"/>
          </w:rPr>
          <w:t>World Bank, “Enterprises surveys”</w:t>
        </w:r>
      </w:hyperlink>
      <w:r>
        <w:rPr>
          <w:color w:val="212121"/>
          <w:sz w:val="22"/>
        </w:rPr>
        <w:t>. (</w:t>
      </w:r>
      <w:r>
        <w:rPr>
          <w:rFonts w:ascii="Segoe UI Symbol" w:hAnsi="Segoe UI Symbol"/>
          <w:color w:val="1EADDB"/>
          <w:sz w:val="22"/>
        </w:rPr>
        <w:t>⇡</w:t>
      </w:r>
      <w:r>
        <w:rPr>
          <w:color w:val="1EADDB"/>
          <w:sz w:val="22"/>
        </w:rPr>
        <w:t>back to</w:t>
      </w:r>
      <w:r>
        <w:rPr>
          <w:color w:val="1EADDB"/>
          <w:spacing w:val="13"/>
          <w:sz w:val="22"/>
        </w:rPr>
        <w:t> </w:t>
      </w:r>
      <w:r>
        <w:rPr>
          <w:color w:val="1EADDB"/>
          <w:sz w:val="22"/>
        </w:rPr>
        <w:t>text</w:t>
      </w:r>
      <w:r>
        <w:rPr>
          <w:color w:val="212121"/>
          <w:sz w:val="22"/>
        </w:rPr>
        <w:t>)</w:t>
      </w:r>
    </w:p>
    <w:p>
      <w:pPr>
        <w:pStyle w:val="ListParagraph"/>
        <w:numPr>
          <w:ilvl w:val="0"/>
          <w:numId w:val="1"/>
        </w:numPr>
        <w:tabs>
          <w:tab w:pos="365" w:val="left" w:leader="none"/>
        </w:tabs>
        <w:spacing w:line="312" w:lineRule="auto" w:before="249" w:after="0"/>
        <w:ind w:left="124" w:right="266" w:firstLine="0"/>
        <w:jc w:val="left"/>
        <w:rPr>
          <w:sz w:val="22"/>
        </w:rPr>
      </w:pPr>
      <w:r>
        <w:rPr>
          <w:color w:val="212121"/>
          <w:sz w:val="22"/>
        </w:rPr>
        <w:t>The World Bank Group, “Female Top Managers in Malaysia”, Enterprise Note No.36, 2018. (</w:t>
      </w:r>
      <w:r>
        <w:rPr>
          <w:rFonts w:ascii="Segoe UI Symbol" w:hAnsi="Segoe UI Symbol"/>
          <w:color w:val="1EADDB"/>
          <w:sz w:val="22"/>
        </w:rPr>
        <w:t>⇡</w:t>
      </w:r>
      <w:r>
        <w:rPr>
          <w:color w:val="1EADDB"/>
          <w:sz w:val="22"/>
        </w:rPr>
        <w:t>back to</w:t>
      </w:r>
      <w:r>
        <w:rPr>
          <w:color w:val="1EADDB"/>
          <w:spacing w:val="2"/>
          <w:sz w:val="22"/>
        </w:rPr>
        <w:t> </w:t>
      </w:r>
      <w:r>
        <w:rPr>
          <w:color w:val="1EADDB"/>
          <w:sz w:val="22"/>
        </w:rPr>
        <w:t>text</w:t>
      </w:r>
      <w:r>
        <w:rPr>
          <w:color w:val="212121"/>
          <w:sz w:val="22"/>
        </w:rPr>
        <w:t>)</w:t>
      </w:r>
    </w:p>
    <w:p>
      <w:pPr>
        <w:pStyle w:val="ListParagraph"/>
        <w:numPr>
          <w:ilvl w:val="0"/>
          <w:numId w:val="1"/>
        </w:numPr>
        <w:tabs>
          <w:tab w:pos="485" w:val="left" w:leader="none"/>
        </w:tabs>
        <w:spacing w:line="312" w:lineRule="auto" w:before="160" w:after="0"/>
        <w:ind w:left="124" w:right="194" w:firstLine="0"/>
        <w:jc w:val="left"/>
        <w:rPr>
          <w:sz w:val="22"/>
        </w:rPr>
      </w:pPr>
      <w:r>
        <w:rPr>
          <w:color w:val="212121"/>
          <w:sz w:val="22"/>
        </w:rPr>
        <w:t>ILO, Women in Business and Management: The business case for change, Geneva, 2019. (</w:t>
      </w:r>
      <w:r>
        <w:rPr>
          <w:rFonts w:ascii="Segoe UI Symbol" w:hAnsi="Segoe UI Symbol"/>
          <w:color w:val="1EADDB"/>
          <w:sz w:val="22"/>
        </w:rPr>
        <w:t>⇡</w:t>
      </w:r>
      <w:r>
        <w:rPr>
          <w:color w:val="1EADDB"/>
          <w:sz w:val="22"/>
        </w:rPr>
        <w:t>back to</w:t>
      </w:r>
      <w:r>
        <w:rPr>
          <w:color w:val="1EADDB"/>
          <w:spacing w:val="2"/>
          <w:sz w:val="22"/>
        </w:rPr>
        <w:t> </w:t>
      </w:r>
      <w:r>
        <w:rPr>
          <w:color w:val="1EADDB"/>
          <w:sz w:val="22"/>
        </w:rPr>
        <w:t>text</w:t>
      </w:r>
      <w:r>
        <w:rPr>
          <w:color w:val="212121"/>
          <w:sz w:val="22"/>
        </w:rPr>
        <w:t>)</w:t>
      </w:r>
    </w:p>
    <w:p>
      <w:pPr>
        <w:pStyle w:val="ListParagraph"/>
        <w:numPr>
          <w:ilvl w:val="0"/>
          <w:numId w:val="1"/>
        </w:numPr>
        <w:tabs>
          <w:tab w:pos="485" w:val="left" w:leader="none"/>
        </w:tabs>
        <w:spacing w:line="326" w:lineRule="auto" w:before="161" w:after="0"/>
        <w:ind w:left="124" w:right="358" w:hanging="1"/>
        <w:jc w:val="left"/>
        <w:rPr>
          <w:sz w:val="22"/>
        </w:rPr>
      </w:pPr>
      <w:hyperlink r:id="rId18">
        <w:r>
          <w:rPr>
            <w:color w:val="1EADDB"/>
            <w:sz w:val="22"/>
            <w:u w:val="single" w:color="1EADDB"/>
          </w:rPr>
          <w:t>Fortune 500</w:t>
        </w:r>
        <w:r>
          <w:rPr>
            <w:color w:val="1EADDB"/>
            <w:sz w:val="22"/>
          </w:rPr>
          <w:t> </w:t>
        </w:r>
      </w:hyperlink>
      <w:r>
        <w:rPr>
          <w:color w:val="212121"/>
          <w:sz w:val="22"/>
        </w:rPr>
        <w:t>is an annual list compiled and published by Fortune magazine that ranks the 500 largest corporations in the United States of America by total revenue for the respective fiscal year. (</w:t>
      </w:r>
      <w:r>
        <w:rPr>
          <w:rFonts w:ascii="Segoe UI Symbol" w:hAnsi="Segoe UI Symbol"/>
          <w:color w:val="1EADDB"/>
          <w:sz w:val="22"/>
        </w:rPr>
        <w:t>⇡</w:t>
      </w:r>
      <w:r>
        <w:rPr>
          <w:color w:val="1EADDB"/>
          <w:sz w:val="22"/>
        </w:rPr>
        <w:t>back to</w:t>
      </w:r>
      <w:r>
        <w:rPr>
          <w:color w:val="1EADDB"/>
          <w:spacing w:val="5"/>
          <w:sz w:val="22"/>
        </w:rPr>
        <w:t> </w:t>
      </w:r>
      <w:r>
        <w:rPr>
          <w:color w:val="1EADDB"/>
          <w:sz w:val="22"/>
        </w:rPr>
        <w:t>text</w:t>
      </w:r>
      <w:r>
        <w:rPr>
          <w:color w:val="212121"/>
          <w:sz w:val="22"/>
        </w:rPr>
        <w:t>)</w:t>
      </w:r>
    </w:p>
    <w:p>
      <w:pPr>
        <w:pStyle w:val="ListParagraph"/>
        <w:numPr>
          <w:ilvl w:val="0"/>
          <w:numId w:val="1"/>
        </w:numPr>
        <w:tabs>
          <w:tab w:pos="485" w:val="left" w:leader="none"/>
        </w:tabs>
        <w:spacing w:line="312" w:lineRule="auto" w:before="144" w:after="0"/>
        <w:ind w:left="125" w:right="746" w:hanging="1"/>
        <w:jc w:val="left"/>
        <w:rPr>
          <w:sz w:val="22"/>
        </w:rPr>
      </w:pPr>
      <w:r>
        <w:rPr>
          <w:color w:val="212121"/>
          <w:sz w:val="22"/>
        </w:rPr>
        <w:t>Fortune (magazine),</w:t>
      </w:r>
      <w:r>
        <w:rPr>
          <w:color w:val="1EADDB"/>
          <w:sz w:val="22"/>
        </w:rPr>
        <w:t> </w:t>
      </w:r>
      <w:hyperlink r:id="rId19">
        <w:r>
          <w:rPr>
            <w:color w:val="1EADDB"/>
            <w:sz w:val="22"/>
            <w:u w:val="single" w:color="1EADDB"/>
          </w:rPr>
          <w:t>“The number of female CEOS in the Fortune 500 hits an all-time</w:t>
        </w:r>
      </w:hyperlink>
      <w:hyperlink r:id="rId19">
        <w:r>
          <w:rPr>
            <w:color w:val="1EADDB"/>
            <w:sz w:val="22"/>
            <w:u w:val="single" w:color="1EADDB"/>
          </w:rPr>
          <w:t> record”</w:t>
        </w:r>
      </w:hyperlink>
      <w:r>
        <w:rPr>
          <w:color w:val="212121"/>
          <w:sz w:val="22"/>
        </w:rPr>
        <w:t>. (</w:t>
      </w:r>
      <w:r>
        <w:rPr>
          <w:rFonts w:ascii="Segoe UI Symbol" w:hAnsi="Segoe UI Symbol"/>
          <w:color w:val="1EADDB"/>
          <w:sz w:val="22"/>
        </w:rPr>
        <w:t>⇡</w:t>
      </w:r>
      <w:r>
        <w:rPr>
          <w:color w:val="1EADDB"/>
          <w:sz w:val="22"/>
        </w:rPr>
        <w:t>back to</w:t>
      </w:r>
      <w:r>
        <w:rPr>
          <w:color w:val="1EADDB"/>
          <w:spacing w:val="4"/>
          <w:sz w:val="22"/>
        </w:rPr>
        <w:t> </w:t>
      </w:r>
      <w:r>
        <w:rPr>
          <w:color w:val="1EADDB"/>
          <w:sz w:val="22"/>
        </w:rPr>
        <w:t>text</w:t>
      </w:r>
      <w:r>
        <w:rPr>
          <w:color w:val="212121"/>
          <w:sz w:val="22"/>
        </w:rPr>
        <w:t>)</w:t>
      </w:r>
    </w:p>
    <w:p>
      <w:pPr>
        <w:pStyle w:val="ListParagraph"/>
        <w:numPr>
          <w:ilvl w:val="0"/>
          <w:numId w:val="1"/>
        </w:numPr>
        <w:tabs>
          <w:tab w:pos="486" w:val="left" w:leader="none"/>
        </w:tabs>
        <w:spacing w:line="312" w:lineRule="auto" w:before="161" w:after="0"/>
        <w:ind w:left="125" w:right="194" w:firstLine="0"/>
        <w:jc w:val="left"/>
        <w:rPr>
          <w:sz w:val="22"/>
        </w:rPr>
      </w:pPr>
      <w:r>
        <w:rPr>
          <w:color w:val="212121"/>
          <w:sz w:val="22"/>
        </w:rPr>
        <w:t>ILO, Women in Business and Management: The business case for change, Geneva, 2019. (</w:t>
      </w:r>
      <w:r>
        <w:rPr>
          <w:rFonts w:ascii="Segoe UI Symbol" w:hAnsi="Segoe UI Symbol"/>
          <w:color w:val="1EADDB"/>
          <w:sz w:val="22"/>
        </w:rPr>
        <w:t>⇡</w:t>
      </w:r>
      <w:r>
        <w:rPr>
          <w:color w:val="1EADDB"/>
          <w:sz w:val="22"/>
        </w:rPr>
        <w:t>back to</w:t>
      </w:r>
      <w:r>
        <w:rPr>
          <w:color w:val="1EADDB"/>
          <w:spacing w:val="2"/>
          <w:sz w:val="22"/>
        </w:rPr>
        <w:t> </w:t>
      </w:r>
      <w:r>
        <w:rPr>
          <w:color w:val="1EADDB"/>
          <w:sz w:val="22"/>
        </w:rPr>
        <w:t>text</w:t>
      </w:r>
      <w:r>
        <w:rPr>
          <w:color w:val="212121"/>
          <w:sz w:val="22"/>
        </w:rPr>
        <w:t>)</w:t>
      </w:r>
    </w:p>
    <w:p>
      <w:pPr>
        <w:spacing w:after="0" w:line="312" w:lineRule="auto"/>
        <w:jc w:val="left"/>
        <w:rPr>
          <w:sz w:val="22"/>
        </w:rPr>
        <w:sectPr>
          <w:pgSz w:w="12240" w:h="15840"/>
          <w:pgMar w:header="99" w:footer="60" w:top="400" w:bottom="260" w:left="1260" w:right="1280"/>
        </w:sectPr>
      </w:pPr>
    </w:p>
    <w:p>
      <w:pPr>
        <w:pStyle w:val="BodyText"/>
        <w:spacing w:before="11"/>
        <w:rPr>
          <w:sz w:val="11"/>
        </w:rPr>
      </w:pPr>
    </w:p>
    <w:p>
      <w:pPr>
        <w:pStyle w:val="BodyText"/>
        <w:ind w:left="125"/>
        <w:rPr>
          <w:sz w:val="20"/>
        </w:rPr>
      </w:pPr>
      <w:r>
        <w:rPr>
          <w:sz w:val="20"/>
        </w:rPr>
        <w:drawing>
          <wp:inline distT="0" distB="0" distL="0" distR="0">
            <wp:extent cx="4805405" cy="3200400"/>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20" cstate="print"/>
                    <a:stretch>
                      <a:fillRect/>
                    </a:stretch>
                  </pic:blipFill>
                  <pic:spPr>
                    <a:xfrm>
                      <a:off x="0" y="0"/>
                      <a:ext cx="4805405" cy="3200400"/>
                    </a:xfrm>
                    <a:prstGeom prst="rect">
                      <a:avLst/>
                    </a:prstGeom>
                  </pic:spPr>
                </pic:pic>
              </a:graphicData>
            </a:graphic>
          </wp:inline>
        </w:drawing>
      </w:r>
      <w:r>
        <w:rPr>
          <w:sz w:val="20"/>
        </w:rPr>
      </w:r>
    </w:p>
    <w:p>
      <w:pPr>
        <w:pStyle w:val="BodyText"/>
        <w:rPr>
          <w:sz w:val="20"/>
        </w:rPr>
      </w:pPr>
    </w:p>
    <w:p>
      <w:pPr>
        <w:pStyle w:val="BodyText"/>
        <w:spacing w:before="11"/>
        <w:rPr>
          <w:sz w:val="20"/>
        </w:rPr>
      </w:pPr>
      <w:r>
        <w:rPr/>
        <w:pict>
          <v:rect style="position:absolute;margin-left:69.25pt;margin-top:13.99997pt;width:473.251pt;height:.751pt;mso-position-horizontal-relative:page;mso-position-vertical-relative:paragraph;z-index:-15707136;mso-wrap-distance-left:0;mso-wrap-distance-right:0" filled="true" fillcolor="#e0e0e0" stroked="false">
            <v:fill type="solid"/>
            <w10:wrap type="topAndBottom"/>
          </v:rect>
        </w:pict>
      </w:r>
    </w:p>
    <w:sectPr>
      <w:pgSz w:w="12240" w:h="15840"/>
      <w:pgMar w:header="99" w:footer="60" w:top="400" w:bottom="260" w:left="1260" w:right="1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egoe UI Symbol">
    <w:altName w:val="Segoe UI Symbo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pt;margin-top:777.97998pt;width:455.7pt;height:12pt;mso-position-horizontal-relative:page;mso-position-vertical-relative:page;z-index:-15909888" type="#_x0000_t202" filled="false" stroked="false">
          <v:textbox inset="0,0,0,0">
            <w:txbxContent>
              <w:p>
                <w:pPr>
                  <w:spacing w:before="12"/>
                  <w:ind w:left="20" w:right="0" w:firstLine="0"/>
                  <w:jc w:val="left"/>
                  <w:rPr>
                    <w:rFonts w:ascii="Times New Roman"/>
                    <w:sz w:val="18"/>
                  </w:rPr>
                </w:pPr>
                <w:r>
                  <w:rPr>
                    <w:rFonts w:ascii="Times New Roman"/>
                    <w:sz w:val="18"/>
                  </w:rPr>
                  <w:t>file:///C/MyProjects/worlds-women-2020/printable/html/0d1ff2530f17451bb8437c6ea584282e.html[1/12/2021 10:25:57 PM]</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pt;margin-top:3.97998pt;width:102.5pt;height:12pt;mso-position-horizontal-relative:page;mso-position-vertical-relative:page;z-index:-15910400" type="#_x0000_t202" filled="false" stroked="false">
          <v:textbox inset="0,0,0,0">
            <w:txbxContent>
              <w:p>
                <w:pPr>
                  <w:spacing w:before="12"/>
                  <w:ind w:left="20" w:right="0" w:firstLine="0"/>
                  <w:jc w:val="left"/>
                  <w:rPr>
                    <w:rFonts w:ascii="Times New Roman"/>
                    <w:sz w:val="18"/>
                  </w:rPr>
                </w:pPr>
                <w:r>
                  <w:rPr>
                    <w:rFonts w:ascii="Times New Roman"/>
                    <w:sz w:val="18"/>
                  </w:rPr>
                  <w:t>Power and decision-making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125" w:hanging="240"/>
        <w:jc w:val="left"/>
      </w:pPr>
      <w:rPr>
        <w:rFonts w:hint="default" w:ascii="Arial" w:hAnsi="Arial" w:eastAsia="Arial" w:cs="Arial"/>
        <w:color w:val="212121"/>
        <w:spacing w:val="-6"/>
        <w:w w:val="102"/>
        <w:sz w:val="22"/>
        <w:szCs w:val="22"/>
      </w:rPr>
    </w:lvl>
    <w:lvl w:ilvl="1">
      <w:start w:val="0"/>
      <w:numFmt w:val="bullet"/>
      <w:lvlText w:val="•"/>
      <w:lvlJc w:val="left"/>
      <w:pPr>
        <w:ind w:left="1078" w:hanging="240"/>
      </w:pPr>
      <w:rPr>
        <w:rFonts w:hint="default"/>
      </w:rPr>
    </w:lvl>
    <w:lvl w:ilvl="2">
      <w:start w:val="0"/>
      <w:numFmt w:val="bullet"/>
      <w:lvlText w:val="•"/>
      <w:lvlJc w:val="left"/>
      <w:pPr>
        <w:ind w:left="2036" w:hanging="240"/>
      </w:pPr>
      <w:rPr>
        <w:rFonts w:hint="default"/>
      </w:rPr>
    </w:lvl>
    <w:lvl w:ilvl="3">
      <w:start w:val="0"/>
      <w:numFmt w:val="bullet"/>
      <w:lvlText w:val="•"/>
      <w:lvlJc w:val="left"/>
      <w:pPr>
        <w:ind w:left="2994" w:hanging="240"/>
      </w:pPr>
      <w:rPr>
        <w:rFonts w:hint="default"/>
      </w:rPr>
    </w:lvl>
    <w:lvl w:ilvl="4">
      <w:start w:val="0"/>
      <w:numFmt w:val="bullet"/>
      <w:lvlText w:val="•"/>
      <w:lvlJc w:val="left"/>
      <w:pPr>
        <w:ind w:left="3952" w:hanging="240"/>
      </w:pPr>
      <w:rPr>
        <w:rFonts w:hint="default"/>
      </w:rPr>
    </w:lvl>
    <w:lvl w:ilvl="5">
      <w:start w:val="0"/>
      <w:numFmt w:val="bullet"/>
      <w:lvlText w:val="•"/>
      <w:lvlJc w:val="left"/>
      <w:pPr>
        <w:ind w:left="4910" w:hanging="240"/>
      </w:pPr>
      <w:rPr>
        <w:rFonts w:hint="default"/>
      </w:rPr>
    </w:lvl>
    <w:lvl w:ilvl="6">
      <w:start w:val="0"/>
      <w:numFmt w:val="bullet"/>
      <w:lvlText w:val="•"/>
      <w:lvlJc w:val="left"/>
      <w:pPr>
        <w:ind w:left="5868" w:hanging="240"/>
      </w:pPr>
      <w:rPr>
        <w:rFonts w:hint="default"/>
      </w:rPr>
    </w:lvl>
    <w:lvl w:ilvl="7">
      <w:start w:val="0"/>
      <w:numFmt w:val="bullet"/>
      <w:lvlText w:val="•"/>
      <w:lvlJc w:val="left"/>
      <w:pPr>
        <w:ind w:left="6826" w:hanging="240"/>
      </w:pPr>
      <w:rPr>
        <w:rFonts w:hint="default"/>
      </w:rPr>
    </w:lvl>
    <w:lvl w:ilvl="8">
      <w:start w:val="0"/>
      <w:numFmt w:val="bullet"/>
      <w:lvlText w:val="•"/>
      <w:lvlJc w:val="left"/>
      <w:pPr>
        <w:ind w:left="7784" w:hanging="2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79"/>
      <w:ind w:left="125"/>
      <w:outlineLvl w:val="1"/>
    </w:pPr>
    <w:rPr>
      <w:rFonts w:ascii="Arial" w:hAnsi="Arial" w:eastAsia="Arial" w:cs="Arial"/>
      <w:sz w:val="75"/>
      <w:szCs w:val="75"/>
    </w:rPr>
  </w:style>
  <w:style w:styleId="Heading2" w:type="paragraph">
    <w:name w:val="Heading 2"/>
    <w:basedOn w:val="Normal"/>
    <w:uiPriority w:val="1"/>
    <w:qFormat/>
    <w:pPr>
      <w:spacing w:before="80"/>
      <w:ind w:left="125"/>
      <w:outlineLvl w:val="2"/>
    </w:pPr>
    <w:rPr>
      <w:rFonts w:ascii="Arial" w:hAnsi="Arial" w:eastAsia="Arial" w:cs="Arial"/>
      <w:sz w:val="63"/>
      <w:szCs w:val="63"/>
    </w:rPr>
  </w:style>
  <w:style w:styleId="Heading3" w:type="paragraph">
    <w:name w:val="Heading 3"/>
    <w:basedOn w:val="Normal"/>
    <w:uiPriority w:val="1"/>
    <w:qFormat/>
    <w:pPr>
      <w:ind w:left="125" w:right="1150"/>
      <w:outlineLvl w:val="3"/>
    </w:pPr>
    <w:rPr>
      <w:rFonts w:ascii="Arial" w:hAnsi="Arial" w:eastAsia="Arial" w:cs="Arial"/>
      <w:sz w:val="45"/>
      <w:szCs w:val="45"/>
    </w:rPr>
  </w:style>
  <w:style w:styleId="Heading4" w:type="paragraph">
    <w:name w:val="Heading 4"/>
    <w:basedOn w:val="Normal"/>
    <w:uiPriority w:val="1"/>
    <w:qFormat/>
    <w:pPr>
      <w:spacing w:before="97"/>
      <w:ind w:left="125"/>
      <w:outlineLvl w:val="4"/>
    </w:pPr>
    <w:rPr>
      <w:rFonts w:ascii="Arial" w:hAnsi="Arial" w:eastAsia="Arial" w:cs="Arial"/>
      <w:b/>
      <w:bCs/>
      <w:sz w:val="22"/>
      <w:szCs w:val="22"/>
    </w:rPr>
  </w:style>
  <w:style w:styleId="ListParagraph" w:type="paragraph">
    <w:name w:val="List Paragraph"/>
    <w:basedOn w:val="Normal"/>
    <w:uiPriority w:val="1"/>
    <w:qFormat/>
    <w:pPr>
      <w:spacing w:before="161"/>
      <w:ind w:left="124" w:right="194"/>
    </w:pPr>
    <w:rPr>
      <w:rFonts w:ascii="Arial" w:hAnsi="Arial" w:eastAsia="Arial" w:cs="Arial"/>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s://worlds-women-2020-data-undesa.hub.arcgis.com/app/27c1c1ad540347aabc70434238223919#NW1"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yperlink" Target="https://worlds-women-2020-data-undesa.hub.arcgis.com/app/894bed8498eb449a983af8b33a7125f3#ND2" TargetMode="External"/><Relationship Id="rId13" Type="http://schemas.openxmlformats.org/officeDocument/2006/relationships/image" Target="media/image5.jpeg"/><Relationship Id="rId14" Type="http://schemas.openxmlformats.org/officeDocument/2006/relationships/hyperlink" Target="https://www.ilo.org/global/publications/WCMS_702196/lang--en/index.htm" TargetMode="External"/><Relationship Id="rId15" Type="http://schemas.openxmlformats.org/officeDocument/2006/relationships/hyperlink" Target="https://hbr.org/2019/02/research-when-gender-diversity-makes-firms-more-productive" TargetMode="External"/><Relationship Id="rId16" Type="http://schemas.openxmlformats.org/officeDocument/2006/relationships/hyperlink" Target="https://unstats.un.org/sdgs" TargetMode="External"/><Relationship Id="rId17" Type="http://schemas.openxmlformats.org/officeDocument/2006/relationships/hyperlink" Target="http://www.enterprisesurveys.org/" TargetMode="External"/><Relationship Id="rId18" Type="http://schemas.openxmlformats.org/officeDocument/2006/relationships/hyperlink" Target="https://fortune.com/fortune500/" TargetMode="External"/><Relationship Id="rId19" Type="http://schemas.openxmlformats.org/officeDocument/2006/relationships/hyperlink" Target="https://fortune.com/2020/05/18/women-ceos-fortune-500-2020/" TargetMode="External"/><Relationship Id="rId20" Type="http://schemas.openxmlformats.org/officeDocument/2006/relationships/image" Target="media/image6.jpeg"/><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and decision-making</dc:title>
  <dcterms:created xsi:type="dcterms:W3CDTF">2021-01-13T03:30:53Z</dcterms:created>
  <dcterms:modified xsi:type="dcterms:W3CDTF">2021-01-13T03:30:53Z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2021-01-12T00:00:00Z</vt:filetime>
  </property>
  <property fmtid="{D5CDD505-2E9C-101B-9397-08002B2CF9AE}" pid="3" name="Creator">
    <vt:lpwstr>Adobe Acrobat 20.0</vt:lpwstr>
  </property>
  <property fmtid="{D5CDD505-2E9C-101B-9397-08002B2CF9AE}" pid="4" name="LastSaved">
    <vt:filetime>2021-01-13T00:00:00Z</vt:filetime>
  </property>
</Properties>
</file>