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6295"/>
        <w:gridCol w:w="6655"/>
      </w:tblGrid>
      <w:tr w:rsidR="005475D3" w:rsidRPr="004B34FB" w14:paraId="26081029" w14:textId="77777777" w:rsidTr="0D6729F1">
        <w:trPr>
          <w:trHeight w:val="458"/>
        </w:trPr>
        <w:tc>
          <w:tcPr>
            <w:tcW w:w="6295" w:type="dxa"/>
            <w:shd w:val="clear" w:color="auto" w:fill="FF0000"/>
          </w:tcPr>
          <w:p w14:paraId="5BD85F72" w14:textId="1DDAC4BB" w:rsidR="005475D3" w:rsidRPr="005475D3" w:rsidRDefault="005475D3" w:rsidP="005475D3">
            <w:pPr>
              <w:jc w:val="center"/>
              <w:rPr>
                <w:rFonts w:cstheme="minorHAnsi"/>
                <w:b/>
                <w:bCs/>
                <w:color w:val="FFFFFF" w:themeColor="background1"/>
                <w:sz w:val="24"/>
                <w:szCs w:val="24"/>
              </w:rPr>
            </w:pPr>
            <w:r w:rsidRPr="005475D3">
              <w:rPr>
                <w:rFonts w:cstheme="minorHAnsi"/>
                <w:b/>
                <w:bCs/>
                <w:color w:val="FFFFFF" w:themeColor="background1"/>
                <w:sz w:val="24"/>
                <w:szCs w:val="24"/>
              </w:rPr>
              <w:t>Tier 1</w:t>
            </w:r>
          </w:p>
        </w:tc>
        <w:tc>
          <w:tcPr>
            <w:tcW w:w="6655" w:type="dxa"/>
            <w:shd w:val="clear" w:color="auto" w:fill="FF0000"/>
          </w:tcPr>
          <w:p w14:paraId="16D28A15" w14:textId="32249AEC" w:rsidR="005475D3" w:rsidRPr="005475D3" w:rsidRDefault="005475D3" w:rsidP="005475D3">
            <w:pPr>
              <w:jc w:val="center"/>
              <w:rPr>
                <w:rFonts w:cstheme="minorHAnsi"/>
                <w:b/>
                <w:bCs/>
                <w:color w:val="FFFFFF" w:themeColor="background1"/>
                <w:sz w:val="24"/>
                <w:szCs w:val="24"/>
              </w:rPr>
            </w:pPr>
            <w:r w:rsidRPr="005475D3">
              <w:rPr>
                <w:rFonts w:cstheme="minorHAnsi"/>
                <w:b/>
                <w:bCs/>
                <w:color w:val="FFFFFF" w:themeColor="background1"/>
                <w:sz w:val="24"/>
                <w:szCs w:val="24"/>
              </w:rPr>
              <w:t>Tier 2</w:t>
            </w:r>
          </w:p>
        </w:tc>
      </w:tr>
      <w:tr w:rsidR="00CC3E7D" w:rsidRPr="00CD2649" w14:paraId="05231072" w14:textId="77777777" w:rsidTr="0D6729F1">
        <w:trPr>
          <w:trHeight w:val="800"/>
        </w:trPr>
        <w:tc>
          <w:tcPr>
            <w:tcW w:w="6295" w:type="dxa"/>
            <w:shd w:val="clear" w:color="auto" w:fill="auto"/>
          </w:tcPr>
          <w:p w14:paraId="27669D7F" w14:textId="56E392C7" w:rsidR="00CC3E7D" w:rsidRPr="00CD2649" w:rsidRDefault="3D32F67C" w:rsidP="3D32F67C">
            <w:pPr>
              <w:rPr>
                <w:rFonts w:ascii="Times" w:eastAsia="Times" w:hAnsi="Times" w:cs="Times"/>
              </w:rPr>
            </w:pPr>
            <w:r w:rsidRPr="3D32F67C">
              <w:rPr>
                <w:rFonts w:ascii="Times" w:eastAsia="Times" w:hAnsi="Times" w:cs="Times"/>
              </w:rPr>
              <w:t xml:space="preserve">Items are aligned to the Alternate Eligible Content (AEC).  The AEC has been reduced in depth, breadth, and complexity from the grade level eligible content.  Items reflect more simplistic accommodations and remove extraneous information. </w:t>
            </w:r>
          </w:p>
        </w:tc>
        <w:tc>
          <w:tcPr>
            <w:tcW w:w="6655" w:type="dxa"/>
          </w:tcPr>
          <w:p w14:paraId="26B4E788" w14:textId="7382B90D" w:rsidR="00CC3E7D" w:rsidRPr="00CD2649" w:rsidRDefault="3D32F67C" w:rsidP="3D32F67C">
            <w:pPr>
              <w:rPr>
                <w:rFonts w:ascii="Times" w:eastAsia="Times" w:hAnsi="Times" w:cs="Times"/>
              </w:rPr>
            </w:pPr>
            <w:r w:rsidRPr="3D32F67C">
              <w:rPr>
                <w:rFonts w:ascii="Times" w:eastAsia="Times" w:hAnsi="Times" w:cs="Times"/>
              </w:rPr>
              <w:t xml:space="preserve">Items are aligned to Alternate Eligible Content (AEC).  The AEC has been reduced in depth, breadth, and complexity from the grade level eligible content. </w:t>
            </w:r>
          </w:p>
        </w:tc>
      </w:tr>
      <w:tr w:rsidR="00CC3E7D" w:rsidRPr="00CD2649" w14:paraId="2090938F" w14:textId="77777777" w:rsidTr="0D6729F1">
        <w:trPr>
          <w:trHeight w:val="800"/>
        </w:trPr>
        <w:tc>
          <w:tcPr>
            <w:tcW w:w="6295" w:type="dxa"/>
            <w:shd w:val="clear" w:color="auto" w:fill="auto"/>
          </w:tcPr>
          <w:p w14:paraId="31FB6AB5" w14:textId="7C9A3FDF" w:rsidR="0D6729F1" w:rsidRDefault="0D6729F1" w:rsidP="0D6729F1">
            <w:pPr>
              <w:pStyle w:val="TableParagraph"/>
              <w:numPr>
                <w:ilvl w:val="0"/>
                <w:numId w:val="1"/>
              </w:numPr>
              <w:ind w:left="360" w:right="249"/>
              <w:jc w:val="both"/>
            </w:pPr>
            <w:r w:rsidRPr="0D6729F1">
              <w:rPr>
                <w:rFonts w:ascii="Times" w:eastAsia="Times" w:hAnsi="Times" w:cs="Times"/>
              </w:rPr>
              <w:t xml:space="preserve">Items are aligned to the AEC but are designed to assess understanding through more simple procedures.  Basic recall/identification and/or inferential items are supported with graphics/supports and/or objects that are less visually complex.  </w:t>
            </w:r>
          </w:p>
          <w:p w14:paraId="2ADF94B6" w14:textId="28253AEF" w:rsidR="0D6729F1" w:rsidRDefault="0D6729F1" w:rsidP="0D6729F1">
            <w:pPr>
              <w:pStyle w:val="TableParagraph"/>
              <w:numPr>
                <w:ilvl w:val="0"/>
                <w:numId w:val="1"/>
              </w:numPr>
              <w:ind w:left="360" w:right="249"/>
              <w:jc w:val="both"/>
            </w:pPr>
            <w:r w:rsidRPr="0D6729F1">
              <w:rPr>
                <w:rFonts w:ascii="Times" w:eastAsia="Times" w:hAnsi="Times" w:cs="Times"/>
              </w:rPr>
              <w:t xml:space="preserve">Passages are less complex than Tier 2.  Text contains words that are simpler and more familiar when possible.  Passages are used to typically answer one question only.   </w:t>
            </w:r>
          </w:p>
          <w:p w14:paraId="282D936A" w14:textId="4BCBBCD5" w:rsidR="0D6729F1" w:rsidRDefault="0D6729F1" w:rsidP="0D6729F1">
            <w:pPr>
              <w:pStyle w:val="TableParagraph"/>
              <w:ind w:left="0" w:right="249"/>
              <w:jc w:val="both"/>
              <w:rPr>
                <w:rFonts w:ascii="Times" w:eastAsia="Times" w:hAnsi="Times" w:cs="Times"/>
              </w:rPr>
            </w:pPr>
          </w:p>
          <w:p w14:paraId="72A01257" w14:textId="34AF7FB3" w:rsidR="3D32F67C" w:rsidRDefault="0D6729F1" w:rsidP="0D6729F1">
            <w:pPr>
              <w:pStyle w:val="ListParagraph"/>
              <w:numPr>
                <w:ilvl w:val="0"/>
                <w:numId w:val="1"/>
              </w:numPr>
              <w:ind w:left="360"/>
              <w:rPr>
                <w:rFonts w:ascii="Times New Roman" w:hAnsi="Times New Roman" w:cs="Times New Roman"/>
                <w:b/>
                <w:bCs/>
              </w:rPr>
            </w:pPr>
            <w:r w:rsidRPr="0D6729F1">
              <w:rPr>
                <w:rFonts w:ascii="Times" w:eastAsia="Times" w:hAnsi="Times" w:cs="Times"/>
              </w:rPr>
              <w:t>Items are typically one-step processes except when indicated differently by the AEC.  When more than one step is required, supports/scaffolds will be provided within the item.  Instructional objects may be used to support comprehension of the topic or passage.</w:t>
            </w:r>
          </w:p>
          <w:p w14:paraId="4CF1A78B" w14:textId="3AAB8465" w:rsidR="1F14A173" w:rsidRDefault="0D6729F1" w:rsidP="0D6729F1">
            <w:pPr>
              <w:pStyle w:val="ListParagraph"/>
              <w:numPr>
                <w:ilvl w:val="0"/>
                <w:numId w:val="1"/>
              </w:numPr>
              <w:ind w:left="360"/>
              <w:rPr>
                <w:b/>
                <w:bCs/>
              </w:rPr>
            </w:pPr>
            <w:r w:rsidRPr="0D6729F1">
              <w:rPr>
                <w:rFonts w:ascii="Times" w:eastAsia="Times" w:hAnsi="Times" w:cs="Times"/>
              </w:rPr>
              <w:t xml:space="preserve">Language used in directions is limited and direct.  </w:t>
            </w:r>
            <w:proofErr w:type="spellStart"/>
            <w:r w:rsidRPr="0D6729F1">
              <w:rPr>
                <w:rFonts w:ascii="Times" w:eastAsia="Times" w:hAnsi="Times" w:cs="Times"/>
              </w:rPr>
              <w:t>Everyday</w:t>
            </w:r>
            <w:proofErr w:type="spellEnd"/>
            <w:r w:rsidRPr="0D6729F1">
              <w:rPr>
                <w:rFonts w:ascii="Times" w:eastAsia="Times" w:hAnsi="Times" w:cs="Times"/>
              </w:rPr>
              <w:t>, familiar vocabulary is used along with picture supports.  Manipulatives, picture, and other instructional objects may be used by the teacher to support comprehension.</w:t>
            </w:r>
          </w:p>
          <w:p w14:paraId="1C335F68" w14:textId="7B13A1ED" w:rsidR="000B5729" w:rsidRPr="00CD2649" w:rsidRDefault="0D6729F1" w:rsidP="0D6729F1">
            <w:pPr>
              <w:pStyle w:val="TableParagraph"/>
              <w:numPr>
                <w:ilvl w:val="0"/>
                <w:numId w:val="1"/>
              </w:numPr>
              <w:ind w:left="336" w:right="249" w:hanging="336"/>
              <w:jc w:val="both"/>
            </w:pPr>
            <w:r w:rsidRPr="0D6729F1">
              <w:rPr>
                <w:rFonts w:ascii="Times" w:eastAsia="Times" w:hAnsi="Times" w:cs="Times"/>
              </w:rPr>
              <w:t>Vocabulary is familiar, simple, and less complex than Tier 2.</w:t>
            </w:r>
          </w:p>
          <w:p w14:paraId="57D7DDD2" w14:textId="77777777" w:rsidR="00CC3E7D" w:rsidRPr="00CD2649" w:rsidRDefault="00CC3E7D" w:rsidP="0D6729F1">
            <w:pPr>
              <w:pStyle w:val="TableParagraph"/>
              <w:spacing w:before="3"/>
              <w:ind w:left="0"/>
              <w:rPr>
                <w:rFonts w:ascii="Times" w:eastAsia="Times" w:hAnsi="Times" w:cs="Times"/>
                <w:i/>
                <w:iCs/>
              </w:rPr>
            </w:pPr>
          </w:p>
          <w:p w14:paraId="455AA9D2" w14:textId="5F18E94A" w:rsidR="0D6729F1" w:rsidRDefault="0D6729F1" w:rsidP="0D6729F1">
            <w:pPr>
              <w:pStyle w:val="TableParagraph"/>
              <w:spacing w:before="3"/>
              <w:ind w:left="0"/>
              <w:rPr>
                <w:rFonts w:ascii="Times" w:eastAsia="Times" w:hAnsi="Times" w:cs="Times"/>
                <w:i/>
                <w:iCs/>
              </w:rPr>
            </w:pPr>
          </w:p>
          <w:p w14:paraId="7AC092A0" w14:textId="64A5D572" w:rsidR="1F14A173" w:rsidRDefault="1F14A173" w:rsidP="1F14A173">
            <w:pPr>
              <w:pStyle w:val="TableParagraph"/>
              <w:spacing w:before="3"/>
              <w:ind w:left="0"/>
              <w:rPr>
                <w:rFonts w:ascii="Times" w:eastAsia="Times" w:hAnsi="Times" w:cs="Times"/>
                <w:i/>
                <w:iCs/>
              </w:rPr>
            </w:pPr>
          </w:p>
          <w:p w14:paraId="7B371C7A" w14:textId="4EA60280" w:rsidR="003050C1" w:rsidRPr="00CD2649" w:rsidRDefault="0D6729F1" w:rsidP="0D6729F1">
            <w:pPr>
              <w:pStyle w:val="TableParagraph"/>
              <w:numPr>
                <w:ilvl w:val="0"/>
                <w:numId w:val="1"/>
              </w:numPr>
              <w:ind w:left="360" w:right="203"/>
              <w:jc w:val="both"/>
              <w:rPr>
                <w:strike/>
              </w:rPr>
            </w:pPr>
            <w:r w:rsidRPr="0D6729F1">
              <w:rPr>
                <w:rFonts w:ascii="Times" w:eastAsia="Times" w:hAnsi="Times" w:cs="Times"/>
              </w:rPr>
              <w:t xml:space="preserve">Graphics are less complex than Tier 2.  Simple picture support is provided for all items including answer choices.  </w:t>
            </w:r>
          </w:p>
          <w:p w14:paraId="03D6ED7D" w14:textId="77777777" w:rsidR="00C46027" w:rsidRPr="00C46027" w:rsidRDefault="00C46027" w:rsidP="3D32F67C">
            <w:pPr>
              <w:pStyle w:val="ListParagraph"/>
              <w:rPr>
                <w:rFonts w:ascii="Times" w:eastAsia="Times" w:hAnsi="Times" w:cs="Times"/>
                <w:b/>
                <w:bCs/>
              </w:rPr>
            </w:pPr>
          </w:p>
          <w:p w14:paraId="1FEC07D4" w14:textId="7FBEC770" w:rsidR="00C46027" w:rsidRPr="00CD2649" w:rsidRDefault="0D6729F1" w:rsidP="0D6729F1">
            <w:pPr>
              <w:pStyle w:val="ListParagraph"/>
              <w:numPr>
                <w:ilvl w:val="0"/>
                <w:numId w:val="1"/>
              </w:numPr>
              <w:ind w:left="360"/>
              <w:rPr>
                <w:rFonts w:ascii="Times New Roman" w:hAnsi="Times New Roman" w:cs="Times New Roman"/>
                <w:b/>
                <w:bCs/>
              </w:rPr>
            </w:pPr>
            <w:r w:rsidRPr="0D6729F1">
              <w:rPr>
                <w:rFonts w:ascii="Times" w:eastAsia="Times" w:hAnsi="Times" w:cs="Times"/>
              </w:rPr>
              <w:t>Items addressing writing AEC are presented in multiple choice format with limited symbolic representation.  If symbolic representation is used, simple visual supports are provided..</w:t>
            </w:r>
            <w:r w:rsidRPr="0D6729F1">
              <w:rPr>
                <w:rFonts w:ascii="Times" w:eastAsia="Times" w:hAnsi="Times" w:cs="Times"/>
                <w:b/>
                <w:bCs/>
              </w:rPr>
              <w:t xml:space="preserve">  </w:t>
            </w:r>
          </w:p>
        </w:tc>
        <w:tc>
          <w:tcPr>
            <w:tcW w:w="6655" w:type="dxa"/>
          </w:tcPr>
          <w:p w14:paraId="76DA608D" w14:textId="021758D5" w:rsidR="0D6729F1" w:rsidRDefault="0D6729F1" w:rsidP="0D6729F1">
            <w:pPr>
              <w:pStyle w:val="TableParagraph"/>
              <w:numPr>
                <w:ilvl w:val="0"/>
                <w:numId w:val="1"/>
              </w:numPr>
              <w:ind w:left="254" w:right="393" w:hanging="254"/>
            </w:pPr>
            <w:r w:rsidRPr="0D6729F1">
              <w:rPr>
                <w:rFonts w:ascii="Times" w:eastAsia="Times" w:hAnsi="Times" w:cs="Times"/>
              </w:rPr>
              <w:t>Items are aligned to the AEC.  Recall/identification and/or higher order reading skills are supported with graphics/supports.</w:t>
            </w:r>
          </w:p>
          <w:p w14:paraId="0B2850EA" w14:textId="781FAE69" w:rsidR="0D6729F1" w:rsidRDefault="0D6729F1" w:rsidP="0D6729F1">
            <w:pPr>
              <w:pStyle w:val="TableParagraph"/>
              <w:ind w:left="254" w:right="393" w:hanging="254"/>
              <w:rPr>
                <w:rFonts w:ascii="Times" w:eastAsia="Times" w:hAnsi="Times" w:cs="Times"/>
              </w:rPr>
            </w:pPr>
          </w:p>
          <w:p w14:paraId="31849A05" w14:textId="15134104" w:rsidR="0D6729F1" w:rsidRDefault="0D6729F1" w:rsidP="0D6729F1">
            <w:pPr>
              <w:pStyle w:val="TableParagraph"/>
              <w:ind w:left="254" w:right="393" w:hanging="254"/>
              <w:rPr>
                <w:rFonts w:ascii="Times" w:eastAsia="Times" w:hAnsi="Times" w:cs="Times"/>
              </w:rPr>
            </w:pPr>
          </w:p>
          <w:p w14:paraId="566F2A28" w14:textId="14CA7607" w:rsidR="0D6729F1" w:rsidRDefault="0D6729F1" w:rsidP="0D6729F1">
            <w:pPr>
              <w:pStyle w:val="TableParagraph"/>
              <w:ind w:left="254" w:right="393" w:hanging="254"/>
              <w:rPr>
                <w:rFonts w:ascii="Times" w:eastAsia="Times" w:hAnsi="Times" w:cs="Times"/>
              </w:rPr>
            </w:pPr>
          </w:p>
          <w:p w14:paraId="4AFB4D1C" w14:textId="3E9035FC" w:rsidR="3D32F67C" w:rsidRDefault="0D6729F1" w:rsidP="0D6729F1">
            <w:pPr>
              <w:pStyle w:val="TableParagraph"/>
              <w:numPr>
                <w:ilvl w:val="0"/>
                <w:numId w:val="1"/>
              </w:numPr>
              <w:ind w:left="254" w:right="393" w:hanging="254"/>
            </w:pPr>
            <w:r w:rsidRPr="0D6729F1">
              <w:rPr>
                <w:rFonts w:ascii="Times" w:eastAsia="Times" w:hAnsi="Times" w:cs="Times"/>
              </w:rPr>
              <w:t>Passages are grade level appropriate but are written at a reduced grade level. Passages may be used to answer more than one assessment question.</w:t>
            </w:r>
          </w:p>
          <w:p w14:paraId="2CB6BE2C" w14:textId="0D7C50AB" w:rsidR="3D32F67C" w:rsidRDefault="3D32F67C" w:rsidP="3D32F67C">
            <w:pPr>
              <w:pStyle w:val="TableParagraph"/>
              <w:ind w:left="0" w:right="393" w:hanging="254"/>
              <w:rPr>
                <w:rFonts w:ascii="Times" w:eastAsia="Times" w:hAnsi="Times" w:cs="Times"/>
              </w:rPr>
            </w:pPr>
          </w:p>
          <w:p w14:paraId="1243632E" w14:textId="6020FE83" w:rsidR="1F14A173" w:rsidRDefault="0D6729F1" w:rsidP="0D6729F1">
            <w:pPr>
              <w:pStyle w:val="ListParagraph"/>
              <w:numPr>
                <w:ilvl w:val="0"/>
                <w:numId w:val="1"/>
              </w:numPr>
              <w:ind w:left="254" w:hanging="254"/>
              <w:rPr>
                <w:rFonts w:ascii="Times New Roman" w:hAnsi="Times New Roman" w:cs="Times New Roman"/>
                <w:b/>
                <w:bCs/>
              </w:rPr>
            </w:pPr>
            <w:r w:rsidRPr="0D6729F1">
              <w:rPr>
                <w:rFonts w:ascii="Times" w:eastAsia="Times" w:hAnsi="Times" w:cs="Times"/>
              </w:rPr>
              <w:t>If items require a two-step process per the AEC, supports/scaffolds will be provided within the item to support access.  Instructional materials may be used to support comprehension of the topic or passage.</w:t>
            </w:r>
          </w:p>
          <w:p w14:paraId="3C9C90B7" w14:textId="4771A74E" w:rsidR="0D6729F1" w:rsidRDefault="0D6729F1" w:rsidP="0D6729F1">
            <w:pPr>
              <w:ind w:hanging="254"/>
              <w:rPr>
                <w:rFonts w:ascii="Times" w:eastAsia="Times" w:hAnsi="Times" w:cs="Times"/>
              </w:rPr>
            </w:pPr>
          </w:p>
          <w:p w14:paraId="33084E7A" w14:textId="72969ECC" w:rsidR="1F14A173" w:rsidRDefault="0D6729F1" w:rsidP="0D6729F1">
            <w:pPr>
              <w:pStyle w:val="ListParagraph"/>
              <w:numPr>
                <w:ilvl w:val="0"/>
                <w:numId w:val="1"/>
              </w:numPr>
              <w:ind w:left="254" w:hanging="254"/>
              <w:rPr>
                <w:b/>
                <w:bCs/>
              </w:rPr>
            </w:pPr>
            <w:r w:rsidRPr="0D6729F1">
              <w:rPr>
                <w:rFonts w:ascii="Times" w:eastAsia="Times" w:hAnsi="Times" w:cs="Times"/>
              </w:rPr>
              <w:t>Language used in directions is plain and explanatory.  Unfamiliar vocabulary is reduced or supported as needed through pictures and instructional materials.</w:t>
            </w:r>
          </w:p>
          <w:p w14:paraId="22C3D70F" w14:textId="754B302E" w:rsidR="0D6729F1" w:rsidRDefault="0D6729F1" w:rsidP="0D6729F1">
            <w:pPr>
              <w:ind w:left="254" w:hanging="254"/>
              <w:rPr>
                <w:rFonts w:ascii="Times" w:eastAsia="Times" w:hAnsi="Times" w:cs="Times"/>
              </w:rPr>
            </w:pPr>
          </w:p>
          <w:p w14:paraId="7195F77E" w14:textId="604A8CB5" w:rsidR="1F14A173" w:rsidRDefault="0D6729F1" w:rsidP="0D6729F1">
            <w:pPr>
              <w:pStyle w:val="TableParagraph"/>
              <w:numPr>
                <w:ilvl w:val="0"/>
                <w:numId w:val="1"/>
              </w:numPr>
              <w:ind w:left="336" w:right="249" w:hanging="336"/>
              <w:jc w:val="both"/>
            </w:pPr>
            <w:r w:rsidRPr="0D6729F1">
              <w:rPr>
                <w:rFonts w:ascii="Times" w:eastAsia="Times" w:hAnsi="Times" w:cs="Times"/>
              </w:rPr>
              <w:t xml:space="preserve">Difficult or unfamiliar vocabulary is reduced or eliminated.  If unfamiliar vocabulary must be used, a simple explanation or definition is provided along with supports/scaffolds as appropriate.  </w:t>
            </w:r>
          </w:p>
          <w:p w14:paraId="4A6DB53F" w14:textId="6A8D2A92" w:rsidR="003C6278" w:rsidRDefault="0D6729F1" w:rsidP="0D6729F1">
            <w:pPr>
              <w:pStyle w:val="ListParagraph"/>
              <w:numPr>
                <w:ilvl w:val="0"/>
                <w:numId w:val="1"/>
              </w:numPr>
              <w:ind w:left="254" w:hanging="254"/>
              <w:rPr>
                <w:rFonts w:ascii="Times New Roman" w:hAnsi="Times New Roman" w:cs="Times New Roman"/>
                <w:b/>
                <w:bCs/>
              </w:rPr>
            </w:pPr>
            <w:r w:rsidRPr="0D6729F1">
              <w:rPr>
                <w:rFonts w:ascii="Times" w:eastAsia="Times" w:hAnsi="Times" w:cs="Times"/>
              </w:rPr>
              <w:t xml:space="preserve">Graphics/pictures may be used along with text including answer choices.  </w:t>
            </w:r>
          </w:p>
          <w:p w14:paraId="48F62CBD" w14:textId="58609DA2" w:rsidR="003C6278" w:rsidRDefault="003C6278" w:rsidP="0D6729F1">
            <w:pPr>
              <w:ind w:hanging="254"/>
              <w:rPr>
                <w:rFonts w:ascii="Times" w:eastAsia="Times" w:hAnsi="Times" w:cs="Times"/>
                <w:b/>
                <w:bCs/>
              </w:rPr>
            </w:pPr>
          </w:p>
          <w:p w14:paraId="7670133E" w14:textId="3553F29D" w:rsidR="003C6278" w:rsidRDefault="0D6729F1" w:rsidP="0D6729F1">
            <w:pPr>
              <w:pStyle w:val="ListParagraph"/>
              <w:numPr>
                <w:ilvl w:val="0"/>
                <w:numId w:val="1"/>
              </w:numPr>
              <w:ind w:left="254" w:hanging="254"/>
              <w:rPr>
                <w:b/>
                <w:bCs/>
              </w:rPr>
            </w:pPr>
            <w:r w:rsidRPr="0D6729F1">
              <w:rPr>
                <w:rFonts w:ascii="Times" w:eastAsia="Times" w:hAnsi="Times" w:cs="Times"/>
              </w:rPr>
              <w:t>Items addressing writing AEC are presented in multiple choice format with symbolic language.  Items may include sequencing.  Visual supports are provided as appropriate to support access and understanding of the topic.</w:t>
            </w:r>
          </w:p>
          <w:p w14:paraId="3CF510C1" w14:textId="21A4EC73" w:rsidR="00B52E45" w:rsidRPr="003C6278" w:rsidRDefault="001A60A4" w:rsidP="001A60A4">
            <w:pPr>
              <w:tabs>
                <w:tab w:val="left" w:pos="4766"/>
              </w:tabs>
              <w:ind w:left="254"/>
              <w:rPr>
                <w:rFonts w:ascii="Times" w:eastAsia="Times" w:hAnsi="Times" w:cs="Times"/>
                <w:b/>
                <w:bCs/>
              </w:rPr>
            </w:pPr>
            <w:r>
              <w:rPr>
                <w:rFonts w:ascii="Times" w:eastAsia="Times" w:hAnsi="Times" w:cs="Times"/>
                <w:b/>
                <w:bCs/>
              </w:rPr>
              <w:tab/>
            </w:r>
          </w:p>
        </w:tc>
      </w:tr>
      <w:tr w:rsidR="00C02A80" w:rsidRPr="00CD2649" w14:paraId="13223685" w14:textId="77777777" w:rsidTr="0D6729F1">
        <w:trPr>
          <w:trHeight w:val="800"/>
        </w:trPr>
        <w:tc>
          <w:tcPr>
            <w:tcW w:w="12950" w:type="dxa"/>
            <w:gridSpan w:val="2"/>
            <w:shd w:val="clear" w:color="auto" w:fill="auto"/>
          </w:tcPr>
          <w:p w14:paraId="032A91A6" w14:textId="1CAC9723" w:rsidR="00C02A80" w:rsidRPr="00CD2649" w:rsidRDefault="0D6729F1" w:rsidP="0D6729F1">
            <w:pPr>
              <w:rPr>
                <w:rFonts w:ascii="Times New Roman" w:hAnsi="Times New Roman" w:cs="Times New Roman"/>
                <w:sz w:val="24"/>
                <w:szCs w:val="24"/>
              </w:rPr>
            </w:pPr>
            <w:r w:rsidRPr="0D6729F1">
              <w:rPr>
                <w:rFonts w:ascii="Times New Roman" w:hAnsi="Times New Roman" w:cs="Times New Roman"/>
                <w:sz w:val="24"/>
                <w:szCs w:val="24"/>
              </w:rPr>
              <w:lastRenderedPageBreak/>
              <w:t xml:space="preserve">All passages and items, for all grades and Tiers of the PASA, must be read aloud to the student.  Passages and text are grade level appropriate and familiar but have been reduced in complexity (length, vocabulary, cognitive load) in accordance with the Tiers above.  </w:t>
            </w:r>
            <w:r w:rsidRPr="0D6729F1">
              <w:rPr>
                <w:rFonts w:ascii="Times New Roman" w:eastAsia="Times New Roman" w:hAnsi="Times New Roman" w:cs="Times New Roman"/>
                <w:sz w:val="24"/>
                <w:szCs w:val="24"/>
              </w:rPr>
              <w:t>Teachers may also use everyday language such as words or phrases that are more familiar to the student and represent the same content.  For more information on these topics, see the PASA Test Administration Guide.</w:t>
            </w:r>
          </w:p>
        </w:tc>
      </w:tr>
    </w:tbl>
    <w:p w14:paraId="65CA9297" w14:textId="77777777" w:rsidR="00CC3E7D" w:rsidRPr="00CD2649" w:rsidRDefault="00CC3E7D">
      <w:pPr>
        <w:rPr>
          <w:sz w:val="24"/>
          <w:szCs w:val="24"/>
        </w:rPr>
      </w:pPr>
    </w:p>
    <w:sectPr w:rsidR="00CC3E7D" w:rsidRPr="00CD2649" w:rsidSect="00CC3E7D">
      <w:headerReference w:type="default" r:id="rId11"/>
      <w:footerReference w:type="even"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A1A51" w14:textId="77777777" w:rsidR="00F91F1E" w:rsidRDefault="00F91F1E" w:rsidP="00CC3E7D">
      <w:pPr>
        <w:spacing w:after="0" w:line="240" w:lineRule="auto"/>
      </w:pPr>
      <w:r>
        <w:separator/>
      </w:r>
    </w:p>
  </w:endnote>
  <w:endnote w:type="continuationSeparator" w:id="0">
    <w:p w14:paraId="51ED8333" w14:textId="77777777" w:rsidR="00F91F1E" w:rsidRDefault="00F91F1E" w:rsidP="00CC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5180184"/>
      <w:docPartObj>
        <w:docPartGallery w:val="Page Numbers (Bottom of Page)"/>
        <w:docPartUnique/>
      </w:docPartObj>
    </w:sdtPr>
    <w:sdtContent>
      <w:p w14:paraId="64442DFA" w14:textId="1AADD4C9" w:rsidR="001A60A4" w:rsidRDefault="001A60A4" w:rsidP="005610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72C996" w14:textId="77777777" w:rsidR="007917C3" w:rsidRDefault="007917C3" w:rsidP="001A60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6940959"/>
      <w:docPartObj>
        <w:docPartGallery w:val="Page Numbers (Bottom of Page)"/>
        <w:docPartUnique/>
      </w:docPartObj>
    </w:sdtPr>
    <w:sdtEndPr>
      <w:rPr>
        <w:rStyle w:val="PageNumber"/>
        <w:rFonts w:ascii="Times" w:hAnsi="Times"/>
        <w:sz w:val="20"/>
        <w:szCs w:val="20"/>
      </w:rPr>
    </w:sdtEndPr>
    <w:sdtContent>
      <w:p w14:paraId="79806CB2" w14:textId="3275396C" w:rsidR="001A60A4" w:rsidRPr="001A60A4" w:rsidRDefault="001A60A4" w:rsidP="0056103F">
        <w:pPr>
          <w:pStyle w:val="Footer"/>
          <w:framePr w:wrap="none" w:vAnchor="text" w:hAnchor="margin" w:xAlign="right" w:y="1"/>
          <w:rPr>
            <w:rStyle w:val="PageNumber"/>
            <w:rFonts w:ascii="Times" w:hAnsi="Times"/>
            <w:sz w:val="20"/>
            <w:szCs w:val="20"/>
          </w:rPr>
        </w:pPr>
        <w:r w:rsidRPr="001A60A4">
          <w:rPr>
            <w:rStyle w:val="PageNumber"/>
            <w:rFonts w:ascii="Times" w:hAnsi="Times"/>
            <w:sz w:val="20"/>
            <w:szCs w:val="20"/>
          </w:rPr>
          <w:fldChar w:fldCharType="begin"/>
        </w:r>
        <w:r w:rsidRPr="001A60A4">
          <w:rPr>
            <w:rStyle w:val="PageNumber"/>
            <w:rFonts w:ascii="Times" w:hAnsi="Times"/>
            <w:sz w:val="20"/>
            <w:szCs w:val="20"/>
          </w:rPr>
          <w:instrText xml:space="preserve"> PAGE </w:instrText>
        </w:r>
        <w:r w:rsidRPr="001A60A4">
          <w:rPr>
            <w:rStyle w:val="PageNumber"/>
            <w:rFonts w:ascii="Times" w:hAnsi="Times"/>
            <w:sz w:val="20"/>
            <w:szCs w:val="20"/>
          </w:rPr>
          <w:fldChar w:fldCharType="separate"/>
        </w:r>
        <w:r w:rsidRPr="001A60A4">
          <w:rPr>
            <w:rStyle w:val="PageNumber"/>
            <w:rFonts w:ascii="Times" w:hAnsi="Times"/>
            <w:noProof/>
            <w:sz w:val="20"/>
            <w:szCs w:val="20"/>
          </w:rPr>
          <w:t>1</w:t>
        </w:r>
        <w:r w:rsidRPr="001A60A4">
          <w:rPr>
            <w:rStyle w:val="PageNumber"/>
            <w:rFonts w:ascii="Times" w:hAnsi="Times"/>
            <w:sz w:val="20"/>
            <w:szCs w:val="20"/>
          </w:rPr>
          <w:fldChar w:fldCharType="end"/>
        </w:r>
      </w:p>
    </w:sdtContent>
  </w:sdt>
  <w:p w14:paraId="51EC6614" w14:textId="47F31649" w:rsidR="007917C3" w:rsidRPr="001A60A4" w:rsidRDefault="001A60A4" w:rsidP="001A60A4">
    <w:pPr>
      <w:pStyle w:val="Footer"/>
      <w:tabs>
        <w:tab w:val="clear" w:pos="4680"/>
        <w:tab w:val="clear" w:pos="9360"/>
        <w:tab w:val="right" w:pos="12600"/>
      </w:tabs>
      <w:ind w:right="360"/>
      <w:rPr>
        <w:rFonts w:ascii="Times" w:hAnsi="Times"/>
        <w:sz w:val="20"/>
        <w:szCs w:val="20"/>
      </w:rPr>
    </w:pPr>
    <w:r w:rsidRPr="001A60A4">
      <w:rPr>
        <w:rFonts w:ascii="Times" w:hAnsi="Times"/>
        <w:sz w:val="20"/>
        <w:szCs w:val="20"/>
      </w:rP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F3B7A" w14:textId="77777777" w:rsidR="00F91F1E" w:rsidRDefault="00F91F1E" w:rsidP="00CC3E7D">
      <w:pPr>
        <w:spacing w:after="0" w:line="240" w:lineRule="auto"/>
      </w:pPr>
      <w:r>
        <w:separator/>
      </w:r>
    </w:p>
  </w:footnote>
  <w:footnote w:type="continuationSeparator" w:id="0">
    <w:p w14:paraId="5DB81EBD" w14:textId="77777777" w:rsidR="00F91F1E" w:rsidRDefault="00F91F1E" w:rsidP="00CC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E27B" w14:textId="5E82D8D9" w:rsidR="00812911" w:rsidRPr="00812911" w:rsidRDefault="007917C3" w:rsidP="00812911">
    <w:pPr>
      <w:pStyle w:val="Header"/>
      <w:tabs>
        <w:tab w:val="clear" w:pos="9360"/>
        <w:tab w:val="right" w:pos="12240"/>
      </w:tabs>
      <w:rPr>
        <w:rFonts w:ascii="Times" w:hAnsi="Times"/>
      </w:rPr>
    </w:pPr>
    <w:r>
      <w:rPr>
        <w:rFonts w:ascii="Times" w:hAnsi="Times"/>
      </w:rPr>
      <w:t>ELA</w:t>
    </w:r>
    <w:r w:rsidR="00D34905">
      <w:rPr>
        <w:rFonts w:ascii="Times" w:hAnsi="Times"/>
      </w:rPr>
      <w:t xml:space="preserve"> </w:t>
    </w:r>
    <w:r w:rsidR="00812911" w:rsidRPr="00812911">
      <w:rPr>
        <w:rFonts w:ascii="Times" w:hAnsi="Times"/>
      </w:rPr>
      <w:t>Tier 1 and Tier 2 Specifications</w:t>
    </w:r>
    <w:r w:rsidR="00812911">
      <w:t xml:space="preserve"> </w:t>
    </w:r>
    <w:r w:rsidR="00812911">
      <w:tab/>
    </w:r>
    <w:r w:rsidR="00812911">
      <w:tab/>
    </w:r>
    <w:r w:rsidR="00812911" w:rsidRPr="00812911">
      <w:rPr>
        <w:rFonts w:ascii="Times" w:hAnsi="Times"/>
      </w:rPr>
      <w:t>Appendix 1.4</w:t>
    </w:r>
  </w:p>
  <w:p w14:paraId="6EEA53FE" w14:textId="504411D4" w:rsidR="00CC3E7D" w:rsidRDefault="00CC3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B1520"/>
    <w:multiLevelType w:val="hybridMultilevel"/>
    <w:tmpl w:val="F3BC3556"/>
    <w:lvl w:ilvl="0" w:tplc="FFFFFFFF">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7D"/>
    <w:rsid w:val="000042B6"/>
    <w:rsid w:val="000B5729"/>
    <w:rsid w:val="00187156"/>
    <w:rsid w:val="00187524"/>
    <w:rsid w:val="001A42A2"/>
    <w:rsid w:val="001A60A4"/>
    <w:rsid w:val="00226EC4"/>
    <w:rsid w:val="002404E7"/>
    <w:rsid w:val="002C082D"/>
    <w:rsid w:val="002D2640"/>
    <w:rsid w:val="003050C1"/>
    <w:rsid w:val="003404C7"/>
    <w:rsid w:val="003C6278"/>
    <w:rsid w:val="00477EAC"/>
    <w:rsid w:val="004E2CB3"/>
    <w:rsid w:val="00524B3C"/>
    <w:rsid w:val="005345AB"/>
    <w:rsid w:val="005475D3"/>
    <w:rsid w:val="00620E83"/>
    <w:rsid w:val="007917C3"/>
    <w:rsid w:val="007D609F"/>
    <w:rsid w:val="00812911"/>
    <w:rsid w:val="008223B0"/>
    <w:rsid w:val="0094195D"/>
    <w:rsid w:val="00981297"/>
    <w:rsid w:val="009A73DF"/>
    <w:rsid w:val="00B52E45"/>
    <w:rsid w:val="00C02A80"/>
    <w:rsid w:val="00C46027"/>
    <w:rsid w:val="00C9477D"/>
    <w:rsid w:val="00CC3E7D"/>
    <w:rsid w:val="00CC6B9F"/>
    <w:rsid w:val="00CC786E"/>
    <w:rsid w:val="00CD2649"/>
    <w:rsid w:val="00CD5399"/>
    <w:rsid w:val="00D34905"/>
    <w:rsid w:val="00E560FA"/>
    <w:rsid w:val="00EC1CEA"/>
    <w:rsid w:val="00F773F8"/>
    <w:rsid w:val="00F91F1E"/>
    <w:rsid w:val="00F93528"/>
    <w:rsid w:val="0D6729F1"/>
    <w:rsid w:val="1F14A173"/>
    <w:rsid w:val="3D32F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10CB8"/>
  <w15:chartTrackingRefBased/>
  <w15:docId w15:val="{0074F7F7-FBC9-45BC-80D6-3AC81099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E7D"/>
  </w:style>
  <w:style w:type="paragraph" w:styleId="Footer">
    <w:name w:val="footer"/>
    <w:basedOn w:val="Normal"/>
    <w:link w:val="FooterChar"/>
    <w:uiPriority w:val="99"/>
    <w:unhideWhenUsed/>
    <w:rsid w:val="00CC3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E7D"/>
  </w:style>
  <w:style w:type="table" w:styleId="TableGrid">
    <w:name w:val="Table Grid"/>
    <w:basedOn w:val="TableNormal"/>
    <w:uiPriority w:val="39"/>
    <w:rsid w:val="00CC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C3E7D"/>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ListParagraph">
    <w:name w:val="List Paragraph"/>
    <w:basedOn w:val="Normal"/>
    <w:uiPriority w:val="34"/>
    <w:qFormat/>
    <w:rsid w:val="00CC3E7D"/>
    <w:pPr>
      <w:ind w:left="720"/>
      <w:contextualSpacing/>
    </w:pPr>
  </w:style>
  <w:style w:type="character" w:styleId="CommentReference">
    <w:name w:val="annotation reference"/>
    <w:basedOn w:val="DefaultParagraphFont"/>
    <w:uiPriority w:val="99"/>
    <w:semiHidden/>
    <w:unhideWhenUsed/>
    <w:rsid w:val="003050C1"/>
    <w:rPr>
      <w:sz w:val="16"/>
      <w:szCs w:val="16"/>
    </w:rPr>
  </w:style>
  <w:style w:type="paragraph" w:styleId="CommentText">
    <w:name w:val="annotation text"/>
    <w:basedOn w:val="Normal"/>
    <w:link w:val="CommentTextChar"/>
    <w:uiPriority w:val="99"/>
    <w:semiHidden/>
    <w:unhideWhenUsed/>
    <w:rsid w:val="003050C1"/>
    <w:pPr>
      <w:spacing w:line="240" w:lineRule="auto"/>
    </w:pPr>
    <w:rPr>
      <w:sz w:val="20"/>
      <w:szCs w:val="20"/>
    </w:rPr>
  </w:style>
  <w:style w:type="character" w:customStyle="1" w:styleId="CommentTextChar">
    <w:name w:val="Comment Text Char"/>
    <w:basedOn w:val="DefaultParagraphFont"/>
    <w:link w:val="CommentText"/>
    <w:uiPriority w:val="99"/>
    <w:semiHidden/>
    <w:rsid w:val="003050C1"/>
    <w:rPr>
      <w:sz w:val="20"/>
      <w:szCs w:val="20"/>
    </w:rPr>
  </w:style>
  <w:style w:type="paragraph" w:styleId="CommentSubject">
    <w:name w:val="annotation subject"/>
    <w:basedOn w:val="CommentText"/>
    <w:next w:val="CommentText"/>
    <w:link w:val="CommentSubjectChar"/>
    <w:uiPriority w:val="99"/>
    <w:semiHidden/>
    <w:unhideWhenUsed/>
    <w:rsid w:val="003050C1"/>
    <w:rPr>
      <w:b/>
      <w:bCs/>
    </w:rPr>
  </w:style>
  <w:style w:type="character" w:customStyle="1" w:styleId="CommentSubjectChar">
    <w:name w:val="Comment Subject Char"/>
    <w:basedOn w:val="CommentTextChar"/>
    <w:link w:val="CommentSubject"/>
    <w:uiPriority w:val="99"/>
    <w:semiHidden/>
    <w:rsid w:val="003050C1"/>
    <w:rPr>
      <w:b/>
      <w:bCs/>
      <w:sz w:val="20"/>
      <w:szCs w:val="20"/>
    </w:rPr>
  </w:style>
  <w:style w:type="paragraph" w:styleId="BalloonText">
    <w:name w:val="Balloon Text"/>
    <w:basedOn w:val="Normal"/>
    <w:link w:val="BalloonTextChar"/>
    <w:uiPriority w:val="99"/>
    <w:semiHidden/>
    <w:unhideWhenUsed/>
    <w:rsid w:val="003050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0C1"/>
    <w:rPr>
      <w:rFonts w:ascii="Segoe UI" w:hAnsi="Segoe UI" w:cs="Segoe UI"/>
      <w:sz w:val="18"/>
      <w:szCs w:val="18"/>
    </w:rPr>
  </w:style>
  <w:style w:type="character" w:styleId="PageNumber">
    <w:name w:val="page number"/>
    <w:basedOn w:val="DefaultParagraphFont"/>
    <w:uiPriority w:val="99"/>
    <w:semiHidden/>
    <w:unhideWhenUsed/>
    <w:rsid w:val="001A6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27C54CDCDB37843B478346420904793" ma:contentTypeVersion="13" ma:contentTypeDescription="Create a new document." ma:contentTypeScope="" ma:versionID="ec09e185c6e8668b93c3a5530a55b90b">
  <xsd:schema xmlns:xsd="http://www.w3.org/2001/XMLSchema" xmlns:xs="http://www.w3.org/2001/XMLSchema" xmlns:p="http://schemas.microsoft.com/office/2006/metadata/properties" xmlns:ns3="c54e6107-ee9a-4efb-abe9-ac0a747edfe8" xmlns:ns4="70016b04-bc43-43b0-8d4e-23cc58c971ca" targetNamespace="http://schemas.microsoft.com/office/2006/metadata/properties" ma:root="true" ma:fieldsID="b5746a452af2382df00d22c0d7fb6fcd" ns3:_="" ns4:_="">
    <xsd:import namespace="c54e6107-ee9a-4efb-abe9-ac0a747edfe8"/>
    <xsd:import namespace="70016b04-bc43-43b0-8d4e-23cc58c971c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e6107-ee9a-4efb-abe9-ac0a747edf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016b04-bc43-43b0-8d4e-23cc58c971c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2ED990-AA45-4370-B36E-E63AD012D86D}">
  <ds:schemaRefs>
    <ds:schemaRef ds:uri="http://schemas.microsoft.com/sharepoint/v3/contenttype/forms"/>
  </ds:schemaRefs>
</ds:datastoreItem>
</file>

<file path=customXml/itemProps2.xml><?xml version="1.0" encoding="utf-8"?>
<ds:datastoreItem xmlns:ds="http://schemas.openxmlformats.org/officeDocument/2006/customXml" ds:itemID="{E65CB373-04F1-4B45-A968-21039696C8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C71FD-AABE-D144-8160-A93EC6974FC3}">
  <ds:schemaRefs>
    <ds:schemaRef ds:uri="http://schemas.openxmlformats.org/officeDocument/2006/bibliography"/>
  </ds:schemaRefs>
</ds:datastoreItem>
</file>

<file path=customXml/itemProps4.xml><?xml version="1.0" encoding="utf-8"?>
<ds:datastoreItem xmlns:ds="http://schemas.openxmlformats.org/officeDocument/2006/customXml" ds:itemID="{DD4DAF1E-32CB-477C-A53E-340BD7534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e6107-ee9a-4efb-abe9-ac0a747edfe8"/>
    <ds:schemaRef ds:uri="70016b04-bc43-43b0-8d4e-23cc58c97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Lupp</dc:creator>
  <cp:keywords/>
  <dc:description/>
  <cp:lastModifiedBy>Gerald Tindal</cp:lastModifiedBy>
  <cp:revision>8</cp:revision>
  <dcterms:created xsi:type="dcterms:W3CDTF">2019-09-15T14:35:00Z</dcterms:created>
  <dcterms:modified xsi:type="dcterms:W3CDTF">2020-07-26T21:36:00Z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0x010100E27C54CDCDB37843B478346420904793</vt:lpwstr>
  </property>
</Properties>
</file>