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160" w:after="2160"/>
      </w:pPr>
    </w:p>
    <w:p>
      <w:pPr>
        <w:spacing w:before="0" w:after="120"/>
        <w:jc w:val="center"/>
      </w:pPr>
      <w:r>
        <w:rPr>
          <w:rFonts w:ascii="Arial" w:cs="Arial" w:eastAsia="Arial" w:hAnsi="Arial"/>
          <w:b/>
          <w:bCs/>
          <w:color w:val="595959"/>
          <w:sz w:val="28"/>
          <w:szCs w:val="28"/>
        </w:rPr>
        <w:t xml:space="preserve">AMN Healthcare</w:t>
      </w:r>
    </w:p>
    <w:p>
      <w:pPr>
        <w:spacing w:before="0" w:after="80"/>
        <w:jc w:val="center"/>
      </w:pPr>
      <w:r>
        <w:rPr>
          <w:rFonts w:ascii="Arial" w:cs="Arial" w:eastAsia="Arial" w:hAnsi="Arial"/>
          <w:b/>
          <w:bCs/>
          <w:color w:val="1F4E79"/>
          <w:sz w:val="48"/>
          <w:szCs w:val="48"/>
        </w:rPr>
        <w:t xml:space="preserve">SVEN / Stratus Video</w:t>
      </w:r>
    </w:p>
    <w:p>
      <w:pPr>
        <w:spacing w:before="0" w:after="80"/>
        <w:jc w:val="center"/>
      </w:pPr>
      <w:r>
        <w:rPr>
          <w:rFonts w:ascii="Arial" w:cs="Arial" w:eastAsia="Arial" w:hAnsi="Arial"/>
          <w:b/>
          <w:bCs/>
          <w:color w:val="1F4E79"/>
          <w:sz w:val="40"/>
          <w:szCs w:val="40"/>
        </w:rPr>
        <w:t xml:space="preserve">Azure Environment Map</w:t>
      </w:r>
    </w:p>
    <w:p>
      <w:pPr>
        <w:spacing w:before="0" w:after="200"/>
        <w:jc w:val="center"/>
      </w:pPr>
      <w:r>
        <w:rPr>
          <w:rFonts w:ascii="Arial" w:cs="Arial" w:eastAsia="Arial" w:hAnsi="Arial"/>
          <w:i/>
          <w:iCs/>
          <w:color w:val="595959"/>
          <w:sz w:val="26"/>
          <w:szCs w:val="26"/>
        </w:rPr>
        <w:t xml:space="preserve">Component Inventory &amp; Connectivity Reference</w:t>
      </w:r>
    </w:p>
    <w:p>
      <w:pPr>
        <w:pBdr>
          <w:bottom w:val="single" w:color="2E75B6" w:sz="6" w:space="1"/>
        </w:pBdr>
      </w:pPr>
    </w:p>
    <w:p>
      <w:pPr>
        <w:spacing w:before="80" w:after="80"/>
      </w:pPr>
    </w:p>
    <w:p>
      <w:pPr>
        <w:spacing w:before="80" w:after="40"/>
        <w:jc w:val="center"/>
      </w:pPr>
      <w:r>
        <w:rPr>
          <w:rFonts w:ascii="Arial" w:cs="Arial" w:eastAsia="Arial" w:hAnsi="Arial"/>
          <w:color w:val="595959"/>
          <w:sz w:val="22"/>
          <w:szCs w:val="22"/>
        </w:rPr>
        <w:t xml:space="preserve">Infrastructure — Network Systems &amp; Telecom</w:t>
      </w:r>
    </w:p>
    <w:p>
      <w:pPr>
        <w:spacing w:before="0" w:after="40"/>
        <w:jc w:val="center"/>
      </w:pPr>
      <w:r>
        <w:rPr>
          <w:rFonts w:ascii="Arial" w:cs="Arial" w:eastAsia="Arial" w:hAnsi="Arial"/>
          <w:color w:val="595959"/>
          <w:sz w:val="22"/>
          <w:szCs w:val="22"/>
        </w:rPr>
        <w:t xml:space="preserve">Cloud and Technology Services</w:t>
      </w:r>
    </w:p>
    <w:p>
      <w:pPr>
        <w:spacing w:before="0" w:after="40"/>
        <w:jc w:val="center"/>
      </w:pPr>
      <w:r>
        <w:rPr>
          <w:rFonts w:ascii="Arial" w:cs="Arial" w:eastAsia="Arial" w:hAnsi="Arial"/>
          <w:color w:val="595959"/>
          <w:sz w:val="22"/>
          <w:szCs w:val="22"/>
        </w:rPr>
        <w:t xml:space="preserve">Prepared by: Casey Allard</w:t>
      </w:r>
    </w:p>
    <w:p>
      <w:pPr>
        <w:spacing w:before="0" w:after="40"/>
        <w:jc w:val="center"/>
      </w:pPr>
      <w:r>
        <w:rPr>
          <w:rFonts w:ascii="Arial" w:cs="Arial" w:eastAsia="Arial" w:hAnsi="Arial"/>
          <w:color w:val="595959"/>
          <w:sz w:val="22"/>
          <w:szCs w:val="22"/>
        </w:rPr>
        <w:t xml:space="preserve">June 2026  |  Classification: Internal</w:t>
      </w:r>
    </w:p>
    <w:p>
      <w:r>
        <w:br w:type="page"/>
      </w:r>
    </w:p>
    <w:p>
      <w:pPr>
        <w:pStyle w:val="Heading1"/>
        <w:spacing w:before="0" w:after="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20" w:after="120"/>
      </w:pPr>
      <w:r>
        <w:rPr>
          <w:rFonts w:ascii="Arial" w:cs="Arial" w:eastAsia="Arial" w:hAnsi="Arial"/>
          <w:b/>
          <w:bCs/>
          <w:color w:val="1F4E79"/>
          <w:sz w:val="28"/>
          <w:szCs w:val="28"/>
        </w:rPr>
        <w:t xml:space="preserve">1. Overview</w:t>
      </w:r>
    </w:p>
    <w:p>
      <w:pPr>
        <w:spacing w:before="40" w:after="40"/>
      </w:pPr>
      <w:r>
        <w:rPr>
          <w:rFonts w:ascii="Arial" w:cs="Arial" w:eastAsia="Arial" w:hAnsi="Arial"/>
          <w:b w:val="false"/>
          <w:bCs w:val="false"/>
          <w:color w:val="1A1A1A"/>
          <w:sz w:val="20"/>
          <w:szCs w:val="20"/>
        </w:rPr>
        <w:t xml:space="preserve">SVEN (Stratus Video Enterprise Network) is the AMN Language Services video and audio interpretation platform, operated in partnership with Stratus Video. The platform handles real-time interpreter-to-patient call routing, WebRTC media sessions, SIP/PSTN telephony, and quality management workflows.</w:t>
      </w:r>
    </w:p>
    <w:p>
      <w:pPr>
        <w:spacing w:before="40" w:after="40"/>
      </w:pPr>
    </w:p>
    <w:p>
      <w:pPr>
        <w:spacing w:before="40" w:after="40"/>
      </w:pPr>
      <w:r>
        <w:rPr>
          <w:rFonts w:ascii="Arial" w:cs="Arial" w:eastAsia="Arial" w:hAnsi="Arial"/>
          <w:b/>
          <w:bCs/>
          <w:color w:val="1A1A1A"/>
          <w:sz w:val="20"/>
          <w:szCs w:val="20"/>
        </w:rPr>
        <w:t xml:space="preserve">SVEN spans five distinct infrastructure zones:</w:t>
      </w:r>
    </w:p>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rPr>
          <w:tblHeader/>
        </w:trPr>
        <w:tc>
          <w:tcPr>
            <w:tcW w:type="dxa" w:w="22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Zone</w:t>
            </w:r>
          </w:p>
        </w:tc>
        <w:tc>
          <w:tcPr>
            <w:tcW w:type="dxa" w:w="30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Type</w:t>
            </w:r>
          </w:p>
        </w:tc>
        <w:tc>
          <w:tcPr>
            <w:tcW w:type="dxa" w:w="22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Location</w:t>
            </w:r>
          </w:p>
        </w:tc>
        <w:tc>
          <w:tcPr>
            <w:tcW w:type="dxa" w:w="196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Role</w:t>
            </w:r>
          </w:p>
        </w:tc>
      </w:tr>
      <w:tr>
        <w:trPr>
          <w:tblHeader w:val="false"/>
        </w:trP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DA6</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On-Premises Datacenter</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East US</w:t>
            </w:r>
          </w:p>
        </w:tc>
        <w:tc>
          <w:tcPr>
            <w:tcW w:type="dxa" w:w="1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Primary production</w:t>
            </w:r>
          </w:p>
        </w:tc>
      </w:tr>
      <w:tr>
        <w:trPr>
          <w:tblHeader w:val="false"/>
        </w:trPr>
        <w:tc>
          <w:tcPr>
            <w:tcW w:type="dxa" w:w="2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DC4</w:t>
            </w:r>
          </w:p>
        </w:tc>
        <w:tc>
          <w:tcPr>
            <w:tcW w:type="dxa" w:w="30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On-Premises Datacenter</w:t>
            </w:r>
          </w:p>
        </w:tc>
        <w:tc>
          <w:tcPr>
            <w:tcW w:type="dxa" w:w="2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South Central US</w:t>
            </w:r>
          </w:p>
        </w:tc>
        <w:tc>
          <w:tcPr>
            <w:tcW w:type="dxa" w:w="19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Secondary production</w:t>
            </w:r>
          </w:p>
        </w:tc>
      </w:tr>
      <w:tr>
        <w:trPr>
          <w:tblHeader w:val="false"/>
        </w:trP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Azure East US 1 – AMN RG</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Azure Cloud</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East US</w:t>
            </w:r>
          </w:p>
        </w:tc>
        <w:tc>
          <w:tcPr>
            <w:tcW w:type="dxa" w:w="1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Primary container workloads</w:t>
            </w:r>
          </w:p>
        </w:tc>
      </w:tr>
      <w:tr>
        <w:trPr>
          <w:tblHeader w:val="false"/>
        </w:trPr>
        <w:tc>
          <w:tcPr>
            <w:tcW w:type="dxa" w:w="2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Azure South Central US – AMN RG</w:t>
            </w:r>
          </w:p>
        </w:tc>
        <w:tc>
          <w:tcPr>
            <w:tcW w:type="dxa" w:w="30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Azure Cloud</w:t>
            </w:r>
          </w:p>
        </w:tc>
        <w:tc>
          <w:tcPr>
            <w:tcW w:type="dxa" w:w="2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South Central US</w:t>
            </w:r>
          </w:p>
        </w:tc>
        <w:tc>
          <w:tcPr>
            <w:tcW w:type="dxa" w:w="19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Secondary container workloads</w:t>
            </w:r>
          </w:p>
        </w:tc>
      </w:tr>
      <w:tr>
        <w:trPr>
          <w:tblHeader w:val="false"/>
        </w:trP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Azure East US – EDB RG</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Azure Cloud</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East US</w:t>
            </w:r>
          </w:p>
        </w:tc>
        <w:tc>
          <w:tcPr>
            <w:tcW w:type="dxa" w:w="1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Primary PostgreSQL database</w:t>
            </w:r>
          </w:p>
        </w:tc>
      </w:tr>
      <w:tr>
        <w:trPr>
          <w:tblHeader w:val="false"/>
        </w:trPr>
        <w:tc>
          <w:tcPr>
            <w:tcW w:type="dxa" w:w="2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Azure South Central US – EDB RG</w:t>
            </w:r>
          </w:p>
        </w:tc>
        <w:tc>
          <w:tcPr>
            <w:tcW w:type="dxa" w:w="30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Azure Cloud</w:t>
            </w:r>
          </w:p>
        </w:tc>
        <w:tc>
          <w:tcPr>
            <w:tcW w:type="dxa" w:w="2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South Central US</w:t>
            </w:r>
          </w:p>
        </w:tc>
        <w:tc>
          <w:tcPr>
            <w:tcW w:type="dxa" w:w="19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Database geo-replica</w:t>
            </w:r>
          </w:p>
        </w:tc>
      </w:tr>
      <w:tr>
        <w:trPr>
          <w:tblHeader w:val="false"/>
        </w:trP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AWS us-east-1</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AWS Cloud</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East US</w:t>
            </w:r>
          </w:p>
        </w:tc>
        <w:tc>
          <w:tcPr>
            <w:tcW w:type="dxa" w:w="1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Legacy notification services</w:t>
            </w:r>
          </w:p>
        </w:tc>
      </w:tr>
    </w:tbl>
    <w:p>
      <w:pPr>
        <w:spacing w:before="40" w:after="40"/>
      </w:pPr>
    </w:p>
    <w:p>
      <w:pPr>
        <w:pBdr>
          <w:left w:val="single" w:color="2E75B6" w:sz="12" w:space="8"/>
        </w:pBdr>
        <w:spacing w:before="80" w:after="80"/>
        <w:ind w:left="360"/>
      </w:pPr>
      <w:r>
        <w:rPr>
          <w:rFonts w:ascii="Arial" w:cs="Arial" w:eastAsia="Arial" w:hAnsi="Arial"/>
          <w:b/>
          <w:bCs/>
          <w:color w:val="2E75B6"/>
          <w:sz w:val="20"/>
          <w:szCs w:val="20"/>
        </w:rPr>
        <w:t xml:space="preserve">NOTE: </w:t>
      </w:r>
      <w:r>
        <w:rPr>
          <w:rFonts w:ascii="Arial" w:cs="Arial" w:eastAsia="Arial" w:hAnsi="Arial"/>
          <w:i/>
          <w:iCs/>
          <w:color w:val="1A1A1A"/>
          <w:sz w:val="20"/>
          <w:szCs w:val="20"/>
        </w:rPr>
        <w:t xml:space="preserve">DA6 and DC4 are configuration-identical. All findings and fixes apply equally to both. TPMG tenant environments (tpmg-da6, tpmg-dc4) have no ModSecurity loaded and are unaffected by WAF-related issues.</w:t>
      </w:r>
    </w:p>
    <w:p>
      <w:pPr>
        <w:spacing w:before="40" w:after="40"/>
      </w:pPr>
    </w:p>
    <w:p>
      <w:pPr>
        <w:spacing w:before="40" w:after="40"/>
      </w:pPr>
      <w:r>
        <w:rPr>
          <w:rFonts w:ascii="Arial" w:cs="Arial" w:eastAsia="Arial" w:hAnsi="Arial"/>
          <w:b w:val="false"/>
          <w:bCs w:val="false"/>
          <w:color w:val="1A1A1A"/>
          <w:sz w:val="20"/>
          <w:szCs w:val="20"/>
        </w:rPr>
        <w:t xml:space="preserve">DNS entry point: sven.stratusvideo.com — resolved by NS1 Geo-DNS. Interpreters and end users are routed to DC4 or DA6 based on their state of origin.</w:t>
      </w:r>
    </w:p>
    <w:p>
      <w:pPr>
        <w:spacing w:before="80" w:after="80"/>
      </w:pPr>
    </w:p>
    <w:p>
      <w:pPr>
        <w:pStyle w:val="Heading1"/>
        <w:spacing w:before="320" w:after="120"/>
      </w:pPr>
      <w:r>
        <w:rPr>
          <w:rFonts w:ascii="Arial" w:cs="Arial" w:eastAsia="Arial" w:hAnsi="Arial"/>
          <w:b/>
          <w:bCs/>
          <w:color w:val="1F4E79"/>
          <w:sz w:val="28"/>
          <w:szCs w:val="28"/>
        </w:rPr>
        <w:t xml:space="preserve">2. On-Premises Datacenters (DA6 and DC4)</w:t>
      </w:r>
    </w:p>
    <w:p>
      <w:pPr>
        <w:spacing w:before="40" w:after="40"/>
      </w:pPr>
      <w:r>
        <w:rPr>
          <w:rFonts w:ascii="Arial" w:cs="Arial" w:eastAsia="Arial" w:hAnsi="Arial"/>
          <w:b w:val="false"/>
          <w:bCs w:val="false"/>
          <w:color w:val="1A1A1A"/>
          <w:sz w:val="20"/>
          <w:szCs w:val="20"/>
        </w:rPr>
        <w:t xml:space="preserve">Both datacenters are fully mirrored. DA6 is the primary site (East US); DC4 is the secondary (South Central US). Each contains the full telephony stack, reverse proxy layer, and on-prem storage. Both connect to Azure East US via dedicated Express Route circuits.</w:t>
      </w:r>
    </w:p>
    <w:p>
      <w:pPr>
        <w:spacing w:before="60" w:after="60"/>
      </w:pPr>
    </w:p>
    <w:p>
      <w:pPr>
        <w:pStyle w:val="Heading3"/>
        <w:spacing w:before="160" w:after="80"/>
      </w:pPr>
      <w:r>
        <w:rPr>
          <w:rFonts w:ascii="Arial" w:cs="Arial" w:eastAsia="Arial" w:hAnsi="Arial"/>
          <w:b/>
          <w:bCs/>
          <w:color w:val="2E75B6"/>
          <w:sz w:val="22"/>
          <w:szCs w:val="22"/>
        </w:rPr>
        <w:t xml:space="preserve">2.1  DNS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Component</w:t>
            </w:r>
          </w:p>
        </w:tc>
        <w:tc>
          <w:tcPr>
            <w:tcW w:type="dxa" w:w="3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Details</w:t>
            </w:r>
          </w:p>
        </w:tc>
        <w:tc>
          <w:tcPr>
            <w:tcW w:type="dxa" w:w="376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Purpose</w:t>
            </w:r>
          </w:p>
        </w:tc>
      </w:tr>
      <w:tr>
        <w:trPr>
          <w:tblHeader w:val="false"/>
        </w:trP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NS1 Geo-DNS</w:t>
            </w:r>
          </w:p>
        </w:tc>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sven.stratusvideo.com</w:t>
            </w:r>
          </w:p>
        </w:tc>
        <w:tc>
          <w:tcPr>
            <w:tcW w:type="dxa" w:w="3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Routes users to DA6 or DC4 based on origin state</w:t>
            </w:r>
          </w:p>
        </w:tc>
      </w:tr>
      <w:tr>
        <w:trPr>
          <w:tblHeader w:val="false"/>
        </w:trPr>
        <w:tc>
          <w:tcPr>
            <w:tcW w:type="dxa" w:w="2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DC4 DNS</w:t>
            </w:r>
          </w:p>
        </w:tc>
        <w:tc>
          <w:tcPr>
            <w:tcW w:type="dxa" w:w="34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sven-dc4-local.stratusvideo.com</w:t>
            </w:r>
          </w:p>
        </w:tc>
        <w:tc>
          <w:tcPr>
            <w:tcW w:type="dxa" w:w="37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Local hostname for DC4 South Central US</w:t>
            </w:r>
          </w:p>
        </w:tc>
      </w:tr>
      <w:tr>
        <w:trPr>
          <w:tblHeader w:val="false"/>
        </w:trP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DA6 DNS</w:t>
            </w:r>
          </w:p>
        </w:tc>
        <w:tc>
          <w:tcPr>
            <w:tcW w:type="dxa" w:w="3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sven-da6-local.stratusvideo.com</w:t>
            </w:r>
          </w:p>
        </w:tc>
        <w:tc>
          <w:tcPr>
            <w:tcW w:type="dxa" w:w="3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Local hostname for DA6 East US</w:t>
            </w:r>
          </w:p>
        </w:tc>
      </w:tr>
      <w:tr>
        <w:trPr>
          <w:tblHeader w:val="false"/>
        </w:trPr>
        <w:tc>
          <w:tcPr>
            <w:tcW w:type="dxa" w:w="2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State Routing</w:t>
            </w:r>
          </w:p>
        </w:tc>
        <w:tc>
          <w:tcPr>
            <w:tcW w:type="dxa" w:w="34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IP assigned to DC4 for specific states</w:t>
            </w:r>
          </w:p>
        </w:tc>
        <w:tc>
          <w:tcPr>
            <w:tcW w:type="dxa" w:w="37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All other states default to DA6</w:t>
            </w:r>
          </w:p>
        </w:tc>
      </w:tr>
    </w:tbl>
    <w:p>
      <w:pPr>
        <w:spacing w:before="60" w:after="60"/>
      </w:pPr>
    </w:p>
    <w:p>
      <w:pPr>
        <w:pStyle w:val="Heading3"/>
        <w:spacing w:before="160" w:after="80"/>
      </w:pPr>
      <w:r>
        <w:rPr>
          <w:rFonts w:ascii="Arial" w:cs="Arial" w:eastAsia="Arial" w:hAnsi="Arial"/>
          <w:b/>
          <w:bCs/>
          <w:color w:val="2E75B6"/>
          <w:sz w:val="22"/>
          <w:szCs w:val="22"/>
        </w:rPr>
        <w:t xml:space="preserve">2.2  Network &amp; Security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Component</w:t>
            </w:r>
          </w:p>
        </w:tc>
        <w:tc>
          <w:tcPr>
            <w:tcW w:type="dxa" w:w="32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Technology</w:t>
            </w:r>
          </w:p>
        </w:tc>
        <w:tc>
          <w:tcPr>
            <w:tcW w:type="dxa" w:w="366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Function</w:t>
            </w:r>
          </w:p>
        </w:tc>
      </w:tr>
      <w:tr>
        <w:trPr>
          <w:tblHeader w:val="false"/>
        </w:trP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Palo Alto Firewall</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Palo Alto NGFW</w:t>
            </w:r>
          </w:p>
        </w:tc>
        <w:tc>
          <w:tcPr>
            <w:tcW w:type="dxa" w:w="36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Perimeter security for all inbound/outbound traffic</w:t>
            </w:r>
          </w:p>
        </w:tc>
      </w:tr>
      <w:tr>
        <w:trPr>
          <w:tblHeader w:val="false"/>
        </w:trPr>
        <w:tc>
          <w:tcPr>
            <w:tcW w:type="dxa" w:w="25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NGINX Primary Proxy</w:t>
            </w:r>
          </w:p>
        </w:tc>
        <w:tc>
          <w:tcPr>
            <w:tcW w:type="dxa" w:w="3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NGINX + ModSecurity v3 + OWASP CRS 3.2.0</w:t>
            </w:r>
          </w:p>
        </w:tc>
        <w:tc>
          <w:tcPr>
            <w:tcW w:type="dxa" w:w="36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Reverse proxy with WAF in full blocking mode; terminates HTTPS, inspects all requests</w:t>
            </w:r>
          </w:p>
        </w:tc>
      </w:tr>
      <w:tr>
        <w:trPr>
          <w:tblHeader w:val="false"/>
        </w:trP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NGINX Secondary Proxy</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NGINX</w:t>
            </w:r>
          </w:p>
        </w:tc>
        <w:tc>
          <w:tcPr>
            <w:tcW w:type="dxa" w:w="36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Routes SVEN API requests and asset requests to Azure Storage</w:t>
            </w:r>
          </w:p>
        </w:tc>
      </w:tr>
      <w:tr>
        <w:trPr>
          <w:tblHeader w:val="false"/>
        </w:trPr>
        <w:tc>
          <w:tcPr>
            <w:tcW w:type="dxa" w:w="25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Keepalived</w:t>
            </w:r>
          </w:p>
        </w:tc>
        <w:tc>
          <w:tcPr>
            <w:tcW w:type="dxa" w:w="3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Keepalived VRRP</w:t>
            </w:r>
          </w:p>
        </w:tc>
        <w:tc>
          <w:tcPr>
            <w:tcW w:type="dxa" w:w="36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VIP failover monitoring between primary and secondary NGINX</w:t>
            </w:r>
          </w:p>
        </w:tc>
      </w:tr>
      <w:tr>
        <w:trPr>
          <w:tblHeader w:val="false"/>
        </w:trP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NGINX FAS Proxy</w:t>
            </w:r>
          </w:p>
        </w:tc>
        <w:tc>
          <w:tcPr>
            <w:tcW w:type="dxa" w:w="3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NGINX</w:t>
            </w:r>
          </w:p>
        </w:tc>
        <w:tc>
          <w:tcPr>
            <w:tcW w:type="dxa" w:w="36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Dedicated proxy for CafeX FAS call signaling traffic</w:t>
            </w:r>
          </w:p>
        </w:tc>
      </w:tr>
    </w:tbl>
    <w:p>
      <w:pPr>
        <w:spacing w:before="60" w:after="60"/>
      </w:pPr>
    </w:p>
    <w:p>
      <w:pPr>
        <w:pStyle w:val="Heading3"/>
        <w:spacing w:before="160" w:after="80"/>
      </w:pPr>
      <w:r>
        <w:rPr>
          <w:rFonts w:ascii="Arial" w:cs="Arial" w:eastAsia="Arial" w:hAnsi="Arial"/>
          <w:b/>
          <w:bCs/>
          <w:color w:val="2E75B6"/>
          <w:sz w:val="22"/>
          <w:szCs w:val="22"/>
        </w:rPr>
        <w:t xml:space="preserve">2.3  Remote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Component</w:t>
            </w:r>
          </w:p>
        </w:tc>
        <w:tc>
          <w:tcPr>
            <w:tcW w:type="dxa" w:w="686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Purpose</w:t>
            </w:r>
          </w:p>
        </w:tc>
      </w:tr>
      <w:tr>
        <w:trPr>
          <w:tblHeader w:val="false"/>
        </w:trP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GlobalProtect VPN</w:t>
            </w:r>
          </w:p>
        </w:tc>
        <w:tc>
          <w:tcPr>
            <w:tcW w:type="dxa" w:w="68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Authenticates QM Users and Django Admin Users before granting access to Azure container app environments</w:t>
            </w:r>
          </w:p>
        </w:tc>
      </w:tr>
    </w:tbl>
    <w:p>
      <w:pPr>
        <w:spacing w:before="60" w:after="60"/>
      </w:pPr>
    </w:p>
    <w:p>
      <w:pPr>
        <w:pStyle w:val="Heading3"/>
        <w:spacing w:before="160" w:after="80"/>
      </w:pPr>
      <w:r>
        <w:rPr>
          <w:rFonts w:ascii="Arial" w:cs="Arial" w:eastAsia="Arial" w:hAnsi="Arial"/>
          <w:b/>
          <w:bCs/>
          <w:color w:val="2E75B6"/>
          <w:sz w:val="22"/>
          <w:szCs w:val="22"/>
        </w:rPr>
        <w:t xml:space="preserve">2.4  Telephony &amp; Call Control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Component</w:t>
            </w:r>
          </w:p>
        </w:tc>
        <w:tc>
          <w:tcPr>
            <w:tcW w:type="dxa" w:w="22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Technology</w:t>
            </w:r>
          </w:p>
        </w:tc>
        <w:tc>
          <w:tcPr>
            <w:tcW w:type="dxa" w:w="466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Function</w:t>
            </w:r>
          </w:p>
        </w:tc>
      </w:tr>
      <w:tr>
        <w:trPr>
          <w:tblHeader w:val="false"/>
        </w:trP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Session Border Controller (SBC)</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Adtran SBC</w:t>
            </w:r>
          </w:p>
        </w:tc>
        <w:tc>
          <w:tcPr>
            <w:tcW w:type="dxa" w:w="46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PSTN gateway — SIPS signaling and SRTP media. Handles inbound SIP trunks (VoIP.ms, Sinch/Avientech) and outbound SIP trunk</w:t>
            </w:r>
          </w:p>
        </w:tc>
      </w:tr>
      <w:tr>
        <w:trPr>
          <w:tblHeader w:val="false"/>
        </w:trPr>
        <w:tc>
          <w:tcPr>
            <w:tcW w:type="dxa" w:w="25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OpenSIPS</w:t>
            </w:r>
          </w:p>
        </w:tc>
        <w:tc>
          <w:tcPr>
            <w:tcW w:type="dxa" w:w="2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OpenSIPS</w:t>
            </w:r>
          </w:p>
        </w:tc>
        <w:tc>
          <w:tcPr>
            <w:tcW w:type="dxa" w:w="46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SIP &amp; RTP proxy; SIP call signaling and routing between FreeSwitch and SBC</w:t>
            </w:r>
          </w:p>
        </w:tc>
      </w:tr>
      <w:tr>
        <w:trPr>
          <w:tblHeader w:val="false"/>
        </w:trP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FreeSwitch Servers</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FreeSwitch + SVFSC3</w:t>
            </w:r>
          </w:p>
        </w:tc>
        <w:tc>
          <w:tcPr>
            <w:tcW w:type="dxa" w:w="46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RTP media processing; SVFSC3 cluster handles call control tasks; ESL Monitor watches FreeSwitch API events</w:t>
            </w:r>
          </w:p>
        </w:tc>
      </w:tr>
      <w:tr>
        <w:trPr>
          <w:tblHeader w:val="false"/>
        </w:trPr>
        <w:tc>
          <w:tcPr>
            <w:tcW w:type="dxa" w:w="25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CafeX FAS</w:t>
            </w:r>
          </w:p>
        </w:tc>
        <w:tc>
          <w:tcPr>
            <w:tcW w:type="dxa" w:w="2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CafeX FAS</w:t>
            </w:r>
          </w:p>
        </w:tc>
        <w:tc>
          <w:tcPr>
            <w:tcW w:type="dxa" w:w="46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Frontend Application Server — WebRTC call handling and signaling</w:t>
            </w:r>
          </w:p>
        </w:tc>
      </w:tr>
      <w:tr>
        <w:trPr>
          <w:tblHeader w:val="false"/>
        </w:trP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CafeX Media Brokers</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CafeX</w:t>
            </w:r>
          </w:p>
        </w:tc>
        <w:tc>
          <w:tcPr>
            <w:tcW w:type="dxa" w:w="46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WebRTC media broker — control and call assignment for video/audio sessions</w:t>
            </w:r>
          </w:p>
        </w:tc>
      </w:tr>
      <w:tr>
        <w:trPr>
          <w:tblHeader w:val="false"/>
        </w:trPr>
        <w:tc>
          <w:tcPr>
            <w:tcW w:type="dxa" w:w="25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VOIP Monitor</w:t>
            </w:r>
          </w:p>
        </w:tc>
        <w:tc>
          <w:tcPr>
            <w:tcW w:type="dxa" w:w="2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Custom monitor</w:t>
            </w:r>
          </w:p>
        </w:tc>
        <w:tc>
          <w:tcPr>
            <w:tcW w:type="dxa" w:w="46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Monitors VOIP signaling state and health</w:t>
            </w:r>
          </w:p>
        </w:tc>
      </w:tr>
      <w:tr>
        <w:trPr>
          <w:tblHeader w:val="false"/>
        </w:trP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Signaling Monitor</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Custom monitor</w:t>
            </w:r>
          </w:p>
        </w:tc>
        <w:tc>
          <w:tcPr>
            <w:tcW w:type="dxa" w:w="46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Monitors call signaling and captures call recordings</w:t>
            </w:r>
          </w:p>
        </w:tc>
      </w:tr>
    </w:tbl>
    <w:p>
      <w:pPr>
        <w:spacing w:before="60" w:after="60"/>
      </w:pPr>
    </w:p>
    <w:p>
      <w:pPr>
        <w:pStyle w:val="Heading3"/>
        <w:spacing w:before="160" w:after="80"/>
      </w:pPr>
      <w:r>
        <w:rPr>
          <w:rFonts w:ascii="Arial" w:cs="Arial" w:eastAsia="Arial" w:hAnsi="Arial"/>
          <w:b/>
          <w:bCs/>
          <w:color w:val="2E75B6"/>
          <w:sz w:val="22"/>
          <w:szCs w:val="22"/>
        </w:rPr>
        <w:t xml:space="preserve">2.5  On-Premises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Component</w:t>
            </w:r>
          </w:p>
        </w:tc>
        <w:tc>
          <w:tcPr>
            <w:tcW w:type="dxa" w:w="22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Technology</w:t>
            </w:r>
          </w:p>
        </w:tc>
        <w:tc>
          <w:tcPr>
            <w:tcW w:type="dxa" w:w="496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Purpose</w:t>
            </w:r>
          </w:p>
        </w:tc>
      </w:tr>
      <w:tr>
        <w:trPr>
          <w:tblHeader w:val="false"/>
        </w:trP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MySQL Database</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MySQL</w:t>
            </w:r>
          </w:p>
        </w:tc>
        <w:tc>
          <w:tcPr>
            <w:tcW w:type="dxa" w:w="4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SIP State Database — tracks active call state and session data</w:t>
            </w:r>
          </w:p>
        </w:tc>
      </w:tr>
      <w:tr>
        <w:trPr>
          <w:tblHeader w:val="false"/>
        </w:trPr>
        <w:tc>
          <w:tcPr>
            <w:tcW w:type="dxa" w:w="2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NetApp Storage</w:t>
            </w:r>
          </w:p>
        </w:tc>
        <w:tc>
          <w:tcPr>
            <w:tcW w:type="dxa" w:w="2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NetApp</w:t>
            </w:r>
          </w:p>
        </w:tc>
        <w:tc>
          <w:tcPr>
            <w:tcW w:type="dxa" w:w="49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VM File System Storage — shared storage for on-prem servers</w:t>
            </w:r>
          </w:p>
        </w:tc>
      </w:tr>
    </w:tbl>
    <w:p>
      <w:pPr>
        <w:spacing w:before="60" w:after="60"/>
      </w:pPr>
    </w:p>
    <w:p>
      <w:pPr>
        <w:pStyle w:val="Heading3"/>
        <w:spacing w:before="160" w:after="80"/>
      </w:pPr>
      <w:r>
        <w:rPr>
          <w:rFonts w:ascii="Arial" w:cs="Arial" w:eastAsia="Arial" w:hAnsi="Arial"/>
          <w:b/>
          <w:bCs/>
          <w:color w:val="2E75B6"/>
          <w:sz w:val="22"/>
          <w:szCs w:val="22"/>
        </w:rPr>
        <w:t xml:space="preserve">2.6  Azure Connectivity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Component</w:t>
            </w:r>
          </w:p>
        </w:tc>
        <w:tc>
          <w:tcPr>
            <w:tcW w:type="dxa" w:w="636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Details</w:t>
            </w:r>
          </w:p>
        </w:tc>
      </w:tr>
      <w:tr>
        <w:trPr>
          <w:tblHeader w:val="false"/>
        </w:trP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Express Route Circuit (DA6)</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Active connection from DA6 to Azure East US 1</w:t>
            </w:r>
          </w:p>
        </w:tc>
      </w:tr>
      <w:tr>
        <w:trPr>
          <w:tblHeader w:val="false"/>
        </w:trPr>
        <w:tc>
          <w:tcPr>
            <w:tcW w:type="dxa" w:w="30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Express Route Circuit (DC4)</w:t>
            </w:r>
          </w:p>
        </w:tc>
        <w:tc>
          <w:tcPr>
            <w:tcW w:type="dxa" w:w="63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Active connection from DC4 to Azure East US 1</w:t>
            </w:r>
          </w:p>
        </w:tc>
      </w:tr>
      <w:tr>
        <w:trPr>
          <w:tblHeader w:val="false"/>
        </w:trP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Failover Mode</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Both circuits active to East US. On-prem servers can connect to Azure in case of failure.</w:t>
            </w:r>
          </w:p>
        </w:tc>
      </w:tr>
    </w:tbl>
    <w:p>
      <w:pPr>
        <w:spacing w:before="80" w:after="80"/>
      </w:pPr>
    </w:p>
    <w:p>
      <w:pPr>
        <w:pStyle w:val="Heading1"/>
        <w:spacing w:before="320" w:after="120"/>
      </w:pPr>
      <w:r>
        <w:rPr>
          <w:rFonts w:ascii="Arial" w:cs="Arial" w:eastAsia="Arial" w:hAnsi="Arial"/>
          <w:b/>
          <w:bCs/>
          <w:color w:val="1F4E79"/>
          <w:sz w:val="28"/>
          <w:szCs w:val="28"/>
        </w:rPr>
        <w:t xml:space="preserve">3. Azure East US 1 — AMN Resource Group (Primary)</w:t>
      </w:r>
    </w:p>
    <w:p>
      <w:pPr>
        <w:spacing w:before="40" w:after="40"/>
      </w:pPr>
      <w:r>
        <w:rPr>
          <w:rFonts w:ascii="Arial" w:cs="Arial" w:eastAsia="Arial" w:hAnsi="Arial"/>
          <w:b w:val="false"/>
          <w:bCs w:val="false"/>
          <w:color w:val="1A1A1A"/>
          <w:sz w:val="20"/>
          <w:szCs w:val="20"/>
        </w:rPr>
        <w:t xml:space="preserve">The primary Azure workload region. Hosts all production container apps, storage, caching, and event services. Approximately 176 container replicas run in this region.</w:t>
      </w:r>
    </w:p>
    <w:p>
      <w:pPr>
        <w:spacing w:before="60" w:after="60"/>
      </w:pPr>
    </w:p>
    <w:p>
      <w:pPr>
        <w:pStyle w:val="Heading3"/>
        <w:spacing w:before="160" w:after="80"/>
      </w:pPr>
      <w:r>
        <w:rPr>
          <w:rFonts w:ascii="Arial" w:cs="Arial" w:eastAsia="Arial" w:hAnsi="Arial"/>
          <w:b/>
          <w:bCs/>
          <w:color w:val="2E75B6"/>
          <w:sz w:val="22"/>
          <w:szCs w:val="22"/>
        </w:rPr>
        <w:t xml:space="preserve">3.1  Container Apps — Live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400"/>
        <w:gridCol w:w="4660"/>
      </w:tblGrid>
      <w:tr>
        <w:trPr>
          <w:tblHeader/>
        </w:trPr>
        <w:tc>
          <w:tcPr>
            <w:tcW w:type="dxa" w:w="22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Container</w:t>
            </w:r>
          </w:p>
        </w:tc>
        <w:tc>
          <w:tcPr>
            <w:tcW w:type="dxa" w:w="11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Replicas</w:t>
            </w:r>
          </w:p>
        </w:tc>
        <w:tc>
          <w:tcPr>
            <w:tcW w:type="dxa" w:w="1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CPU / Mem</w:t>
            </w:r>
          </w:p>
        </w:tc>
        <w:tc>
          <w:tcPr>
            <w:tcW w:type="dxa" w:w="466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Purpose</w:t>
            </w:r>
          </w:p>
        </w:tc>
      </w:tr>
      <w:tr>
        <w:trPr>
          <w:tblHeader w:val="false"/>
        </w:trP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sven-api</w:t>
            </w:r>
          </w:p>
        </w:tc>
        <w:tc>
          <w:tcPr>
            <w:tcW w:type="dxa" w:w="1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75</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1v / 2G</w:t>
            </w:r>
          </w:p>
        </w:tc>
        <w:tc>
          <w:tcPr>
            <w:tcW w:type="dxa" w:w="46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Primary API server (gunicorn + 5 uvicorn workers per replica)</w:t>
            </w:r>
          </w:p>
        </w:tc>
      </w:tr>
      <w:tr>
        <w:trPr>
          <w:tblHeader w:val="false"/>
        </w:trPr>
        <w:tc>
          <w:tcPr>
            <w:tcW w:type="dxa" w:w="2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sven-ws</w:t>
            </w:r>
          </w:p>
        </w:tc>
        <w:tc>
          <w:tcPr>
            <w:tcW w:type="dxa" w:w="11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25</w:t>
            </w:r>
          </w:p>
        </w:tc>
        <w:tc>
          <w:tcPr>
            <w:tcW w:type="dxa" w:w="14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2v / 4G</w:t>
            </w:r>
          </w:p>
        </w:tc>
        <w:tc>
          <w:tcPr>
            <w:tcW w:type="dxa" w:w="46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WebSocket server — Django Channels, real-time client connections</w:t>
            </w:r>
          </w:p>
        </w:tc>
      </w:tr>
      <w:tr>
        <w:trPr>
          <w:tblHeader w:val="false"/>
        </w:trP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sven-presence</w:t>
            </w:r>
          </w:p>
        </w:tc>
        <w:tc>
          <w:tcPr>
            <w:tcW w:type="dxa" w:w="1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30</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1v / 2G</w:t>
            </w:r>
          </w:p>
        </w:tc>
        <w:tc>
          <w:tcPr>
            <w:tcW w:type="dxa" w:w="46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Presence ping/status service (Flask)</w:t>
            </w:r>
          </w:p>
        </w:tc>
      </w:tr>
      <w:tr>
        <w:trPr>
          <w:tblHeader w:val="false"/>
        </w:trPr>
        <w:tc>
          <w:tcPr>
            <w:tcW w:type="dxa" w:w="2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sven-worker</w:t>
            </w:r>
          </w:p>
        </w:tc>
        <w:tc>
          <w:tcPr>
            <w:tcW w:type="dxa" w:w="11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15</w:t>
            </w:r>
          </w:p>
        </w:tc>
        <w:tc>
          <w:tcPr>
            <w:tcW w:type="dxa" w:w="14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1v / 2G</w:t>
            </w:r>
          </w:p>
        </w:tc>
        <w:tc>
          <w:tcPr>
            <w:tcW w:type="dxa" w:w="46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Celery background workers (1 concurrent task each)</w:t>
            </w:r>
          </w:p>
        </w:tc>
      </w:tr>
      <w:tr>
        <w:trPr>
          <w:tblHeader w:val="false"/>
        </w:trP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sven-celery-beat</w:t>
            </w:r>
          </w:p>
        </w:tc>
        <w:tc>
          <w:tcPr>
            <w:tcW w:type="dxa" w:w="1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1v / 2G</w:t>
            </w:r>
          </w:p>
        </w:tc>
        <w:tc>
          <w:tcPr>
            <w:tcW w:type="dxa" w:w="46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Periodic task scheduler (Celery Beat)</w:t>
            </w:r>
          </w:p>
        </w:tc>
      </w:tr>
      <w:tr>
        <w:trPr>
          <w:tblHeader w:val="false"/>
        </w:trPr>
        <w:tc>
          <w:tcPr>
            <w:tcW w:type="dxa" w:w="2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sven-apc-worker</w:t>
            </w:r>
          </w:p>
        </w:tc>
        <w:tc>
          <w:tcPr>
            <w:tcW w:type="dxa" w:w="11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w:t>
            </w:r>
          </w:p>
        </w:tc>
        <w:tc>
          <w:tcPr>
            <w:tcW w:type="dxa" w:w="14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1v / 2G</w:t>
            </w:r>
          </w:p>
        </w:tc>
        <w:tc>
          <w:tcPr>
            <w:tcW w:type="dxa" w:w="46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APC (Automated Process Control) processing</w:t>
            </w:r>
          </w:p>
        </w:tc>
      </w:tr>
      <w:tr>
        <w:trPr>
          <w:tblHeader w:val="false"/>
        </w:trP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ai-worker</w:t>
            </w:r>
          </w:p>
        </w:tc>
        <w:tc>
          <w:tcPr>
            <w:tcW w:type="dxa" w:w="1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1v / 2G</w:t>
            </w:r>
          </w:p>
        </w:tc>
        <w:tc>
          <w:tcPr>
            <w:tcW w:type="dxa" w:w="46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AI processing workloads</w:t>
            </w:r>
          </w:p>
        </w:tc>
      </w:tr>
    </w:tbl>
    <w:p>
      <w:pPr>
        <w:spacing w:before="60" w:after="60"/>
      </w:pPr>
    </w:p>
    <w:p>
      <w:pPr>
        <w:pStyle w:val="Heading3"/>
        <w:spacing w:before="160" w:after="80"/>
      </w:pPr>
      <w:r>
        <w:rPr>
          <w:rFonts w:ascii="Arial" w:cs="Arial" w:eastAsia="Arial" w:hAnsi="Arial"/>
          <w:b/>
          <w:bCs/>
          <w:color w:val="2E75B6"/>
          <w:sz w:val="22"/>
          <w:szCs w:val="22"/>
        </w:rPr>
        <w:t xml:space="preserve">3.2  Container Apps — Admin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800"/>
        <w:gridCol w:w="4260"/>
      </w:tblGrid>
      <w:tr>
        <w:trPr>
          <w:tblHeader/>
        </w:trPr>
        <w:tc>
          <w:tcPr>
            <w:tcW w:type="dxa" w:w="22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Container</w:t>
            </w:r>
          </w:p>
        </w:tc>
        <w:tc>
          <w:tcPr>
            <w:tcW w:type="dxa" w:w="11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Replicas</w:t>
            </w:r>
          </w:p>
        </w:tc>
        <w:tc>
          <w:tcPr>
            <w:tcW w:type="dxa" w:w="18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CPU / Mem</w:t>
            </w:r>
          </w:p>
        </w:tc>
        <w:tc>
          <w:tcPr>
            <w:tcW w:type="dxa" w:w="426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Purpose</w:t>
            </w:r>
          </w:p>
        </w:tc>
      </w:tr>
      <w:tr>
        <w:trPr>
          <w:tblHeader w:val="false"/>
        </w:trP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sven-admin</w:t>
            </w:r>
          </w:p>
        </w:tc>
        <w:tc>
          <w:tcPr>
            <w:tcW w:type="dxa" w:w="1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0.5-1v / 1-2G</w:t>
            </w:r>
          </w:p>
        </w:tc>
        <w:tc>
          <w:tcPr>
            <w:tcW w:type="dxa" w:w="42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Django admin interface for platform management</w:t>
            </w:r>
          </w:p>
        </w:tc>
      </w:tr>
      <w:tr>
        <w:trPr>
          <w:tblHeader w:val="false"/>
        </w:trPr>
        <w:tc>
          <w:tcPr>
            <w:tcW w:type="dxa" w:w="2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flower</w:t>
            </w:r>
          </w:p>
        </w:tc>
        <w:tc>
          <w:tcPr>
            <w:tcW w:type="dxa" w:w="11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w:t>
            </w:r>
          </w:p>
        </w:tc>
        <w:tc>
          <w:tcPr>
            <w:tcW w:type="dxa" w:w="18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0.5-1v / 1-2G</w:t>
            </w:r>
          </w:p>
        </w:tc>
        <w:tc>
          <w:tcPr>
            <w:tcW w:type="dxa" w:w="42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Celery Flower dashboard — task queue monitoring</w:t>
            </w:r>
          </w:p>
        </w:tc>
      </w:tr>
    </w:tbl>
    <w:p>
      <w:pPr>
        <w:spacing w:before="60" w:after="60"/>
      </w:pPr>
    </w:p>
    <w:p>
      <w:pPr>
        <w:pStyle w:val="Heading3"/>
        <w:spacing w:before="160" w:after="80"/>
      </w:pPr>
      <w:r>
        <w:rPr>
          <w:rFonts w:ascii="Arial" w:cs="Arial" w:eastAsia="Arial" w:hAnsi="Arial"/>
          <w:b/>
          <w:bCs/>
          <w:color w:val="2E75B6"/>
          <w:sz w:val="22"/>
          <w:szCs w:val="22"/>
        </w:rPr>
        <w:t xml:space="preserve">3.3  Container Apps — Quality Management (QM)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400"/>
        <w:gridCol w:w="4660"/>
      </w:tblGrid>
      <w:tr>
        <w:trPr>
          <w:tblHeader/>
        </w:trPr>
        <w:tc>
          <w:tcPr>
            <w:tcW w:type="dxa" w:w="22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Container</w:t>
            </w:r>
          </w:p>
        </w:tc>
        <w:tc>
          <w:tcPr>
            <w:tcW w:type="dxa" w:w="11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Replicas</w:t>
            </w:r>
          </w:p>
        </w:tc>
        <w:tc>
          <w:tcPr>
            <w:tcW w:type="dxa" w:w="1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CPU / Mem</w:t>
            </w:r>
          </w:p>
        </w:tc>
        <w:tc>
          <w:tcPr>
            <w:tcW w:type="dxa" w:w="466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Purpose</w:t>
            </w:r>
          </w:p>
        </w:tc>
      </w:tr>
      <w:tr>
        <w:trPr>
          <w:tblHeader w:val="false"/>
        </w:trP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QM NGINX</w:t>
            </w:r>
          </w:p>
        </w:tc>
        <w:tc>
          <w:tcPr>
            <w:tcW w:type="dxa" w:w="1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1v / 2G</w:t>
            </w:r>
          </w:p>
        </w:tc>
        <w:tc>
          <w:tcPr>
            <w:tcW w:type="dxa" w:w="46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QM reverse proxy — routes QM traffic</w:t>
            </w:r>
          </w:p>
        </w:tc>
      </w:tr>
      <w:tr>
        <w:trPr>
          <w:tblHeader w:val="false"/>
        </w:trPr>
        <w:tc>
          <w:tcPr>
            <w:tcW w:type="dxa" w:w="2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QM API</w:t>
            </w:r>
          </w:p>
        </w:tc>
        <w:tc>
          <w:tcPr>
            <w:tcW w:type="dxa" w:w="11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w:t>
            </w:r>
          </w:p>
        </w:tc>
        <w:tc>
          <w:tcPr>
            <w:tcW w:type="dxa" w:w="14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1v / 2G</w:t>
            </w:r>
          </w:p>
        </w:tc>
        <w:tc>
          <w:tcPr>
            <w:tcW w:type="dxa" w:w="46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QM REST API — quality review endpoints</w:t>
            </w:r>
          </w:p>
        </w:tc>
      </w:tr>
      <w:tr>
        <w:trPr>
          <w:tblHeader w:val="false"/>
        </w:trP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QM WebSocket</w:t>
            </w:r>
          </w:p>
        </w:tc>
        <w:tc>
          <w:tcPr>
            <w:tcW w:type="dxa" w:w="11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1v / 2G</w:t>
            </w:r>
          </w:p>
        </w:tc>
        <w:tc>
          <w:tcPr>
            <w:tcW w:type="dxa" w:w="46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QM real-time connections for reviewers</w:t>
            </w:r>
          </w:p>
        </w:tc>
      </w:tr>
      <w:tr>
        <w:trPr>
          <w:tblHeader w:val="false"/>
        </w:trPr>
        <w:tc>
          <w:tcPr>
            <w:tcW w:type="dxa" w:w="2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QM Worker</w:t>
            </w:r>
          </w:p>
        </w:tc>
        <w:tc>
          <w:tcPr>
            <w:tcW w:type="dxa" w:w="11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w:t>
            </w:r>
          </w:p>
        </w:tc>
        <w:tc>
          <w:tcPr>
            <w:tcW w:type="dxa" w:w="14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1v / 2G</w:t>
            </w:r>
          </w:p>
        </w:tc>
        <w:tc>
          <w:tcPr>
            <w:tcW w:type="dxa" w:w="46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QM background processing — screenshot handling, report generation</w:t>
            </w:r>
          </w:p>
        </w:tc>
      </w:tr>
    </w:tbl>
    <w:p>
      <w:pPr>
        <w:spacing w:before="60" w:after="60"/>
      </w:pPr>
    </w:p>
    <w:p>
      <w:pPr>
        <w:pStyle w:val="Heading3"/>
        <w:spacing w:before="160" w:after="80"/>
      </w:pPr>
      <w:r>
        <w:rPr>
          <w:rFonts w:ascii="Arial" w:cs="Arial" w:eastAsia="Arial" w:hAnsi="Arial"/>
          <w:b/>
          <w:bCs/>
          <w:color w:val="2E75B6"/>
          <w:sz w:val="22"/>
          <w:szCs w:val="22"/>
        </w:rPr>
        <w:t xml:space="preserve">3.4  Azure Storage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Storage Account</w:t>
            </w:r>
          </w:p>
        </w:tc>
        <w:tc>
          <w:tcPr>
            <w:tcW w:type="dxa" w:w="28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Container / Share</w:t>
            </w:r>
          </w:p>
        </w:tc>
        <w:tc>
          <w:tcPr>
            <w:tcW w:type="dxa" w:w="376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Purpose</w:t>
            </w:r>
          </w:p>
        </w:tc>
      </w:tr>
      <w:tr>
        <w:trPr>
          <w:tblHeader w:val="false"/>
        </w:trP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Assets Storage Account</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media-blobs</w:t>
            </w:r>
          </w:p>
        </w:tc>
        <w:tc>
          <w:tcPr>
            <w:tcW w:type="dxa" w:w="3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Call recording media files</w:t>
            </w:r>
          </w:p>
        </w:tc>
      </w:tr>
      <w:tr>
        <w:trPr>
          <w:tblHeader w:val="false"/>
        </w:trPr>
        <w:tc>
          <w:tcPr>
            <w:tcW w:type="dxa" w:w="28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Assets Storage Account</w:t>
            </w:r>
          </w:p>
        </w:tc>
        <w:tc>
          <w:tcPr>
            <w:tcW w:type="dxa" w:w="28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static-blobs</w:t>
            </w:r>
          </w:p>
        </w:tc>
        <w:tc>
          <w:tcPr>
            <w:tcW w:type="dxa" w:w="37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Frontend static assets (JS, CSS, images)</w:t>
            </w:r>
          </w:p>
        </w:tc>
      </w:tr>
      <w:tr>
        <w:trPr>
          <w:tblHeader w:val="false"/>
        </w:trP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WFM Storage Account</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WFM Storage Azure Files (mount)</w:t>
            </w:r>
          </w:p>
        </w:tc>
        <w:tc>
          <w:tcPr>
            <w:tcW w:type="dxa" w:w="3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Workforce Management shared file mount — work area for WFM processing</w:t>
            </w:r>
          </w:p>
        </w:tc>
      </w:tr>
      <w:tr>
        <w:trPr>
          <w:tblHeader w:val="false"/>
        </w:trPr>
        <w:tc>
          <w:tcPr>
            <w:tcW w:type="dxa" w:w="28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QM Storage Account</w:t>
            </w:r>
          </w:p>
        </w:tc>
        <w:tc>
          <w:tcPr>
            <w:tcW w:type="dxa" w:w="28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QM Recordings Storage Container</w:t>
            </w:r>
          </w:p>
        </w:tc>
        <w:tc>
          <w:tcPr>
            <w:tcW w:type="dxa" w:w="37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Quality Management call recordings and interpreter screenshots</w:t>
            </w:r>
          </w:p>
        </w:tc>
      </w:tr>
    </w:tbl>
    <w:p>
      <w:pPr>
        <w:spacing w:before="60" w:after="60"/>
      </w:pPr>
    </w:p>
    <w:p>
      <w:pPr>
        <w:pStyle w:val="Heading3"/>
        <w:spacing w:before="160" w:after="80"/>
      </w:pPr>
      <w:r>
        <w:rPr>
          <w:rFonts w:ascii="Arial" w:cs="Arial" w:eastAsia="Arial" w:hAnsi="Arial"/>
          <w:b/>
          <w:bCs/>
          <w:color w:val="2E75B6"/>
          <w:sz w:val="22"/>
          <w:szCs w:val="22"/>
        </w:rPr>
        <w:t xml:space="preserve">3.5  Redis Cache Instances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00"/>
        <w:gridCol w:w="1300"/>
        <w:gridCol w:w="1200"/>
        <w:gridCol w:w="800"/>
      </w:tblGrid>
      <w:tr>
        <w:trPr>
          <w:tblHeader/>
        </w:trP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Instance</w:t>
            </w:r>
          </w:p>
        </w:tc>
        <w:tc>
          <w:tcPr>
            <w:tcW w:type="dxa" w:w="1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SKU</w:t>
            </w:r>
          </w:p>
        </w:tc>
        <w:tc>
          <w:tcPr>
            <w:tcW w:type="dxa" w:w="28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Purpose</w:t>
            </w:r>
          </w:p>
        </w:tc>
        <w:tc>
          <w:tcPr>
            <w:tcW w:type="dxa" w:w="13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Avg Clients</w:t>
            </w:r>
          </w:p>
        </w:tc>
        <w:tc>
          <w:tcPr>
            <w:tcW w:type="dxa" w:w="12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Peak Load</w:t>
            </w:r>
          </w:p>
        </w:tc>
        <w:tc>
          <w:tcPr>
            <w:tcW w:type="dxa" w:w="8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Ops/sec</w:t>
            </w:r>
          </w:p>
        </w:tc>
      </w:tr>
      <w:tr>
        <w:trPr>
          <w:tblHeader w:val="false"/>
        </w:trP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Main Redis Cache</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Premium</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App cache, Celery broker, distributed locks, presence state</w:t>
            </w:r>
          </w:p>
        </w:tc>
        <w:tc>
          <w:tcPr>
            <w:tcW w:type="dxa" w:w="13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1,787</w:t>
            </w:r>
          </w:p>
        </w:tc>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62%</w:t>
            </w:r>
          </w:p>
        </w:tc>
        <w:tc>
          <w:tcPr>
            <w:tcW w:type="dxa" w:w="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1,614</w:t>
            </w:r>
          </w:p>
        </w:tc>
      </w:tr>
      <w:tr>
        <w:trPr>
          <w:tblHeader w:val="false"/>
        </w:trPr>
        <w:tc>
          <w:tcPr>
            <w:tcW w:type="dxa" w:w="24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WebSocket Redis Cache</w:t>
            </w:r>
          </w:p>
        </w:tc>
        <w:tc>
          <w:tcPr>
            <w:tcW w:type="dxa" w:w="14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Premium</w:t>
            </w:r>
          </w:p>
        </w:tc>
        <w:tc>
          <w:tcPr>
            <w:tcW w:type="dxa" w:w="28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Django Channels pub/sub, WebSocket group management</w:t>
            </w:r>
          </w:p>
        </w:tc>
        <w:tc>
          <w:tcPr>
            <w:tcW w:type="dxa" w:w="13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356</w:t>
            </w:r>
          </w:p>
        </w:tc>
        <w:tc>
          <w:tcPr>
            <w:tcW w:type="dxa" w:w="1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4%</w:t>
            </w:r>
          </w:p>
        </w:tc>
        <w:tc>
          <w:tcPr>
            <w:tcW w:type="dxa" w:w="8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82</w:t>
            </w:r>
          </w:p>
        </w:tc>
      </w:tr>
      <w:tr>
        <w:trPr>
          <w:tblHeader w:val="false"/>
        </w:trP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Main Redis Cache Replica</w:t>
            </w:r>
          </w:p>
        </w:tc>
        <w:tc>
          <w:tcPr>
            <w:tcW w:type="dxa" w:w="1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Premium</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Replication replica for Main Redis</w:t>
            </w:r>
          </w:p>
        </w:tc>
        <w:tc>
          <w:tcPr>
            <w:tcW w:type="dxa" w:w="13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t>
            </w:r>
          </w:p>
        </w:tc>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t>
            </w:r>
          </w:p>
        </w:tc>
        <w:tc>
          <w:tcPr>
            <w:tcW w:type="dxa" w:w="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t>
            </w:r>
          </w:p>
        </w:tc>
      </w:tr>
      <w:tr>
        <w:trPr>
          <w:tblHeader w:val="false"/>
        </w:trPr>
        <w:tc>
          <w:tcPr>
            <w:tcW w:type="dxa" w:w="24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WebSocket Redis Cache Replica</w:t>
            </w:r>
          </w:p>
        </w:tc>
        <w:tc>
          <w:tcPr>
            <w:tcW w:type="dxa" w:w="14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Premium</w:t>
            </w:r>
          </w:p>
        </w:tc>
        <w:tc>
          <w:tcPr>
            <w:tcW w:type="dxa" w:w="28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Geo-replication to South Central US</w:t>
            </w:r>
          </w:p>
        </w:tc>
        <w:tc>
          <w:tcPr>
            <w:tcW w:type="dxa" w:w="13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t>
            </w:r>
          </w:p>
        </w:tc>
        <w:tc>
          <w:tcPr>
            <w:tcW w:type="dxa" w:w="1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t>
            </w:r>
          </w:p>
        </w:tc>
        <w:tc>
          <w:tcPr>
            <w:tcW w:type="dxa" w:w="8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t>
            </w:r>
          </w:p>
        </w:tc>
      </w:tr>
    </w:tbl>
    <w:p>
      <w:pPr>
        <w:spacing w:before="40" w:after="40"/>
      </w:pPr>
    </w:p>
    <w:p>
      <w:pPr>
        <w:pBdr>
          <w:left w:val="single" w:color="2E75B6" w:sz="12" w:space="8"/>
        </w:pBdr>
        <w:spacing w:before="80" w:after="80"/>
        <w:ind w:left="360"/>
      </w:pPr>
      <w:r>
        <w:rPr>
          <w:rFonts w:ascii="Arial" w:cs="Arial" w:eastAsia="Arial" w:hAnsi="Arial"/>
          <w:b/>
          <w:bCs/>
          <w:color w:val="2E75B6"/>
          <w:sz w:val="20"/>
          <w:szCs w:val="20"/>
        </w:rPr>
        <w:t xml:space="preserve">NOTE: </w:t>
      </w:r>
      <w:r>
        <w:rPr>
          <w:rFonts w:ascii="Arial" w:cs="Arial" w:eastAsia="Arial" w:hAnsi="Arial"/>
          <w:i/>
          <w:iCs/>
          <w:color w:val="1A1A1A"/>
          <w:sz w:val="20"/>
          <w:szCs w:val="20"/>
        </w:rPr>
        <w:t xml:space="preserve">Main Redis peak load of 62% indicates significant headroom pressure during load spikes. WebSocket Redis was separated from Main Redis following prior incidents with unbounded connection pools.</w:t>
      </w:r>
    </w:p>
    <w:p>
      <w:pPr>
        <w:spacing w:before="60" w:after="60"/>
      </w:pPr>
    </w:p>
    <w:p>
      <w:pPr>
        <w:pStyle w:val="Heading3"/>
        <w:spacing w:before="160" w:after="80"/>
      </w:pPr>
      <w:r>
        <w:rPr>
          <w:rFonts w:ascii="Arial" w:cs="Arial" w:eastAsia="Arial" w:hAnsi="Arial"/>
          <w:b/>
          <w:bCs/>
          <w:color w:val="2E75B6"/>
          <w:sz w:val="22"/>
          <w:szCs w:val="22"/>
        </w:rPr>
        <w:t xml:space="preserve">3.6  Event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Resource</w:t>
            </w:r>
          </w:p>
        </w:tc>
        <w:tc>
          <w:tcPr>
            <w:tcW w:type="dxa" w:w="20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SKU</w:t>
            </w:r>
          </w:p>
        </w:tc>
        <w:tc>
          <w:tcPr>
            <w:tcW w:type="dxa" w:w="456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Purpose</w:t>
            </w:r>
          </w:p>
        </w:tc>
      </w:tr>
      <w:tr>
        <w:trPr>
          <w:tblHeader w:val="false"/>
        </w:trP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Event Hub Namespace</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Standard, 2 CU</w:t>
            </w:r>
          </w:p>
        </w:tc>
        <w:tc>
          <w:tcPr>
            <w:tcW w:type="dxa" w:w="4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Captures presence transition events and APC events for downstream consumers</w:t>
            </w:r>
          </w:p>
        </w:tc>
      </w:tr>
    </w:tbl>
    <w:p>
      <w:pPr>
        <w:spacing w:before="60" w:after="60"/>
      </w:pPr>
    </w:p>
    <w:p>
      <w:pPr>
        <w:pStyle w:val="Heading3"/>
        <w:spacing w:before="160" w:after="80"/>
      </w:pPr>
      <w:r>
        <w:rPr>
          <w:rFonts w:ascii="Arial" w:cs="Arial" w:eastAsia="Arial" w:hAnsi="Arial"/>
          <w:b/>
          <w:bCs/>
          <w:color w:val="2E75B6"/>
          <w:sz w:val="22"/>
          <w:szCs w:val="22"/>
        </w:rPr>
        <w:t xml:space="preserve">3.7  Deployment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Component</w:t>
            </w:r>
          </w:p>
        </w:tc>
        <w:tc>
          <w:tcPr>
            <w:tcW w:type="dxa" w:w="636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Purpose</w:t>
            </w:r>
          </w:p>
        </w:tc>
      </w:tr>
      <w:tr>
        <w:trPr>
          <w:tblHeader w:val="false"/>
        </w:trP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GitHub Actions</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CI/CD pipeline — triggers on release branch, builds container images, deploys to Container Apps in both East US and South Central US</w:t>
            </w:r>
          </w:p>
        </w:tc>
      </w:tr>
      <w:tr>
        <w:trPr>
          <w:tblHeader w:val="false"/>
        </w:trPr>
        <w:tc>
          <w:tcPr>
            <w:tcW w:type="dxa" w:w="30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stratussven Container Registry</w:t>
            </w:r>
          </w:p>
        </w:tc>
        <w:tc>
          <w:tcPr>
            <w:tcW w:type="dxa" w:w="63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Azure Container Registry — stores all production container images; GitHub Actions pulls from here on deploy</w:t>
            </w:r>
          </w:p>
        </w:tc>
      </w:tr>
    </w:tbl>
    <w:p>
      <w:pPr>
        <w:spacing w:before="60" w:after="60"/>
      </w:pPr>
    </w:p>
    <w:p>
      <w:pPr>
        <w:pStyle w:val="Heading3"/>
        <w:spacing w:before="160" w:after="80"/>
      </w:pPr>
      <w:r>
        <w:rPr>
          <w:rFonts w:ascii="Arial" w:cs="Arial" w:eastAsia="Arial" w:hAnsi="Arial"/>
          <w:b/>
          <w:bCs/>
          <w:color w:val="2E75B6"/>
          <w:sz w:val="22"/>
          <w:szCs w:val="22"/>
        </w:rPr>
        <w:t xml:space="preserve">3.8  Key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Resource</w:t>
            </w:r>
          </w:p>
        </w:tc>
        <w:tc>
          <w:tcPr>
            <w:tcW w:type="dxa" w:w="636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Purpose</w:t>
            </w:r>
          </w:p>
        </w:tc>
      </w:tr>
      <w:tr>
        <w:trPr>
          <w:tblHeader w:val="false"/>
        </w:trP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Key Vault (East US)</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Centralized secret storage for all container apps — API keys, connection strings, certificates</w:t>
            </w:r>
          </w:p>
        </w:tc>
      </w:tr>
    </w:tbl>
    <w:p>
      <w:pPr>
        <w:spacing w:before="80" w:after="80"/>
      </w:pPr>
    </w:p>
    <w:p>
      <w:pPr>
        <w:pStyle w:val="Heading1"/>
        <w:spacing w:before="320" w:after="120"/>
      </w:pPr>
      <w:r>
        <w:rPr>
          <w:rFonts w:ascii="Arial" w:cs="Arial" w:eastAsia="Arial" w:hAnsi="Arial"/>
          <w:b/>
          <w:bCs/>
          <w:color w:val="1F4E79"/>
          <w:sz w:val="28"/>
          <w:szCs w:val="28"/>
        </w:rPr>
        <w:t xml:space="preserve">4. Azure — EDB (BigAnimal) Resource Groups</w:t>
      </w:r>
    </w:p>
    <w:p>
      <w:pPr>
        <w:spacing w:before="40" w:after="40"/>
      </w:pPr>
      <w:r>
        <w:rPr>
          <w:rFonts w:ascii="Arial" w:cs="Arial" w:eastAsia="Arial" w:hAnsi="Arial"/>
          <w:b w:val="false"/>
          <w:bCs w:val="false"/>
          <w:color w:val="1A1A1A"/>
          <w:sz w:val="20"/>
          <w:szCs w:val="20"/>
        </w:rPr>
        <w:t xml:space="preserve">EDB (EnterpriseDB) BigAnimal runs PostgreSQL as a managed Kubernetes service in separate resource groups from the AMN workloads. Private Link connections bridge the AMN and EDB resource groups without exposing database traffic to the public internet.</w:t>
      </w:r>
    </w:p>
    <w:p>
      <w:pPr>
        <w:spacing w:before="60" w:after="60"/>
      </w:pPr>
    </w:p>
    <w:p>
      <w:pPr>
        <w:pStyle w:val="Heading3"/>
        <w:spacing w:before="160" w:after="80"/>
      </w:pPr>
      <w:r>
        <w:rPr>
          <w:rFonts w:ascii="Arial" w:cs="Arial" w:eastAsia="Arial" w:hAnsi="Arial"/>
          <w:b/>
          <w:bCs/>
          <w:color w:val="2E75B6"/>
          <w:sz w:val="22"/>
          <w:szCs w:val="22"/>
        </w:rPr>
        <w:t xml:space="preserve">4.1  Azure East US — EDB Resource Group (Primary)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000"/>
      </w:tblGrid>
      <w:tr>
        <w:trPr>
          <w:tblHeader/>
        </w:trPr>
        <w:tc>
          <w:tcPr>
            <w:tcW w:type="dxa" w:w="28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Component</w:t>
            </w:r>
          </w:p>
        </w:tc>
        <w:tc>
          <w:tcPr>
            <w:tcW w:type="dxa" w:w="26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Technology</w:t>
            </w:r>
          </w:p>
        </w:tc>
        <w:tc>
          <w:tcPr>
            <w:tcW w:type="dxa" w:w="40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Purpose</w:t>
            </w:r>
          </w:p>
        </w:tc>
      </w:tr>
      <w:tr>
        <w:trPr>
          <w:tblHeader w:val="false"/>
        </w:trP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BigAnimal Primary Database</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EDB on Kubernetes (East US)</w:t>
            </w:r>
          </w:p>
        </w:tc>
        <w:tc>
          <w:tcPr>
            <w:tcW w:type="dxa" w:w="4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Primary read/write PostgreSQL database for all SVEN application writes</w:t>
            </w:r>
          </w:p>
        </w:tc>
      </w:tr>
      <w:tr>
        <w:trPr>
          <w:tblHeader w:val="false"/>
        </w:trPr>
        <w:tc>
          <w:tcPr>
            <w:tcW w:type="dxa" w:w="28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pgBouncer (Read/Write)</w:t>
            </w:r>
          </w:p>
        </w:tc>
        <w:tc>
          <w:tcPr>
            <w:tcW w:type="dxa" w:w="26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pgBouncer</w:t>
            </w:r>
          </w:p>
        </w:tc>
        <w:tc>
          <w:tcPr>
            <w:tcW w:type="dxa" w:w="40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Connection pooler for the primary database — prevents connection exhaustion</w:t>
            </w:r>
          </w:p>
        </w:tc>
      </w:tr>
      <w:tr>
        <w:trPr>
          <w:tblHeader w:val="false"/>
        </w:trP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BigAnimal Read/Write Endpoint</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Azure Private Link</w:t>
            </w:r>
          </w:p>
        </w:tc>
        <w:tc>
          <w:tcPr>
            <w:tcW w:type="dxa" w:w="4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Private Link from AMN East US RG to EDB East US RG — carries all write traffic</w:t>
            </w:r>
          </w:p>
        </w:tc>
      </w:tr>
      <w:tr>
        <w:trPr>
          <w:tblHeader w:val="false"/>
        </w:trPr>
        <w:tc>
          <w:tcPr>
            <w:tcW w:type="dxa" w:w="28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BigAnimal Read-Only Private Endpoint</w:t>
            </w:r>
          </w:p>
        </w:tc>
        <w:tc>
          <w:tcPr>
            <w:tcW w:type="dxa" w:w="26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Azure Private Link</w:t>
            </w:r>
          </w:p>
        </w:tc>
        <w:tc>
          <w:tcPr>
            <w:tcW w:type="dxa" w:w="40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Private Link for read-only query traffic — routes to secondary via pgBouncer</w:t>
            </w:r>
          </w:p>
        </w:tc>
      </w:tr>
      <w:tr>
        <w:trPr>
          <w:tblHeader w:val="false"/>
        </w:trP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BigAnimal Secondary Database</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EDB on Kubernetes</w:t>
            </w:r>
          </w:p>
        </w:tc>
        <w:tc>
          <w:tcPr>
            <w:tcW w:type="dxa" w:w="4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In-region read replica — receives replication from primary</w:t>
            </w:r>
          </w:p>
        </w:tc>
      </w:tr>
      <w:tr>
        <w:trPr>
          <w:tblHeader w:val="false"/>
        </w:trPr>
        <w:tc>
          <w:tcPr>
            <w:tcW w:type="dxa" w:w="28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Read-Only pgBouncer</w:t>
            </w:r>
          </w:p>
        </w:tc>
        <w:tc>
          <w:tcPr>
            <w:tcW w:type="dxa" w:w="26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pgBouncer</w:t>
            </w:r>
          </w:p>
        </w:tc>
        <w:tc>
          <w:tcPr>
            <w:tcW w:type="dxa" w:w="40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Connection pooler for the read-only replica</w:t>
            </w:r>
          </w:p>
        </w:tc>
      </w:tr>
    </w:tbl>
    <w:p>
      <w:pPr>
        <w:spacing w:before="60" w:after="60"/>
      </w:pPr>
    </w:p>
    <w:p>
      <w:pPr>
        <w:pStyle w:val="Heading3"/>
        <w:spacing w:before="160" w:after="80"/>
      </w:pPr>
      <w:r>
        <w:rPr>
          <w:rFonts w:ascii="Arial" w:cs="Arial" w:eastAsia="Arial" w:hAnsi="Arial"/>
          <w:b/>
          <w:bCs/>
          <w:color w:val="2E75B6"/>
          <w:sz w:val="22"/>
          <w:szCs w:val="22"/>
        </w:rPr>
        <w:t xml:space="preserve">4.2  Azure South Central US — EDB Resource Group (Geo-Replica)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000"/>
      </w:tblGrid>
      <w:tr>
        <w:trPr>
          <w:tblHeader/>
        </w:trPr>
        <w:tc>
          <w:tcPr>
            <w:tcW w:type="dxa" w:w="28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Component</w:t>
            </w:r>
          </w:p>
        </w:tc>
        <w:tc>
          <w:tcPr>
            <w:tcW w:type="dxa" w:w="26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Technology</w:t>
            </w:r>
          </w:p>
        </w:tc>
        <w:tc>
          <w:tcPr>
            <w:tcW w:type="dxa" w:w="40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Purpose</w:t>
            </w:r>
          </w:p>
        </w:tc>
      </w:tr>
      <w:tr>
        <w:trPr>
          <w:tblHeader w:val="false"/>
        </w:trP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BigAnimal Secondary Database</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EDB on Kubernetes (South Central US)</w:t>
            </w:r>
          </w:p>
        </w:tc>
        <w:tc>
          <w:tcPr>
            <w:tcW w:type="dxa" w:w="4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Geo-replicated read-only replica from East US Primary — failover target</w:t>
            </w:r>
          </w:p>
        </w:tc>
      </w:tr>
      <w:tr>
        <w:trPr>
          <w:tblHeader w:val="false"/>
        </w:trPr>
        <w:tc>
          <w:tcPr>
            <w:tcW w:type="dxa" w:w="28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Read-Only pgBouncer</w:t>
            </w:r>
          </w:p>
        </w:tc>
        <w:tc>
          <w:tcPr>
            <w:tcW w:type="dxa" w:w="26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pgBouncer</w:t>
            </w:r>
          </w:p>
        </w:tc>
        <w:tc>
          <w:tcPr>
            <w:tcW w:type="dxa" w:w="40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Connection pooler for geo-replica database</w:t>
            </w:r>
          </w:p>
        </w:tc>
      </w:tr>
      <w:tr>
        <w:trPr>
          <w:tblHeader w:val="false"/>
        </w:trP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Replication Stream</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PostgreSQL streaming replication</w:t>
            </w:r>
          </w:p>
        </w:tc>
        <w:tc>
          <w:tcPr>
            <w:tcW w:type="dxa" w:w="4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Continuous replication from East US EDB Primary to South Central US Secondary</w:t>
            </w:r>
          </w:p>
        </w:tc>
      </w:tr>
    </w:tbl>
    <w:p>
      <w:pPr>
        <w:spacing w:before="80" w:after="80"/>
      </w:pPr>
    </w:p>
    <w:p>
      <w:pPr>
        <w:pStyle w:val="Heading1"/>
        <w:spacing w:before="320" w:after="120"/>
      </w:pPr>
      <w:r>
        <w:rPr>
          <w:rFonts w:ascii="Arial" w:cs="Arial" w:eastAsia="Arial" w:hAnsi="Arial"/>
          <w:b/>
          <w:bCs/>
          <w:color w:val="1F4E79"/>
          <w:sz w:val="28"/>
          <w:szCs w:val="28"/>
        </w:rPr>
        <w:t xml:space="preserve">5. Azure South Central US — AMN Resource Group (Secondary)</w:t>
      </w:r>
    </w:p>
    <w:p>
      <w:pPr>
        <w:spacing w:before="40" w:after="40"/>
      </w:pPr>
      <w:r>
        <w:rPr>
          <w:rFonts w:ascii="Arial" w:cs="Arial" w:eastAsia="Arial" w:hAnsi="Arial"/>
          <w:b w:val="false"/>
          <w:bCs w:val="false"/>
          <w:color w:val="1A1A1A"/>
          <w:sz w:val="20"/>
          <w:szCs w:val="20"/>
        </w:rPr>
        <w:t xml:space="preserve">The secondary Azure region mirrors the East US configuration. Container apps, storage accounts, caching, and a Key Vault are all replicated here to provide geographic redundancy. The South Central region operates the same container configurations as East US and shares the geo-replicated EDB database.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Component Type</w:t>
            </w:r>
          </w:p>
        </w:tc>
        <w:tc>
          <w:tcPr>
            <w:tcW w:type="dxa" w:w="636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Components Mirrored from East US</w:t>
            </w:r>
          </w:p>
        </w:tc>
      </w:tr>
      <w:tr>
        <w:trPr>
          <w:tblHeader w:val="false"/>
        </w:trP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Container Apps — Live</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sven-api, sven-ws, sven-presence, sven-worker, sven-celery-beat, sven-apc-worker, ai-worker</w:t>
            </w:r>
          </w:p>
        </w:tc>
      </w:tr>
      <w:tr>
        <w:trPr>
          <w:tblHeader w:val="false"/>
        </w:trPr>
        <w:tc>
          <w:tcPr>
            <w:tcW w:type="dxa" w:w="30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Container Apps — Admin</w:t>
            </w:r>
          </w:p>
        </w:tc>
        <w:tc>
          <w:tcPr>
            <w:tcW w:type="dxa" w:w="63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sven-admin, flower</w:t>
            </w:r>
          </w:p>
        </w:tc>
      </w:tr>
      <w:tr>
        <w:trPr>
          <w:tblHeader w:val="false"/>
        </w:trP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Container Apps — QM</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QM NGINX, QM API, QM WebSocket, QM Worker</w:t>
            </w:r>
          </w:p>
        </w:tc>
      </w:tr>
      <w:tr>
        <w:trPr>
          <w:tblHeader w:val="false"/>
        </w:trPr>
        <w:tc>
          <w:tcPr>
            <w:tcW w:type="dxa" w:w="30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Storage Accounts</w:t>
            </w:r>
          </w:p>
        </w:tc>
        <w:tc>
          <w:tcPr>
            <w:tcW w:type="dxa" w:w="63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Assets Storage Account, WFM Storage Account, QM Storage Account</w:t>
            </w:r>
          </w:p>
        </w:tc>
      </w:tr>
      <w:tr>
        <w:trPr>
          <w:tblHeader w:val="false"/>
        </w:trP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Key Vault</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Centralized secret storage for South Central US containers</w:t>
            </w:r>
          </w:p>
        </w:tc>
      </w:tr>
      <w:tr>
        <w:trPr>
          <w:tblHeader w:val="false"/>
        </w:trPr>
        <w:tc>
          <w:tcPr>
            <w:tcW w:type="dxa" w:w="30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Main Redis Cache</w:t>
            </w:r>
          </w:p>
        </w:tc>
        <w:tc>
          <w:tcPr>
            <w:tcW w:type="dxa" w:w="63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App cache and Celery broker replica</w:t>
            </w:r>
          </w:p>
        </w:tc>
      </w:tr>
      <w:tr>
        <w:trPr>
          <w:tblHeader w:val="false"/>
        </w:trPr>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WebSocket Redis Cache Replica</w:t>
            </w:r>
          </w:p>
        </w:tc>
        <w:tc>
          <w:tcPr>
            <w:tcW w:type="dxa" w:w="6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Geo-replicated from East US WebSocket Redis</w:t>
            </w:r>
          </w:p>
        </w:tc>
      </w:tr>
    </w:tbl>
    <w:p>
      <w:pPr>
        <w:spacing w:before="80" w:after="80"/>
      </w:pPr>
    </w:p>
    <w:p>
      <w:pPr>
        <w:pStyle w:val="Heading1"/>
        <w:spacing w:before="320" w:after="120"/>
      </w:pPr>
      <w:r>
        <w:rPr>
          <w:rFonts w:ascii="Arial" w:cs="Arial" w:eastAsia="Arial" w:hAnsi="Arial"/>
          <w:b/>
          <w:bCs/>
          <w:color w:val="1F4E79"/>
          <w:sz w:val="28"/>
          <w:szCs w:val="28"/>
        </w:rPr>
        <w:t xml:space="preserve">6. AWS us-east-1 — Legacy Services</w:t>
      </w:r>
    </w:p>
    <w:p>
      <w:pPr>
        <w:spacing w:before="40" w:after="40"/>
      </w:pPr>
      <w:r>
        <w:rPr>
          <w:rFonts w:ascii="Arial" w:cs="Arial" w:eastAsia="Arial" w:hAnsi="Arial"/>
          <w:b w:val="false"/>
          <w:bCs w:val="false"/>
          <w:color w:val="1A1A1A"/>
          <w:sz w:val="20"/>
          <w:szCs w:val="20"/>
        </w:rPr>
        <w:t xml:space="preserve">Legacy notification and telemetry infrastructure remains hosted in AWS. These services pre-date the Azure migration and are maintained for mobile push notification delivery and app log ingestion.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Service</w:t>
            </w:r>
          </w:p>
        </w:tc>
        <w:tc>
          <w:tcPr>
            <w:tcW w:type="dxa" w:w="28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AWS Technology</w:t>
            </w:r>
          </w:p>
        </w:tc>
        <w:tc>
          <w:tcPr>
            <w:tcW w:type="dxa" w:w="416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Purpose</w:t>
            </w:r>
          </w:p>
        </w:tc>
      </w:tr>
      <w:tr>
        <w:trPr>
          <w:tblHeader w:val="false"/>
        </w:trP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Mobile Notifications</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AWS SNS (Simple Notification Service)</w:t>
            </w:r>
          </w:p>
        </w:tc>
        <w:tc>
          <w:tcPr>
            <w:tcW w:type="dxa" w:w="4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Delivers push notifications to end users and interpreters on mobile devices</w:t>
            </w:r>
          </w:p>
        </w:tc>
      </w:tr>
      <w:tr>
        <w:trPr>
          <w:tblHeader w:val="false"/>
        </w:trPr>
        <w:tc>
          <w:tcPr>
            <w:tcW w:type="dxa" w:w="24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Notification Failure Handling</w:t>
            </w:r>
          </w:p>
        </w:tc>
        <w:tc>
          <w:tcPr>
            <w:tcW w:type="dxa" w:w="28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AWS SQS (Simple Queue Service)</w:t>
            </w:r>
          </w:p>
        </w:tc>
        <w:tc>
          <w:tcPr>
            <w:tcW w:type="dxa" w:w="41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Captures SNS delivery failures; polled by SVEN worker services to handle retry logic</w:t>
            </w:r>
          </w:p>
        </w:tc>
      </w:tr>
      <w:tr>
        <w:trPr>
          <w:tblHeader w:val="false"/>
        </w:trP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App Log Ingestion</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Remote Data Capture (Pre-signed URL)</w:t>
            </w:r>
          </w:p>
        </w:tc>
        <w:tc>
          <w:tcPr>
            <w:tcW w:type="dxa" w:w="4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Enables mobile apps to upload diagnostic logs directly to S3 via pre-signed URLs</w:t>
            </w:r>
          </w:p>
        </w:tc>
      </w:tr>
    </w:tbl>
    <w:p>
      <w:pPr>
        <w:spacing w:before="80" w:after="80"/>
      </w:pPr>
    </w:p>
    <w:p>
      <w:pPr>
        <w:pStyle w:val="Heading1"/>
        <w:spacing w:before="320" w:after="120"/>
      </w:pPr>
      <w:r>
        <w:rPr>
          <w:rFonts w:ascii="Arial" w:cs="Arial" w:eastAsia="Arial" w:hAnsi="Arial"/>
          <w:b/>
          <w:bCs/>
          <w:color w:val="1F4E79"/>
          <w:sz w:val="28"/>
          <w:szCs w:val="28"/>
        </w:rPr>
        <w:t xml:space="preserve">7. Component Connectivity &amp; Traffic Flows</w:t>
      </w:r>
    </w:p>
    <w:p>
      <w:pPr>
        <w:spacing w:before="40" w:after="40"/>
      </w:pPr>
      <w:r>
        <w:rPr>
          <w:rFonts w:ascii="Arial" w:cs="Arial" w:eastAsia="Arial" w:hAnsi="Arial"/>
          <w:b w:val="false"/>
          <w:bCs w:val="false"/>
          <w:color w:val="1A1A1A"/>
          <w:sz w:val="20"/>
          <w:szCs w:val="20"/>
        </w:rPr>
        <w:t xml:space="preserve">The following describes how all major components interact. Each flow is numbered and traces the full path from source to destination.</w:t>
      </w:r>
    </w:p>
    <w:p>
      <w:pPr>
        <w:spacing w:before="60" w:after="60"/>
      </w:pPr>
    </w:p>
    <w:p>
      <w:pPr>
        <w:pStyle w:val="Heading3"/>
        <w:spacing w:before="160" w:after="80"/>
      </w:pPr>
      <w:r>
        <w:rPr>
          <w:rFonts w:ascii="Arial" w:cs="Arial" w:eastAsia="Arial" w:hAnsi="Arial"/>
          <w:b/>
          <w:bCs/>
          <w:color w:val="2E75B6"/>
          <w:sz w:val="22"/>
          <w:szCs w:val="22"/>
        </w:rPr>
        <w:t xml:space="preserve">Flow 1 — End User WebRTC Video/Audio Call</w:t>
      </w:r>
    </w:p>
    <w:p>
      <w:pPr>
        <w:spacing w:before="40" w:after="40"/>
        <w:ind w:left="360"/>
      </w:pPr>
      <w:r>
        <w:rPr>
          <w:rFonts w:ascii="Courier New" w:cs="Courier New" w:eastAsia="Courier New" w:hAnsi="Courier New"/>
          <w:b/>
          <w:bCs/>
          <w:color w:val="2E75B6"/>
          <w:sz w:val="18"/>
          <w:szCs w:val="18"/>
        </w:rPr>
        <w:t xml:space="preserve">1.  </w:t>
      </w:r>
      <w:r>
        <w:rPr>
          <w:rFonts w:ascii="Arial" w:cs="Arial" w:eastAsia="Arial" w:hAnsi="Arial"/>
          <w:color w:val="1A1A1A"/>
          <w:sz w:val="19"/>
          <w:szCs w:val="19"/>
        </w:rPr>
        <w:t xml:space="preserve">End User browser opens sven.stratusvideo.com</w:t>
      </w:r>
    </w:p>
    <w:p>
      <w:pPr>
        <w:spacing w:before="40" w:after="40"/>
        <w:ind w:left="360"/>
      </w:pPr>
      <w:r>
        <w:rPr>
          <w:rFonts w:ascii="Courier New" w:cs="Courier New" w:eastAsia="Courier New" w:hAnsi="Courier New"/>
          <w:b/>
          <w:bCs/>
          <w:color w:val="2E75B6"/>
          <w:sz w:val="18"/>
          <w:szCs w:val="18"/>
        </w:rPr>
        <w:t xml:space="preserve">2.  </w:t>
      </w:r>
      <w:r>
        <w:rPr>
          <w:rFonts w:ascii="Arial" w:cs="Arial" w:eastAsia="Arial" w:hAnsi="Arial"/>
          <w:color w:val="1A1A1A"/>
          <w:sz w:val="19"/>
          <w:szCs w:val="19"/>
        </w:rPr>
        <w:t xml:space="preserve">NS1 Geo-DNS resolves to DA6 IP (default) or DC4 IP (specific states)</w:t>
      </w:r>
    </w:p>
    <w:p>
      <w:pPr>
        <w:spacing w:before="40" w:after="40"/>
        <w:ind w:left="360"/>
      </w:pPr>
      <w:r>
        <w:rPr>
          <w:rFonts w:ascii="Courier New" w:cs="Courier New" w:eastAsia="Courier New" w:hAnsi="Courier New"/>
          <w:b/>
          <w:bCs/>
          <w:color w:val="2E75B6"/>
          <w:sz w:val="18"/>
          <w:szCs w:val="18"/>
        </w:rPr>
        <w:t xml:space="preserve">3.  </w:t>
      </w:r>
      <w:r>
        <w:rPr>
          <w:rFonts w:ascii="Arial" w:cs="Arial" w:eastAsia="Arial" w:hAnsi="Arial"/>
          <w:color w:val="1A1A1A"/>
          <w:sz w:val="19"/>
          <w:szCs w:val="19"/>
        </w:rPr>
        <w:t xml:space="preserve">Traffic hits Palo Alto Firewall → NGINX Primary Proxy (Virtual IP)</w:t>
      </w:r>
    </w:p>
    <w:p>
      <w:pPr>
        <w:spacing w:before="40" w:after="40"/>
        <w:ind w:left="360"/>
      </w:pPr>
      <w:r>
        <w:rPr>
          <w:rFonts w:ascii="Courier New" w:cs="Courier New" w:eastAsia="Courier New" w:hAnsi="Courier New"/>
          <w:b/>
          <w:bCs/>
          <w:color w:val="2E75B6"/>
          <w:sz w:val="18"/>
          <w:szCs w:val="18"/>
        </w:rPr>
        <w:t xml:space="preserve">4.  </w:t>
      </w:r>
      <w:r>
        <w:rPr>
          <w:rFonts w:ascii="Arial" w:cs="Arial" w:eastAsia="Arial" w:hAnsi="Arial"/>
          <w:color w:val="1A1A1A"/>
          <w:sz w:val="19"/>
          <w:szCs w:val="19"/>
        </w:rPr>
        <w:t xml:space="preserve">ModSecurity WAF inspects request; passes HTTPS to CafeX FAS</w:t>
      </w:r>
    </w:p>
    <w:p>
      <w:pPr>
        <w:spacing w:before="40" w:after="40"/>
        <w:ind w:left="360"/>
      </w:pPr>
      <w:r>
        <w:rPr>
          <w:rFonts w:ascii="Courier New" w:cs="Courier New" w:eastAsia="Courier New" w:hAnsi="Courier New"/>
          <w:b/>
          <w:bCs/>
          <w:color w:val="2E75B6"/>
          <w:sz w:val="18"/>
          <w:szCs w:val="18"/>
        </w:rPr>
        <w:t xml:space="preserve">5.  </w:t>
      </w:r>
      <w:r>
        <w:rPr>
          <w:rFonts w:ascii="Arial" w:cs="Arial" w:eastAsia="Arial" w:hAnsi="Arial"/>
          <w:color w:val="1A1A1A"/>
          <w:sz w:val="19"/>
          <w:szCs w:val="19"/>
        </w:rPr>
        <w:t xml:space="preserve">NGINX FAS Proxy forwards call signaling to CafeX FAS</w:t>
      </w:r>
    </w:p>
    <w:p>
      <w:pPr>
        <w:spacing w:before="40" w:after="40"/>
        <w:ind w:left="360"/>
      </w:pPr>
      <w:r>
        <w:rPr>
          <w:rFonts w:ascii="Courier New" w:cs="Courier New" w:eastAsia="Courier New" w:hAnsi="Courier New"/>
          <w:b/>
          <w:bCs/>
          <w:color w:val="2E75B6"/>
          <w:sz w:val="18"/>
          <w:szCs w:val="18"/>
        </w:rPr>
        <w:t xml:space="preserve">6.  </w:t>
      </w:r>
      <w:r>
        <w:rPr>
          <w:rFonts w:ascii="Arial" w:cs="Arial" w:eastAsia="Arial" w:hAnsi="Arial"/>
          <w:color w:val="1A1A1A"/>
          <w:sz w:val="19"/>
          <w:szCs w:val="19"/>
        </w:rPr>
        <w:t xml:space="preserve">CafeX FAS → CafeX Media Brokers (Control/Call Assignment)</w:t>
      </w:r>
    </w:p>
    <w:p>
      <w:pPr>
        <w:spacing w:before="40" w:after="40"/>
        <w:ind w:left="360"/>
      </w:pPr>
      <w:r>
        <w:rPr>
          <w:rFonts w:ascii="Courier New" w:cs="Courier New" w:eastAsia="Courier New" w:hAnsi="Courier New"/>
          <w:b/>
          <w:bCs/>
          <w:color w:val="2E75B6"/>
          <w:sz w:val="18"/>
          <w:szCs w:val="18"/>
        </w:rPr>
        <w:t xml:space="preserve">7.  </w:t>
      </w:r>
      <w:r>
        <w:rPr>
          <w:rFonts w:ascii="Arial" w:cs="Arial" w:eastAsia="Arial" w:hAnsi="Arial"/>
          <w:color w:val="1A1A1A"/>
          <w:sz w:val="19"/>
          <w:szCs w:val="19"/>
        </w:rPr>
        <w:t xml:space="preserve">CafeX Media Brokers establish WebRTC session → FreeSwitch Servers (RTP Media)</w:t>
      </w:r>
    </w:p>
    <w:p>
      <w:pPr>
        <w:spacing w:before="40" w:after="40"/>
        <w:ind w:left="360"/>
      </w:pPr>
      <w:r>
        <w:rPr>
          <w:rFonts w:ascii="Courier New" w:cs="Courier New" w:eastAsia="Courier New" w:hAnsi="Courier New"/>
          <w:b/>
          <w:bCs/>
          <w:color w:val="2E75B6"/>
          <w:sz w:val="18"/>
          <w:szCs w:val="18"/>
        </w:rPr>
        <w:t xml:space="preserve">8.  </w:t>
      </w:r>
      <w:r>
        <w:rPr>
          <w:rFonts w:ascii="Arial" w:cs="Arial" w:eastAsia="Arial" w:hAnsi="Arial"/>
          <w:color w:val="1A1A1A"/>
          <w:sz w:val="19"/>
          <w:szCs w:val="19"/>
        </w:rPr>
        <w:t xml:space="preserve">Video &amp; Audio streams flow directly via WebRTC between user and FreeSwitch</w:t>
      </w:r>
    </w:p>
    <w:p>
      <w:pPr>
        <w:spacing w:before="60" w:after="60"/>
      </w:pPr>
    </w:p>
    <w:p>
      <w:pPr>
        <w:pStyle w:val="Heading3"/>
        <w:spacing w:before="160" w:after="80"/>
      </w:pPr>
      <w:r>
        <w:rPr>
          <w:rFonts w:ascii="Arial" w:cs="Arial" w:eastAsia="Arial" w:hAnsi="Arial"/>
          <w:b/>
          <w:bCs/>
          <w:color w:val="2E75B6"/>
          <w:sz w:val="22"/>
          <w:szCs w:val="22"/>
        </w:rPr>
        <w:t xml:space="preserve">Flow 2 — PSTN/SIP Inbound Call</w:t>
      </w:r>
    </w:p>
    <w:p>
      <w:pPr>
        <w:spacing w:before="40" w:after="40"/>
        <w:ind w:left="360"/>
      </w:pPr>
      <w:r>
        <w:rPr>
          <w:rFonts w:ascii="Courier New" w:cs="Courier New" w:eastAsia="Courier New" w:hAnsi="Courier New"/>
          <w:b/>
          <w:bCs/>
          <w:color w:val="2E75B6"/>
          <w:sz w:val="18"/>
          <w:szCs w:val="18"/>
        </w:rPr>
        <w:t xml:space="preserve">1.  </w:t>
      </w:r>
      <w:r>
        <w:rPr>
          <w:rFonts w:ascii="Arial" w:cs="Arial" w:eastAsia="Arial" w:hAnsi="Arial"/>
          <w:color w:val="1A1A1A"/>
          <w:sz w:val="19"/>
          <w:szCs w:val="19"/>
        </w:rPr>
        <w:t xml:space="preserve">PSTN carrier (VoIP.ms or Sinch/Avientech) sends SIP INVITE via inbound SIP trunk</w:t>
      </w:r>
    </w:p>
    <w:p>
      <w:pPr>
        <w:spacing w:before="40" w:after="40"/>
        <w:ind w:left="360"/>
      </w:pPr>
      <w:r>
        <w:rPr>
          <w:rFonts w:ascii="Courier New" w:cs="Courier New" w:eastAsia="Courier New" w:hAnsi="Courier New"/>
          <w:b/>
          <w:bCs/>
          <w:color w:val="2E75B6"/>
          <w:sz w:val="18"/>
          <w:szCs w:val="18"/>
        </w:rPr>
        <w:t xml:space="preserve">2.  </w:t>
      </w:r>
      <w:r>
        <w:rPr>
          <w:rFonts w:ascii="Arial" w:cs="Arial" w:eastAsia="Arial" w:hAnsi="Arial"/>
          <w:color w:val="1A1A1A"/>
          <w:sz w:val="19"/>
          <w:szCs w:val="19"/>
        </w:rPr>
        <w:t xml:space="preserve">Adtran SBC receives call → applies SIPS/SRTP security → forwards to OpenSIPS</w:t>
      </w:r>
    </w:p>
    <w:p>
      <w:pPr>
        <w:spacing w:before="40" w:after="40"/>
        <w:ind w:left="360"/>
      </w:pPr>
      <w:r>
        <w:rPr>
          <w:rFonts w:ascii="Courier New" w:cs="Courier New" w:eastAsia="Courier New" w:hAnsi="Courier New"/>
          <w:b/>
          <w:bCs/>
          <w:color w:val="2E75B6"/>
          <w:sz w:val="18"/>
          <w:szCs w:val="18"/>
        </w:rPr>
        <w:t xml:space="preserve">3.  </w:t>
      </w:r>
      <w:r>
        <w:rPr>
          <w:rFonts w:ascii="Arial" w:cs="Arial" w:eastAsia="Arial" w:hAnsi="Arial"/>
          <w:color w:val="1A1A1A"/>
          <w:sz w:val="19"/>
          <w:szCs w:val="19"/>
        </w:rPr>
        <w:t xml:space="preserve">OpenSIPS SIP proxy routes call to appropriate FreeSwitch server</w:t>
      </w:r>
    </w:p>
    <w:p>
      <w:pPr>
        <w:spacing w:before="40" w:after="40"/>
        <w:ind w:left="360"/>
      </w:pPr>
      <w:r>
        <w:rPr>
          <w:rFonts w:ascii="Courier New" w:cs="Courier New" w:eastAsia="Courier New" w:hAnsi="Courier New"/>
          <w:b/>
          <w:bCs/>
          <w:color w:val="2E75B6"/>
          <w:sz w:val="18"/>
          <w:szCs w:val="18"/>
        </w:rPr>
        <w:t xml:space="preserve">4.  </w:t>
      </w:r>
      <w:r>
        <w:rPr>
          <w:rFonts w:ascii="Arial" w:cs="Arial" w:eastAsia="Arial" w:hAnsi="Arial"/>
          <w:color w:val="1A1A1A"/>
          <w:sz w:val="19"/>
          <w:szCs w:val="19"/>
        </w:rPr>
        <w:t xml:space="preserve">FreeSwitch processes call, establishes RTP media, triggers interpreter assignment via SVEN API</w:t>
      </w:r>
    </w:p>
    <w:p>
      <w:pPr>
        <w:spacing w:before="60" w:after="60"/>
      </w:pPr>
    </w:p>
    <w:p>
      <w:pPr>
        <w:pStyle w:val="Heading3"/>
        <w:spacing w:before="160" w:after="80"/>
      </w:pPr>
      <w:r>
        <w:rPr>
          <w:rFonts w:ascii="Arial" w:cs="Arial" w:eastAsia="Arial" w:hAnsi="Arial"/>
          <w:b/>
          <w:bCs/>
          <w:color w:val="2E75B6"/>
          <w:sz w:val="22"/>
          <w:szCs w:val="22"/>
        </w:rPr>
        <w:t xml:space="preserve">Flow 3 — PSTN/SIP Outbound Call</w:t>
      </w:r>
    </w:p>
    <w:p>
      <w:pPr>
        <w:spacing w:before="40" w:after="40"/>
        <w:ind w:left="360"/>
      </w:pPr>
      <w:r>
        <w:rPr>
          <w:rFonts w:ascii="Courier New" w:cs="Courier New" w:eastAsia="Courier New" w:hAnsi="Courier New"/>
          <w:b/>
          <w:bCs/>
          <w:color w:val="2E75B6"/>
          <w:sz w:val="18"/>
          <w:szCs w:val="18"/>
        </w:rPr>
        <w:t xml:space="preserve">1.  </w:t>
      </w:r>
      <w:r>
        <w:rPr>
          <w:rFonts w:ascii="Arial" w:cs="Arial" w:eastAsia="Arial" w:hAnsi="Arial"/>
          <w:color w:val="1A1A1A"/>
          <w:sz w:val="19"/>
          <w:szCs w:val="19"/>
        </w:rPr>
        <w:t xml:space="preserve">FreeSwitch originates outbound call via ESL</w:t>
      </w:r>
    </w:p>
    <w:p>
      <w:pPr>
        <w:spacing w:before="40" w:after="40"/>
        <w:ind w:left="360"/>
      </w:pPr>
      <w:r>
        <w:rPr>
          <w:rFonts w:ascii="Courier New" w:cs="Courier New" w:eastAsia="Courier New" w:hAnsi="Courier New"/>
          <w:b/>
          <w:bCs/>
          <w:color w:val="2E75B6"/>
          <w:sz w:val="18"/>
          <w:szCs w:val="18"/>
        </w:rPr>
        <w:t xml:space="preserve">2.  </w:t>
      </w:r>
      <w:r>
        <w:rPr>
          <w:rFonts w:ascii="Arial" w:cs="Arial" w:eastAsia="Arial" w:hAnsi="Arial"/>
          <w:color w:val="1A1A1A"/>
          <w:sz w:val="19"/>
          <w:szCs w:val="19"/>
        </w:rPr>
        <w:t xml:space="preserve">FreeSwitch → OpenSIPS → Adtran SBC</w:t>
      </w:r>
    </w:p>
    <w:p>
      <w:pPr>
        <w:spacing w:before="40" w:after="40"/>
        <w:ind w:left="360"/>
      </w:pPr>
      <w:r>
        <w:rPr>
          <w:rFonts w:ascii="Courier New" w:cs="Courier New" w:eastAsia="Courier New" w:hAnsi="Courier New"/>
          <w:b/>
          <w:bCs/>
          <w:color w:val="2E75B6"/>
          <w:sz w:val="18"/>
          <w:szCs w:val="18"/>
        </w:rPr>
        <w:t xml:space="preserve">3.  </w:t>
      </w:r>
      <w:r>
        <w:rPr>
          <w:rFonts w:ascii="Arial" w:cs="Arial" w:eastAsia="Arial" w:hAnsi="Arial"/>
          <w:color w:val="1A1A1A"/>
          <w:sz w:val="19"/>
          <w:szCs w:val="19"/>
        </w:rPr>
        <w:t xml:space="preserve">Adtran SBC routes call to PSTN via outbound SIP trunk</w:t>
      </w:r>
    </w:p>
    <w:p>
      <w:pPr>
        <w:spacing w:before="60" w:after="60"/>
      </w:pPr>
    </w:p>
    <w:p>
      <w:pPr>
        <w:pStyle w:val="Heading3"/>
        <w:spacing w:before="160" w:after="80"/>
      </w:pPr>
      <w:r>
        <w:rPr>
          <w:rFonts w:ascii="Arial" w:cs="Arial" w:eastAsia="Arial" w:hAnsi="Arial"/>
          <w:b/>
          <w:bCs/>
          <w:color w:val="2E75B6"/>
          <w:sz w:val="22"/>
          <w:szCs w:val="22"/>
        </w:rPr>
        <w:t xml:space="preserve">Flow 4 — API Traffic (Interpreter or FreeSwitch → Azure)</w:t>
      </w:r>
    </w:p>
    <w:p>
      <w:pPr>
        <w:spacing w:before="40" w:after="40"/>
        <w:ind w:left="360"/>
      </w:pPr>
      <w:r>
        <w:rPr>
          <w:rFonts w:ascii="Courier New" w:cs="Courier New" w:eastAsia="Courier New" w:hAnsi="Courier New"/>
          <w:b/>
          <w:bCs/>
          <w:color w:val="2E75B6"/>
          <w:sz w:val="18"/>
          <w:szCs w:val="18"/>
        </w:rPr>
        <w:t xml:space="preserve">1.  </w:t>
      </w:r>
      <w:r>
        <w:rPr>
          <w:rFonts w:ascii="Arial" w:cs="Arial" w:eastAsia="Arial" w:hAnsi="Arial"/>
          <w:color w:val="1A1A1A"/>
          <w:sz w:val="19"/>
          <w:szCs w:val="19"/>
        </w:rPr>
        <w:t xml:space="preserve">Interpreter client sends HTTPS PATCH/POST to dc4/da6-active endpoint</w:t>
      </w:r>
    </w:p>
    <w:p>
      <w:pPr>
        <w:spacing w:before="40" w:after="40"/>
        <w:ind w:left="360"/>
      </w:pPr>
      <w:r>
        <w:rPr>
          <w:rFonts w:ascii="Courier New" w:cs="Courier New" w:eastAsia="Courier New" w:hAnsi="Courier New"/>
          <w:b/>
          <w:bCs/>
          <w:color w:val="2E75B6"/>
          <w:sz w:val="18"/>
          <w:szCs w:val="18"/>
        </w:rPr>
        <w:t xml:space="preserve">2.  </w:t>
      </w:r>
      <w:r>
        <w:rPr>
          <w:rFonts w:ascii="Arial" w:cs="Arial" w:eastAsia="Arial" w:hAnsi="Arial"/>
          <w:color w:val="1A1A1A"/>
          <w:sz w:val="19"/>
          <w:szCs w:val="19"/>
        </w:rPr>
        <w:t xml:space="preserve">FreeSwitch sends HTTPS POST to /freeswitch_api/* endpoint</w:t>
      </w:r>
    </w:p>
    <w:p>
      <w:pPr>
        <w:spacing w:before="40" w:after="40"/>
        <w:ind w:left="360"/>
      </w:pPr>
      <w:r>
        <w:rPr>
          <w:rFonts w:ascii="Courier New" w:cs="Courier New" w:eastAsia="Courier New" w:hAnsi="Courier New"/>
          <w:b/>
          <w:bCs/>
          <w:color w:val="2E75B6"/>
          <w:sz w:val="18"/>
          <w:szCs w:val="18"/>
        </w:rPr>
        <w:t xml:space="preserve">3.  </w:t>
      </w:r>
      <w:r>
        <w:rPr>
          <w:rFonts w:ascii="Arial" w:cs="Arial" w:eastAsia="Arial" w:hAnsi="Arial"/>
          <w:color w:val="1A1A1A"/>
          <w:sz w:val="19"/>
          <w:szCs w:val="19"/>
        </w:rPr>
        <w:t xml:space="preserve">ALL traffic routes through NGINX Primary Proxy (ModSecurity WAF in full blocking mode)</w:t>
      </w:r>
    </w:p>
    <w:p>
      <w:pPr>
        <w:spacing w:before="40" w:after="40"/>
        <w:ind w:left="360"/>
      </w:pPr>
      <w:r>
        <w:rPr>
          <w:rFonts w:ascii="Courier New" w:cs="Courier New" w:eastAsia="Courier New" w:hAnsi="Courier New"/>
          <w:b/>
          <w:bCs/>
          <w:color w:val="2E75B6"/>
          <w:sz w:val="18"/>
          <w:szCs w:val="18"/>
        </w:rPr>
        <w:t xml:space="preserve">4.  </w:t>
      </w:r>
      <w:r>
        <w:rPr>
          <w:rFonts w:ascii="Arial" w:cs="Arial" w:eastAsia="Arial" w:hAnsi="Arial"/>
          <w:color w:val="1A1A1A"/>
          <w:sz w:val="19"/>
          <w:szCs w:val="19"/>
        </w:rPr>
        <w:t xml:space="preserve">Requests pass WAF inspection → forwarded via Express Route Circuit to Azure East US</w:t>
      </w:r>
    </w:p>
    <w:p>
      <w:pPr>
        <w:spacing w:before="40" w:after="40"/>
        <w:ind w:left="360"/>
      </w:pPr>
      <w:r>
        <w:rPr>
          <w:rFonts w:ascii="Courier New" w:cs="Courier New" w:eastAsia="Courier New" w:hAnsi="Courier New"/>
          <w:b/>
          <w:bCs/>
          <w:color w:val="2E75B6"/>
          <w:sz w:val="18"/>
          <w:szCs w:val="18"/>
        </w:rPr>
        <w:t xml:space="preserve">5.  </w:t>
      </w:r>
      <w:r>
        <w:rPr>
          <w:rFonts w:ascii="Arial" w:cs="Arial" w:eastAsia="Arial" w:hAnsi="Arial"/>
          <w:color w:val="1A1A1A"/>
          <w:sz w:val="19"/>
          <w:szCs w:val="19"/>
        </w:rPr>
        <w:t xml:space="preserve">Azure Container Apps (sven-api) receives and processes the API request</w:t>
      </w:r>
    </w:p>
    <w:p>
      <w:pPr>
        <w:spacing w:before="40" w:after="40"/>
      </w:pPr>
    </w:p>
    <w:p>
      <w:pPr>
        <w:pBdr>
          <w:left w:val="single" w:color="C55A11" w:sz="12" w:space="8"/>
        </w:pBdr>
        <w:spacing w:before="80" w:after="80"/>
        <w:ind w:left="360"/>
      </w:pPr>
      <w:r>
        <w:rPr>
          <w:rFonts w:ascii="Arial" w:cs="Arial" w:eastAsia="Arial" w:hAnsi="Arial"/>
          <w:b/>
          <w:bCs/>
          <w:color w:val="C55A11"/>
          <w:sz w:val="20"/>
          <w:szCs w:val="20"/>
        </w:rPr>
        <w:t xml:space="preserve">IMPORTANT: </w:t>
      </w:r>
      <w:r>
        <w:rPr>
          <w:rFonts w:ascii="Arial" w:cs="Arial" w:eastAsia="Arial" w:hAnsi="Arial"/>
          <w:i/>
          <w:iCs/>
          <w:color w:val="1A1A1A"/>
          <w:sz w:val="20"/>
          <w:szCs w:val="20"/>
        </w:rPr>
        <w:t xml:space="preserve">IMPORTANT: Post-Azure migration, internal FreeSwitch server-to-server API calls now route through the ModSecurity WAF. Previously, internal calls used a dedicated FAS Proxy with no WAF. This architectural change was the source of WAF false-positive blocking incidents.</w:t>
      </w:r>
    </w:p>
    <w:p>
      <w:pPr>
        <w:spacing w:before="60" w:after="60"/>
      </w:pPr>
    </w:p>
    <w:p>
      <w:pPr>
        <w:pStyle w:val="Heading3"/>
        <w:spacing w:before="160" w:after="80"/>
      </w:pPr>
      <w:r>
        <w:rPr>
          <w:rFonts w:ascii="Arial" w:cs="Arial" w:eastAsia="Arial" w:hAnsi="Arial"/>
          <w:b/>
          <w:bCs/>
          <w:color w:val="2E75B6"/>
          <w:sz w:val="22"/>
          <w:szCs w:val="22"/>
        </w:rPr>
        <w:t xml:space="preserve">Flow 5 — Asset Requests (On-Prem → Azure Storage)</w:t>
      </w:r>
    </w:p>
    <w:p>
      <w:pPr>
        <w:spacing w:before="40" w:after="40"/>
        <w:ind w:left="360"/>
      </w:pPr>
      <w:r>
        <w:rPr>
          <w:rFonts w:ascii="Courier New" w:cs="Courier New" w:eastAsia="Courier New" w:hAnsi="Courier New"/>
          <w:b/>
          <w:bCs/>
          <w:color w:val="2E75B6"/>
          <w:sz w:val="18"/>
          <w:szCs w:val="18"/>
        </w:rPr>
        <w:t xml:space="preserve">1.  </w:t>
      </w:r>
      <w:r>
        <w:rPr>
          <w:rFonts w:ascii="Arial" w:cs="Arial" w:eastAsia="Arial" w:hAnsi="Arial"/>
          <w:color w:val="1A1A1A"/>
          <w:sz w:val="19"/>
          <w:szCs w:val="19"/>
        </w:rPr>
        <w:t xml:space="preserve">On-prem servers (NGINX Secondary Proxy) request SVEN API assets</w:t>
      </w:r>
    </w:p>
    <w:p>
      <w:pPr>
        <w:spacing w:before="40" w:after="40"/>
        <w:ind w:left="360"/>
      </w:pPr>
      <w:r>
        <w:rPr>
          <w:rFonts w:ascii="Courier New" w:cs="Courier New" w:eastAsia="Courier New" w:hAnsi="Courier New"/>
          <w:b/>
          <w:bCs/>
          <w:color w:val="2E75B6"/>
          <w:sz w:val="18"/>
          <w:szCs w:val="18"/>
        </w:rPr>
        <w:t xml:space="preserve">2.  </w:t>
      </w:r>
      <w:r>
        <w:rPr>
          <w:rFonts w:ascii="Arial" w:cs="Arial" w:eastAsia="Arial" w:hAnsi="Arial"/>
          <w:color w:val="1A1A1A"/>
          <w:sz w:val="19"/>
          <w:szCs w:val="19"/>
        </w:rPr>
        <w:t xml:space="preserve">NGINX Secondary Proxy forwards asset requests directly to Azure Storage Account</w:t>
      </w:r>
    </w:p>
    <w:p>
      <w:pPr>
        <w:spacing w:before="40" w:after="40"/>
        <w:ind w:left="360"/>
      </w:pPr>
      <w:r>
        <w:rPr>
          <w:rFonts w:ascii="Courier New" w:cs="Courier New" w:eastAsia="Courier New" w:hAnsi="Courier New"/>
          <w:b/>
          <w:bCs/>
          <w:color w:val="2E75B6"/>
          <w:sz w:val="18"/>
          <w:szCs w:val="18"/>
        </w:rPr>
        <w:t xml:space="preserve">3.  </w:t>
      </w:r>
      <w:r>
        <w:rPr>
          <w:rFonts w:ascii="Arial" w:cs="Arial" w:eastAsia="Arial" w:hAnsi="Arial"/>
          <w:color w:val="1A1A1A"/>
          <w:sz w:val="19"/>
          <w:szCs w:val="19"/>
        </w:rPr>
        <w:t xml:space="preserve">Azure Storage returns media-blobs or static-blobs content</w:t>
      </w:r>
    </w:p>
    <w:p>
      <w:pPr>
        <w:spacing w:before="60" w:after="60"/>
      </w:pPr>
    </w:p>
    <w:p>
      <w:pPr>
        <w:pStyle w:val="Heading3"/>
        <w:spacing w:before="160" w:after="80"/>
      </w:pPr>
      <w:r>
        <w:rPr>
          <w:rFonts w:ascii="Arial" w:cs="Arial" w:eastAsia="Arial" w:hAnsi="Arial"/>
          <w:b/>
          <w:bCs/>
          <w:color w:val="2E75B6"/>
          <w:sz w:val="22"/>
          <w:szCs w:val="22"/>
        </w:rPr>
        <w:t xml:space="preserve">Flow 6 — Application Database Access (Azure Container Apps → EDB)</w:t>
      </w:r>
    </w:p>
    <w:p>
      <w:pPr>
        <w:spacing w:before="40" w:after="40"/>
        <w:ind w:left="360"/>
      </w:pPr>
      <w:r>
        <w:rPr>
          <w:rFonts w:ascii="Courier New" w:cs="Courier New" w:eastAsia="Courier New" w:hAnsi="Courier New"/>
          <w:b/>
          <w:bCs/>
          <w:color w:val="2E75B6"/>
          <w:sz w:val="18"/>
          <w:szCs w:val="18"/>
        </w:rPr>
        <w:t xml:space="preserve">1.  </w:t>
      </w:r>
      <w:r>
        <w:rPr>
          <w:rFonts w:ascii="Arial" w:cs="Arial" w:eastAsia="Arial" w:hAnsi="Arial"/>
          <w:color w:val="1A1A1A"/>
          <w:sz w:val="19"/>
          <w:szCs w:val="19"/>
        </w:rPr>
        <w:t xml:space="preserve">sven-api, sven-worker containers write to: BigAnimal Read/Write Private Link → pgBouncer → BigAnimal Primary Database (East US)</w:t>
      </w:r>
    </w:p>
    <w:p>
      <w:pPr>
        <w:spacing w:before="40" w:after="40"/>
        <w:ind w:left="360"/>
      </w:pPr>
      <w:r>
        <w:rPr>
          <w:rFonts w:ascii="Courier New" w:cs="Courier New" w:eastAsia="Courier New" w:hAnsi="Courier New"/>
          <w:b/>
          <w:bCs/>
          <w:color w:val="2E75B6"/>
          <w:sz w:val="18"/>
          <w:szCs w:val="18"/>
        </w:rPr>
        <w:t xml:space="preserve">2.  </w:t>
      </w:r>
      <w:r>
        <w:rPr>
          <w:rFonts w:ascii="Arial" w:cs="Arial" w:eastAsia="Arial" w:hAnsi="Arial"/>
          <w:color w:val="1A1A1A"/>
          <w:sz w:val="19"/>
          <w:szCs w:val="19"/>
        </w:rPr>
        <w:t xml:space="preserve">Read queries route to: BigAnimal Read-Only Private Endpoint → Read-Only pgBouncer → BigAnimal Secondary Database</w:t>
      </w:r>
    </w:p>
    <w:p>
      <w:pPr>
        <w:spacing w:before="40" w:after="40"/>
        <w:ind w:left="360"/>
      </w:pPr>
      <w:r>
        <w:rPr>
          <w:rFonts w:ascii="Courier New" w:cs="Courier New" w:eastAsia="Courier New" w:hAnsi="Courier New"/>
          <w:b/>
          <w:bCs/>
          <w:color w:val="2E75B6"/>
          <w:sz w:val="18"/>
          <w:szCs w:val="18"/>
        </w:rPr>
        <w:t xml:space="preserve">3.  </w:t>
      </w:r>
      <w:r>
        <w:rPr>
          <w:rFonts w:ascii="Arial" w:cs="Arial" w:eastAsia="Arial" w:hAnsi="Arial"/>
          <w:color w:val="1A1A1A"/>
          <w:sz w:val="19"/>
          <w:szCs w:val="19"/>
        </w:rPr>
        <w:t xml:space="preserve">sven-api, sven-worker also read/write: Main Redis Cache (app cache, Celery task broker, distributed locks, presence state)</w:t>
      </w:r>
    </w:p>
    <w:p>
      <w:pPr>
        <w:spacing w:before="40" w:after="40"/>
        <w:ind w:left="360"/>
      </w:pPr>
      <w:r>
        <w:rPr>
          <w:rFonts w:ascii="Courier New" w:cs="Courier New" w:eastAsia="Courier New" w:hAnsi="Courier New"/>
          <w:b/>
          <w:bCs/>
          <w:color w:val="2E75B6"/>
          <w:sz w:val="18"/>
          <w:szCs w:val="18"/>
        </w:rPr>
        <w:t xml:space="preserve">4.  </w:t>
      </w:r>
      <w:r>
        <w:rPr>
          <w:rFonts w:ascii="Arial" w:cs="Arial" w:eastAsia="Arial" w:hAnsi="Arial"/>
          <w:color w:val="1A1A1A"/>
          <w:sz w:val="19"/>
          <w:szCs w:val="19"/>
        </w:rPr>
        <w:t xml:space="preserve">sven-ws containers connect to: WebSocket Redis Cache (Django Channels pub/sub, WS group management)</w:t>
      </w:r>
    </w:p>
    <w:p>
      <w:pPr>
        <w:spacing w:before="60" w:after="60"/>
      </w:pPr>
    </w:p>
    <w:p>
      <w:pPr>
        <w:pStyle w:val="Heading3"/>
        <w:spacing w:before="160" w:after="80"/>
      </w:pPr>
      <w:r>
        <w:rPr>
          <w:rFonts w:ascii="Arial" w:cs="Arial" w:eastAsia="Arial" w:hAnsi="Arial"/>
          <w:b/>
          <w:bCs/>
          <w:color w:val="2E75B6"/>
          <w:sz w:val="22"/>
          <w:szCs w:val="22"/>
        </w:rPr>
        <w:t xml:space="preserve">Flow 7 — QM and Admin User Access</w:t>
      </w:r>
    </w:p>
    <w:p>
      <w:pPr>
        <w:spacing w:before="40" w:after="40"/>
        <w:ind w:left="360"/>
      </w:pPr>
      <w:r>
        <w:rPr>
          <w:rFonts w:ascii="Courier New" w:cs="Courier New" w:eastAsia="Courier New" w:hAnsi="Courier New"/>
          <w:b/>
          <w:bCs/>
          <w:color w:val="2E75B6"/>
          <w:sz w:val="18"/>
          <w:szCs w:val="18"/>
        </w:rPr>
        <w:t xml:space="preserve">1.  </w:t>
      </w:r>
      <w:r>
        <w:rPr>
          <w:rFonts w:ascii="Arial" w:cs="Arial" w:eastAsia="Arial" w:hAnsi="Arial"/>
          <w:color w:val="1A1A1A"/>
          <w:sz w:val="19"/>
          <w:szCs w:val="19"/>
        </w:rPr>
        <w:t xml:space="preserve">QM User authenticates via GlobalProtect VPN → Palo Alto Firewall</w:t>
      </w:r>
    </w:p>
    <w:p>
      <w:pPr>
        <w:spacing w:before="40" w:after="40"/>
        <w:ind w:left="360"/>
      </w:pPr>
      <w:r>
        <w:rPr>
          <w:rFonts w:ascii="Courier New" w:cs="Courier New" w:eastAsia="Courier New" w:hAnsi="Courier New"/>
          <w:b/>
          <w:bCs/>
          <w:color w:val="2E75B6"/>
          <w:sz w:val="18"/>
          <w:szCs w:val="18"/>
        </w:rPr>
        <w:t xml:space="preserve">2.  </w:t>
      </w:r>
      <w:r>
        <w:rPr>
          <w:rFonts w:ascii="Arial" w:cs="Arial" w:eastAsia="Arial" w:hAnsi="Arial"/>
          <w:color w:val="1A1A1A"/>
          <w:sz w:val="19"/>
          <w:szCs w:val="19"/>
        </w:rPr>
        <w:t xml:space="preserve">VPN traffic routes through on-prem → Express Route → Azure QM Container Apps Environment</w:t>
      </w:r>
    </w:p>
    <w:p>
      <w:pPr>
        <w:spacing w:before="40" w:after="40"/>
        <w:ind w:left="360"/>
      </w:pPr>
      <w:r>
        <w:rPr>
          <w:rFonts w:ascii="Courier New" w:cs="Courier New" w:eastAsia="Courier New" w:hAnsi="Courier New"/>
          <w:b/>
          <w:bCs/>
          <w:color w:val="2E75B6"/>
          <w:sz w:val="18"/>
          <w:szCs w:val="18"/>
        </w:rPr>
        <w:t xml:space="preserve">3.  </w:t>
      </w:r>
      <w:r>
        <w:rPr>
          <w:rFonts w:ascii="Arial" w:cs="Arial" w:eastAsia="Arial" w:hAnsi="Arial"/>
          <w:color w:val="1A1A1A"/>
          <w:sz w:val="19"/>
          <w:szCs w:val="19"/>
        </w:rPr>
        <w:t xml:space="preserve">Django Admin User follows same VPN path → Azure Admin Container Apps Environment</w:t>
      </w:r>
    </w:p>
    <w:p>
      <w:pPr>
        <w:spacing w:before="40" w:after="40"/>
        <w:ind w:left="360"/>
      </w:pPr>
      <w:r>
        <w:rPr>
          <w:rFonts w:ascii="Courier New" w:cs="Courier New" w:eastAsia="Courier New" w:hAnsi="Courier New"/>
          <w:b/>
          <w:bCs/>
          <w:color w:val="2E75B6"/>
          <w:sz w:val="18"/>
          <w:szCs w:val="18"/>
        </w:rPr>
        <w:t xml:space="preserve">4.  </w:t>
      </w:r>
      <w:r>
        <w:rPr>
          <w:rFonts w:ascii="Arial" w:cs="Arial" w:eastAsia="Arial" w:hAnsi="Arial"/>
          <w:color w:val="1A1A1A"/>
          <w:sz w:val="19"/>
          <w:szCs w:val="19"/>
        </w:rPr>
        <w:t xml:space="preserve">QM UI retrieves interpreter screenshots via pre-signed URL from QM Recordings Storage Container</w:t>
      </w:r>
    </w:p>
    <w:p>
      <w:pPr>
        <w:spacing w:before="60" w:after="60"/>
      </w:pPr>
    </w:p>
    <w:p>
      <w:pPr>
        <w:pStyle w:val="Heading3"/>
        <w:spacing w:before="160" w:after="80"/>
      </w:pPr>
      <w:r>
        <w:rPr>
          <w:rFonts w:ascii="Arial" w:cs="Arial" w:eastAsia="Arial" w:hAnsi="Arial"/>
          <w:b/>
          <w:bCs/>
          <w:color w:val="2E75B6"/>
          <w:sz w:val="22"/>
          <w:szCs w:val="22"/>
        </w:rPr>
        <w:t xml:space="preserve">Flow 8 — Interpreter Screenshots (QM)</w:t>
      </w:r>
    </w:p>
    <w:p>
      <w:pPr>
        <w:spacing w:before="40" w:after="40"/>
        <w:ind w:left="360"/>
      </w:pPr>
      <w:r>
        <w:rPr>
          <w:rFonts w:ascii="Courier New" w:cs="Courier New" w:eastAsia="Courier New" w:hAnsi="Courier New"/>
          <w:b/>
          <w:bCs/>
          <w:color w:val="2E75B6"/>
          <w:sz w:val="18"/>
          <w:szCs w:val="18"/>
        </w:rPr>
        <w:t xml:space="preserve">1.  </w:t>
      </w:r>
      <w:r>
        <w:rPr>
          <w:rFonts w:ascii="Arial" w:cs="Arial" w:eastAsia="Arial" w:hAnsi="Arial"/>
          <w:color w:val="1A1A1A"/>
          <w:sz w:val="19"/>
          <w:szCs w:val="19"/>
        </w:rPr>
        <w:t xml:space="preserve">Interpreter mobile/web client receives pre-signed PUT URL from SVEN API</w:t>
      </w:r>
    </w:p>
    <w:p>
      <w:pPr>
        <w:spacing w:before="40" w:after="40"/>
        <w:ind w:left="360"/>
      </w:pPr>
      <w:r>
        <w:rPr>
          <w:rFonts w:ascii="Courier New" w:cs="Courier New" w:eastAsia="Courier New" w:hAnsi="Courier New"/>
          <w:b/>
          <w:bCs/>
          <w:color w:val="2E75B6"/>
          <w:sz w:val="18"/>
          <w:szCs w:val="18"/>
        </w:rPr>
        <w:t xml:space="preserve">2.  </w:t>
      </w:r>
      <w:r>
        <w:rPr>
          <w:rFonts w:ascii="Arial" w:cs="Arial" w:eastAsia="Arial" w:hAnsi="Arial"/>
          <w:color w:val="1A1A1A"/>
          <w:sz w:val="19"/>
          <w:szCs w:val="19"/>
        </w:rPr>
        <w:t xml:space="preserve">Client uploads screenshot directly to QM Recordings Storage Container (Azure)</w:t>
      </w:r>
    </w:p>
    <w:p>
      <w:pPr>
        <w:spacing w:before="40" w:after="40"/>
        <w:ind w:left="360"/>
      </w:pPr>
      <w:r>
        <w:rPr>
          <w:rFonts w:ascii="Courier New" w:cs="Courier New" w:eastAsia="Courier New" w:hAnsi="Courier New"/>
          <w:b/>
          <w:bCs/>
          <w:color w:val="2E75B6"/>
          <w:sz w:val="18"/>
          <w:szCs w:val="18"/>
        </w:rPr>
        <w:t xml:space="preserve">3.  </w:t>
      </w:r>
      <w:r>
        <w:rPr>
          <w:rFonts w:ascii="Arial" w:cs="Arial" w:eastAsia="Arial" w:hAnsi="Arial"/>
          <w:color w:val="1A1A1A"/>
          <w:sz w:val="19"/>
          <w:szCs w:val="19"/>
        </w:rPr>
        <w:t xml:space="preserve">QM reviewer retrieves screenshot using pre-signed GET URL</w:t>
      </w:r>
    </w:p>
    <w:p>
      <w:pPr>
        <w:spacing w:before="60" w:after="60"/>
      </w:pPr>
    </w:p>
    <w:p>
      <w:pPr>
        <w:pStyle w:val="Heading3"/>
        <w:spacing w:before="160" w:after="80"/>
      </w:pPr>
      <w:r>
        <w:rPr>
          <w:rFonts w:ascii="Arial" w:cs="Arial" w:eastAsia="Arial" w:hAnsi="Arial"/>
          <w:b/>
          <w:bCs/>
          <w:color w:val="2E75B6"/>
          <w:sz w:val="22"/>
          <w:szCs w:val="22"/>
        </w:rPr>
        <w:t xml:space="preserve">Flow 9 — Mobile Push Notifications</w:t>
      </w:r>
    </w:p>
    <w:p>
      <w:pPr>
        <w:spacing w:before="40" w:after="40"/>
        <w:ind w:left="360"/>
      </w:pPr>
      <w:r>
        <w:rPr>
          <w:rFonts w:ascii="Courier New" w:cs="Courier New" w:eastAsia="Courier New" w:hAnsi="Courier New"/>
          <w:b/>
          <w:bCs/>
          <w:color w:val="2E75B6"/>
          <w:sz w:val="18"/>
          <w:szCs w:val="18"/>
        </w:rPr>
        <w:t xml:space="preserve">1.  </w:t>
      </w:r>
      <w:r>
        <w:rPr>
          <w:rFonts w:ascii="Arial" w:cs="Arial" w:eastAsia="Arial" w:hAnsi="Arial"/>
          <w:color w:val="1A1A1A"/>
          <w:sz w:val="19"/>
          <w:szCs w:val="19"/>
        </w:rPr>
        <w:t xml:space="preserve">SVEN API generates notification event → publishes to AWS SNS</w:t>
      </w:r>
    </w:p>
    <w:p>
      <w:pPr>
        <w:spacing w:before="40" w:after="40"/>
        <w:ind w:left="360"/>
      </w:pPr>
      <w:r>
        <w:rPr>
          <w:rFonts w:ascii="Courier New" w:cs="Courier New" w:eastAsia="Courier New" w:hAnsi="Courier New"/>
          <w:b/>
          <w:bCs/>
          <w:color w:val="2E75B6"/>
          <w:sz w:val="18"/>
          <w:szCs w:val="18"/>
        </w:rPr>
        <w:t xml:space="preserve">2.  </w:t>
      </w:r>
      <w:r>
        <w:rPr>
          <w:rFonts w:ascii="Arial" w:cs="Arial" w:eastAsia="Arial" w:hAnsi="Arial"/>
          <w:color w:val="1A1A1A"/>
          <w:sz w:val="19"/>
          <w:szCs w:val="19"/>
        </w:rPr>
        <w:t xml:space="preserve">AWS SNS delivers push notification to end user / interpreter mobile device</w:t>
      </w:r>
    </w:p>
    <w:p>
      <w:pPr>
        <w:spacing w:before="40" w:after="40"/>
        <w:ind w:left="360"/>
      </w:pPr>
      <w:r>
        <w:rPr>
          <w:rFonts w:ascii="Courier New" w:cs="Courier New" w:eastAsia="Courier New" w:hAnsi="Courier New"/>
          <w:b/>
          <w:bCs/>
          <w:color w:val="2E75B6"/>
          <w:sz w:val="18"/>
          <w:szCs w:val="18"/>
        </w:rPr>
        <w:t xml:space="preserve">3.  </w:t>
      </w:r>
      <w:r>
        <w:rPr>
          <w:rFonts w:ascii="Arial" w:cs="Arial" w:eastAsia="Arial" w:hAnsi="Arial"/>
          <w:color w:val="1A1A1A"/>
          <w:sz w:val="19"/>
          <w:szCs w:val="19"/>
        </w:rPr>
        <w:t xml:space="preserve">Delivery failures are captured in AWS SQS queue</w:t>
      </w:r>
    </w:p>
    <w:p>
      <w:pPr>
        <w:spacing w:before="40" w:after="40"/>
        <w:ind w:left="360"/>
      </w:pPr>
      <w:r>
        <w:rPr>
          <w:rFonts w:ascii="Courier New" w:cs="Courier New" w:eastAsia="Courier New" w:hAnsi="Courier New"/>
          <w:b/>
          <w:bCs/>
          <w:color w:val="2E75B6"/>
          <w:sz w:val="18"/>
          <w:szCs w:val="18"/>
        </w:rPr>
        <w:t xml:space="preserve">4.  </w:t>
      </w:r>
      <w:r>
        <w:rPr>
          <w:rFonts w:ascii="Arial" w:cs="Arial" w:eastAsia="Arial" w:hAnsi="Arial"/>
          <w:color w:val="1A1A1A"/>
          <w:sz w:val="19"/>
          <w:szCs w:val="19"/>
        </w:rPr>
        <w:t xml:space="preserve">SVEN worker services poll SQS queue and process delivery failure records</w:t>
      </w:r>
    </w:p>
    <w:p>
      <w:pPr>
        <w:spacing w:before="60" w:after="60"/>
      </w:pPr>
    </w:p>
    <w:p>
      <w:pPr>
        <w:pStyle w:val="Heading3"/>
        <w:spacing w:before="160" w:after="80"/>
      </w:pPr>
      <w:r>
        <w:rPr>
          <w:rFonts w:ascii="Arial" w:cs="Arial" w:eastAsia="Arial" w:hAnsi="Arial"/>
          <w:b/>
          <w:bCs/>
          <w:color w:val="2E75B6"/>
          <w:sz w:val="22"/>
          <w:szCs w:val="22"/>
        </w:rPr>
        <w:t xml:space="preserve">Flow 10 — Deployment Pipeline</w:t>
      </w:r>
    </w:p>
    <w:p>
      <w:pPr>
        <w:spacing w:before="40" w:after="40"/>
        <w:ind w:left="360"/>
      </w:pPr>
      <w:r>
        <w:rPr>
          <w:rFonts w:ascii="Courier New" w:cs="Courier New" w:eastAsia="Courier New" w:hAnsi="Courier New"/>
          <w:b/>
          <w:bCs/>
          <w:color w:val="2E75B6"/>
          <w:sz w:val="18"/>
          <w:szCs w:val="18"/>
        </w:rPr>
        <w:t xml:space="preserve">1.  </w:t>
      </w:r>
      <w:r>
        <w:rPr>
          <w:rFonts w:ascii="Arial" w:cs="Arial" w:eastAsia="Arial" w:hAnsi="Arial"/>
          <w:color w:val="1A1A1A"/>
          <w:sz w:val="19"/>
          <w:szCs w:val="19"/>
        </w:rPr>
        <w:t xml:space="preserve">Developer commits to release branch → triggers GitHub Actions CI/CD workflow</w:t>
      </w:r>
    </w:p>
    <w:p>
      <w:pPr>
        <w:spacing w:before="40" w:after="40"/>
        <w:ind w:left="360"/>
      </w:pPr>
      <w:r>
        <w:rPr>
          <w:rFonts w:ascii="Courier New" w:cs="Courier New" w:eastAsia="Courier New" w:hAnsi="Courier New"/>
          <w:b/>
          <w:bCs/>
          <w:color w:val="2E75B6"/>
          <w:sz w:val="18"/>
          <w:szCs w:val="18"/>
        </w:rPr>
        <w:t xml:space="preserve">2.  </w:t>
      </w:r>
      <w:r>
        <w:rPr>
          <w:rFonts w:ascii="Arial" w:cs="Arial" w:eastAsia="Arial" w:hAnsi="Arial"/>
          <w:color w:val="1A1A1A"/>
          <w:sz w:val="19"/>
          <w:szCs w:val="19"/>
        </w:rPr>
        <w:t xml:space="preserve">GitHub Actions builds container image → pushes to stratussven Container Registry</w:t>
      </w:r>
    </w:p>
    <w:p>
      <w:pPr>
        <w:spacing w:before="40" w:after="40"/>
        <w:ind w:left="360"/>
      </w:pPr>
      <w:r>
        <w:rPr>
          <w:rFonts w:ascii="Courier New" w:cs="Courier New" w:eastAsia="Courier New" w:hAnsi="Courier New"/>
          <w:b/>
          <w:bCs/>
          <w:color w:val="2E75B6"/>
          <w:sz w:val="18"/>
          <w:szCs w:val="18"/>
        </w:rPr>
        <w:t xml:space="preserve">3.  </w:t>
      </w:r>
      <w:r>
        <w:rPr>
          <w:rFonts w:ascii="Arial" w:cs="Arial" w:eastAsia="Arial" w:hAnsi="Arial"/>
          <w:color w:val="1A1A1A"/>
          <w:sz w:val="19"/>
          <w:szCs w:val="19"/>
        </w:rPr>
        <w:t xml:space="preserve">Deployment job pulls new image from Container Registry</w:t>
      </w:r>
    </w:p>
    <w:p>
      <w:pPr>
        <w:spacing w:before="40" w:after="40"/>
        <w:ind w:left="360"/>
      </w:pPr>
      <w:r>
        <w:rPr>
          <w:rFonts w:ascii="Courier New" w:cs="Courier New" w:eastAsia="Courier New" w:hAnsi="Courier New"/>
          <w:b/>
          <w:bCs/>
          <w:color w:val="2E75B6"/>
          <w:sz w:val="18"/>
          <w:szCs w:val="18"/>
        </w:rPr>
        <w:t xml:space="preserve">4.  </w:t>
      </w:r>
      <w:r>
        <w:rPr>
          <w:rFonts w:ascii="Arial" w:cs="Arial" w:eastAsia="Arial" w:hAnsi="Arial"/>
          <w:color w:val="1A1A1A"/>
          <w:sz w:val="19"/>
          <w:szCs w:val="19"/>
        </w:rPr>
        <w:t xml:space="preserve">New container image released to Azure Container Apps (East US and South Central US)</w:t>
      </w:r>
    </w:p>
    <w:p>
      <w:pPr>
        <w:spacing w:before="40" w:after="40"/>
        <w:ind w:left="360"/>
      </w:pPr>
      <w:r>
        <w:rPr>
          <w:rFonts w:ascii="Courier New" w:cs="Courier New" w:eastAsia="Courier New" w:hAnsi="Courier New"/>
          <w:b/>
          <w:bCs/>
          <w:color w:val="2E75B6"/>
          <w:sz w:val="18"/>
          <w:szCs w:val="18"/>
        </w:rPr>
        <w:t xml:space="preserve">5.  </w:t>
      </w:r>
      <w:r>
        <w:rPr>
          <w:rFonts w:ascii="Arial" w:cs="Arial" w:eastAsia="Arial" w:hAnsi="Arial"/>
          <w:color w:val="1A1A1A"/>
          <w:sz w:val="19"/>
          <w:szCs w:val="19"/>
        </w:rPr>
        <w:t xml:space="preserve">Frontend assets deployed to Assets Storage Account (static-blobs container)</w:t>
      </w:r>
    </w:p>
    <w:p>
      <w:pPr>
        <w:spacing w:before="60" w:after="60"/>
      </w:pPr>
    </w:p>
    <w:p>
      <w:pPr>
        <w:pStyle w:val="Heading3"/>
        <w:spacing w:before="160" w:after="80"/>
      </w:pPr>
      <w:r>
        <w:rPr>
          <w:rFonts w:ascii="Arial" w:cs="Arial" w:eastAsia="Arial" w:hAnsi="Arial"/>
          <w:b/>
          <w:bCs/>
          <w:color w:val="2E75B6"/>
          <w:sz w:val="22"/>
          <w:szCs w:val="22"/>
        </w:rPr>
        <w:t xml:space="preserve">Flow 11 — Geo-Replication</w:t>
      </w:r>
    </w:p>
    <w:p>
      <w:pPr>
        <w:spacing w:before="40" w:after="40"/>
        <w:ind w:left="360"/>
      </w:pPr>
      <w:r>
        <w:rPr>
          <w:rFonts w:ascii="Courier New" w:cs="Courier New" w:eastAsia="Courier New" w:hAnsi="Courier New"/>
          <w:b/>
          <w:bCs/>
          <w:color w:val="2E75B6"/>
          <w:sz w:val="18"/>
          <w:szCs w:val="18"/>
        </w:rPr>
        <w:t xml:space="preserve">1.  </w:t>
      </w:r>
      <w:r>
        <w:rPr>
          <w:rFonts w:ascii="Arial" w:cs="Arial" w:eastAsia="Arial" w:hAnsi="Arial"/>
          <w:color w:val="1A1A1A"/>
          <w:sz w:val="19"/>
          <w:szCs w:val="19"/>
        </w:rPr>
        <w:t xml:space="preserve">Main Redis Cache (East US) → replication → Main Redis Cache Replica (East US)</w:t>
      </w:r>
    </w:p>
    <w:p>
      <w:pPr>
        <w:spacing w:before="40" w:after="40"/>
        <w:ind w:left="360"/>
      </w:pPr>
      <w:r>
        <w:rPr>
          <w:rFonts w:ascii="Courier New" w:cs="Courier New" w:eastAsia="Courier New" w:hAnsi="Courier New"/>
          <w:b/>
          <w:bCs/>
          <w:color w:val="2E75B6"/>
          <w:sz w:val="18"/>
          <w:szCs w:val="18"/>
        </w:rPr>
        <w:t xml:space="preserve">2.  </w:t>
      </w:r>
      <w:r>
        <w:rPr>
          <w:rFonts w:ascii="Arial" w:cs="Arial" w:eastAsia="Arial" w:hAnsi="Arial"/>
          <w:color w:val="1A1A1A"/>
          <w:sz w:val="19"/>
          <w:szCs w:val="19"/>
        </w:rPr>
        <w:t xml:space="preserve">WebSocket Redis Cache (East US) → geo-replication → WebSocket Redis Cache Replica (South Central US)</w:t>
      </w:r>
    </w:p>
    <w:p>
      <w:pPr>
        <w:spacing w:before="40" w:after="40"/>
        <w:ind w:left="360"/>
      </w:pPr>
      <w:r>
        <w:rPr>
          <w:rFonts w:ascii="Courier New" w:cs="Courier New" w:eastAsia="Courier New" w:hAnsi="Courier New"/>
          <w:b/>
          <w:bCs/>
          <w:color w:val="2E75B6"/>
          <w:sz w:val="18"/>
          <w:szCs w:val="18"/>
        </w:rPr>
        <w:t xml:space="preserve">3.  </w:t>
      </w:r>
      <w:r>
        <w:rPr>
          <w:rFonts w:ascii="Arial" w:cs="Arial" w:eastAsia="Arial" w:hAnsi="Arial"/>
          <w:color w:val="1A1A1A"/>
          <w:sz w:val="19"/>
          <w:szCs w:val="19"/>
        </w:rPr>
        <w:t xml:space="preserve">BigAnimal Primary Database (East US EDB RG) → streaming replication → BigAnimal Secondary (South Central US EDB RG)</w:t>
      </w:r>
    </w:p>
    <w:p>
      <w:pPr>
        <w:spacing w:before="40" w:after="40"/>
        <w:ind w:left="360"/>
      </w:pPr>
      <w:r>
        <w:rPr>
          <w:rFonts w:ascii="Courier New" w:cs="Courier New" w:eastAsia="Courier New" w:hAnsi="Courier New"/>
          <w:b/>
          <w:bCs/>
          <w:color w:val="2E75B6"/>
          <w:sz w:val="18"/>
          <w:szCs w:val="18"/>
        </w:rPr>
        <w:t xml:space="preserve">4.  </w:t>
      </w:r>
      <w:r>
        <w:rPr>
          <w:rFonts w:ascii="Arial" w:cs="Arial" w:eastAsia="Arial" w:hAnsi="Arial"/>
          <w:color w:val="1A1A1A"/>
          <w:sz w:val="19"/>
          <w:szCs w:val="19"/>
        </w:rPr>
        <w:t xml:space="preserve">Express Route circuits: both DA6 and DC4 actively connected to East US; on-prem can failover if needed</w:t>
      </w:r>
    </w:p>
    <w:p>
      <w:pPr>
        <w:spacing w:before="80" w:after="80"/>
      </w:pPr>
    </w:p>
    <w:p>
      <w:pPr>
        <w:pStyle w:val="Heading1"/>
        <w:spacing w:before="320" w:after="120"/>
      </w:pPr>
      <w:r>
        <w:rPr>
          <w:rFonts w:ascii="Arial" w:cs="Arial" w:eastAsia="Arial" w:hAnsi="Arial"/>
          <w:b/>
          <w:bCs/>
          <w:color w:val="1F4E79"/>
          <w:sz w:val="28"/>
          <w:szCs w:val="28"/>
        </w:rPr>
        <w:t xml:space="preserve">8. WAF Configuration (NGINX + ModSecurity)</w:t>
      </w:r>
    </w:p>
    <w:p>
      <w:pPr>
        <w:spacing w:before="40" w:after="40"/>
      </w:pPr>
      <w:r>
        <w:rPr>
          <w:rFonts w:ascii="Arial" w:cs="Arial" w:eastAsia="Arial" w:hAnsi="Arial"/>
          <w:b w:val="false"/>
          <w:bCs w:val="false"/>
          <w:color w:val="1A1A1A"/>
          <w:sz w:val="20"/>
          <w:szCs w:val="20"/>
        </w:rPr>
        <w:t xml:space="preserve">The Web Application Firewall runs on all NGINX Primary Proxy instances in the production datacenters. It uses ModSecurity v3 with the OWASP Core Rule Set (CRS) 3.2.0 in full blocking mode.</w:t>
      </w:r>
    </w:p>
    <w:p>
      <w:pPr>
        <w:spacing w:before="60" w:after="60"/>
      </w:pPr>
    </w:p>
    <w:p>
      <w:pPr>
        <w:pStyle w:val="Heading3"/>
        <w:spacing w:before="160" w:after="80"/>
      </w:pPr>
      <w:r>
        <w:rPr>
          <w:rFonts w:ascii="Arial" w:cs="Arial" w:eastAsia="Arial" w:hAnsi="Arial"/>
          <w:b/>
          <w:bCs/>
          <w:color w:val="2E75B6"/>
          <w:sz w:val="22"/>
          <w:szCs w:val="22"/>
        </w:rPr>
        <w:t xml:space="preserve">8.1  Environment WAF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Environment</w:t>
            </w:r>
          </w:p>
        </w:tc>
        <w:tc>
          <w:tcPr>
            <w:tcW w:type="dxa" w:w="28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ModSecurity Status</w:t>
            </w:r>
          </w:p>
        </w:tc>
        <w:tc>
          <w:tcPr>
            <w:tcW w:type="dxa" w:w="416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Notes</w:t>
            </w:r>
          </w:p>
        </w:tc>
      </w:tr>
      <w:tr>
        <w:trPr>
          <w:tblHeader w:val="false"/>
        </w:trP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da6 (East US)</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Enabled — Full Blocking</w:t>
            </w:r>
          </w:p>
        </w:tc>
        <w:tc>
          <w:tcPr>
            <w:tcW w:type="dxa" w:w="4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Primary production — all requests inspected</w:t>
            </w:r>
          </w:p>
        </w:tc>
      </w:tr>
      <w:tr>
        <w:trPr>
          <w:tblHeader w:val="false"/>
        </w:trPr>
        <w:tc>
          <w:tcPr>
            <w:tcW w:type="dxa" w:w="24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dc4 (South Central US)</w:t>
            </w:r>
          </w:p>
        </w:tc>
        <w:tc>
          <w:tcPr>
            <w:tcW w:type="dxa" w:w="28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Enabled — Full Blocking</w:t>
            </w:r>
          </w:p>
        </w:tc>
        <w:tc>
          <w:tcPr>
            <w:tcW w:type="dxa" w:w="41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Secondary production — configuration-identical to DA6</w:t>
            </w:r>
          </w:p>
        </w:tc>
      </w:tr>
      <w:tr>
        <w:trPr>
          <w:tblHeader w:val="false"/>
        </w:trP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tpmg-da6</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Not Loaded</w:t>
            </w:r>
          </w:p>
        </w:tc>
        <w:tc>
          <w:tcPr>
            <w:tcW w:type="dxa" w:w="4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TPMG tenant — module not loaded; unaffected by WAF incidents</w:t>
            </w:r>
          </w:p>
        </w:tc>
      </w:tr>
      <w:tr>
        <w:trPr>
          <w:tblHeader w:val="false"/>
        </w:trPr>
        <w:tc>
          <w:tcPr>
            <w:tcW w:type="dxa" w:w="24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tpmg-dc4</w:t>
            </w:r>
          </w:p>
        </w:tc>
        <w:tc>
          <w:tcPr>
            <w:tcW w:type="dxa" w:w="28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Not Loaded</w:t>
            </w:r>
          </w:p>
        </w:tc>
        <w:tc>
          <w:tcPr>
            <w:tcW w:type="dxa" w:w="41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TPMG tenant — module not loaded; unaffected by WAF incidents</w:t>
            </w:r>
          </w:p>
        </w:tc>
      </w:tr>
      <w:tr>
        <w:trPr>
          <w:tblHeader w:val="false"/>
        </w:trP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dev2</w:t>
            </w:r>
          </w:p>
        </w:tc>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Enabled</w:t>
            </w:r>
          </w:p>
        </w:tc>
        <w:tc>
          <w:tcPr>
            <w:tcW w:type="dxa" w:w="4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Development environment</w:t>
            </w:r>
          </w:p>
        </w:tc>
      </w:tr>
    </w:tbl>
    <w:p>
      <w:pPr>
        <w:spacing w:before="60" w:after="60"/>
      </w:pPr>
    </w:p>
    <w:p>
      <w:pPr>
        <w:pStyle w:val="Heading3"/>
        <w:spacing w:before="160" w:after="80"/>
      </w:pPr>
      <w:r>
        <w:rPr>
          <w:rFonts w:ascii="Arial" w:cs="Arial" w:eastAsia="Arial" w:hAnsi="Arial"/>
          <w:b/>
          <w:bCs/>
          <w:color w:val="2E75B6"/>
          <w:sz w:val="22"/>
          <w:szCs w:val="22"/>
        </w:rPr>
        <w:t xml:space="preserve">8.2  Key WAF Configuration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Configuration File</w:t>
            </w:r>
          </w:p>
        </w:tc>
        <w:tc>
          <w:tcPr>
            <w:tcW w:type="dxa" w:w="516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Role</w:t>
            </w:r>
          </w:p>
        </w:tc>
      </w:tr>
      <w:tr>
        <w:trPr>
          <w:tblHeader w:val="false"/>
        </w:trPr>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nginx/modsec/modsecurity.conf</w:t>
            </w:r>
          </w:p>
        </w:tc>
        <w:tc>
          <w:tcPr>
            <w:tcW w:type="dxa" w:w="5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Core engine — SecRuleEngine On, body handling, audit log configuration</w:t>
            </w:r>
          </w:p>
        </w:tc>
      </w:tr>
      <w:tr>
        <w:trPr>
          <w:tblHeader w:val="false"/>
        </w:trPr>
        <w:tc>
          <w:tcPr>
            <w:tcW w:type="dxa" w:w="4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nginx/modsec/main.conf</w:t>
            </w:r>
          </w:p>
        </w:tc>
        <w:tc>
          <w:tcPr>
            <w:tcW w:type="dxa" w:w="51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CRS include chain — defines rule load order</w:t>
            </w:r>
          </w:p>
        </w:tc>
      </w:tr>
      <w:tr>
        <w:trPr>
          <w:tblHeader w:val="false"/>
        </w:trPr>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owasp-modsecurity-crs/crs-setup.conf</w:t>
            </w:r>
          </w:p>
        </w:tc>
        <w:tc>
          <w:tcPr>
            <w:tcW w:type="dxa" w:w="5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Global CRS overrides (mostly defaults)</w:t>
            </w:r>
          </w:p>
        </w:tc>
      </w:tr>
      <w:tr>
        <w:trPr>
          <w:tblHeader w:val="false"/>
        </w:trPr>
        <w:tc>
          <w:tcPr>
            <w:tcW w:type="dxa" w:w="4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REQUEST-900-EXCLUSION-RULES-BEFORE-CRS.conf</w:t>
            </w:r>
          </w:p>
        </w:tc>
        <w:tc>
          <w:tcPr>
            <w:tcW w:type="dxa" w:w="51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SVEN-specific exclusions — where application exclusion rules live (critical file)</w:t>
            </w:r>
          </w:p>
        </w:tc>
      </w:tr>
      <w:tr>
        <w:trPr>
          <w:tblHeader w:val="false"/>
        </w:trPr>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REQUEST-901-INITIALIZATION.conf</w:t>
            </w:r>
          </w:p>
        </w:tc>
        <w:tc>
          <w:tcPr>
            <w:tcW w:type="dxa" w:w="5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Default variable initialization — thresholds and allowed content types</w:t>
            </w:r>
          </w:p>
        </w:tc>
      </w:tr>
      <w:tr>
        <w:trPr>
          <w:tblHeader w:val="false"/>
        </w:trPr>
        <w:tc>
          <w:tcPr>
            <w:tcW w:type="dxa" w:w="4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REQUEST-920-PROTOCOL-ENFORCEMENT.conf</w:t>
            </w:r>
          </w:p>
        </w:tc>
        <w:tc>
          <w:tcPr>
            <w:tcW w:type="dxa" w:w="51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Protocol enforcement rules — the critical ruleset</w:t>
            </w:r>
          </w:p>
        </w:tc>
      </w:tr>
      <w:tr>
        <w:trPr>
          <w:tblHeader w:val="false"/>
        </w:trPr>
        <w:tc>
          <w:tcPr>
            <w:tcW w:type="dxa" w:w="4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REQUEST-949-BLOCKING-EVALUATION.conf</w:t>
            </w:r>
          </w:p>
        </w:tc>
        <w:tc>
          <w:tcPr>
            <w:tcW w:type="dxa" w:w="51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Anomaly score evaluator — the only file that issues HTTP deny responses</w:t>
            </w:r>
          </w:p>
        </w:tc>
      </w:tr>
    </w:tbl>
    <w:p>
      <w:pPr>
        <w:spacing w:before="60" w:after="60"/>
      </w:pPr>
    </w:p>
    <w:p>
      <w:pPr>
        <w:pStyle w:val="Heading3"/>
        <w:spacing w:before="160" w:after="80"/>
      </w:pPr>
      <w:r>
        <w:rPr>
          <w:rFonts w:ascii="Arial" w:cs="Arial" w:eastAsia="Arial" w:hAnsi="Arial"/>
          <w:b/>
          <w:bCs/>
          <w:color w:val="2E75B6"/>
          <w:sz w:val="22"/>
          <w:szCs w:val="22"/>
        </w:rPr>
        <w:t xml:space="preserve">8.3  Anomaly Scoring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rPr>
          <w:tblHeader/>
        </w:trPr>
        <w:tc>
          <w:tcPr>
            <w:tcW w:type="dxa" w:w="38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Variable</w:t>
            </w:r>
          </w:p>
        </w:tc>
        <w:tc>
          <w:tcPr>
            <w:tcW w:type="dxa" w:w="12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Value</w:t>
            </w:r>
          </w:p>
        </w:tc>
        <w:tc>
          <w:tcPr>
            <w:tcW w:type="dxa" w:w="436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Meaning</w:t>
            </w:r>
          </w:p>
        </w:tc>
      </w:tr>
      <w:tr>
        <w:trPr>
          <w:tblHeader w:val="false"/>
        </w:trPr>
        <w:tc>
          <w:tcPr>
            <w:tcW w:type="dxa" w:w="3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tx.inbound_anomaly_score_threshold</w:t>
            </w:r>
          </w:p>
        </w:tc>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w:t>
            </w:r>
          </w:p>
        </w:tc>
        <w:tc>
          <w:tcPr>
            <w:tcW w:type="dxa" w:w="4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Score at which rule 949110 fires and issues HTTP 403</w:t>
            </w:r>
          </w:p>
        </w:tc>
      </w:tr>
      <w:tr>
        <w:trPr>
          <w:tblHeader w:val="false"/>
        </w:trPr>
        <w:tc>
          <w:tcPr>
            <w:tcW w:type="dxa" w:w="38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tx.critical_anomaly_score</w:t>
            </w:r>
          </w:p>
        </w:tc>
        <w:tc>
          <w:tcPr>
            <w:tcW w:type="dxa" w:w="1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5</w:t>
            </w:r>
          </w:p>
        </w:tc>
        <w:tc>
          <w:tcPr>
            <w:tcW w:type="dxa" w:w="43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Points added per CRITICAL-severity rule match</w:t>
            </w:r>
          </w:p>
        </w:tc>
      </w:tr>
      <w:tr>
        <w:trPr>
          <w:tblHeader w:val="false"/>
        </w:trPr>
        <w:tc>
          <w:tcPr>
            <w:tcW w:type="dxa" w:w="3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tx.notice_anomaly_score</w:t>
            </w:r>
          </w:p>
        </w:tc>
        <w:tc>
          <w:tcPr>
            <w:tcW w:type="dxa" w:w="1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2</w:t>
            </w:r>
          </w:p>
        </w:tc>
        <w:tc>
          <w:tcPr>
            <w:tcW w:type="dxa" w:w="4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Points added per NOTICE-severity rule match</w:t>
            </w:r>
          </w:p>
        </w:tc>
      </w:tr>
    </w:tbl>
    <w:p>
      <w:pPr>
        <w:spacing w:before="40" w:after="40"/>
      </w:pPr>
    </w:p>
    <w:p>
      <w:pPr>
        <w:pBdr>
          <w:left w:val="single" w:color="2E75B6" w:sz="12" w:space="8"/>
        </w:pBdr>
        <w:spacing w:before="80" w:after="80"/>
        <w:ind w:left="360"/>
      </w:pPr>
      <w:r>
        <w:rPr>
          <w:rFonts w:ascii="Arial" w:cs="Arial" w:eastAsia="Arial" w:hAnsi="Arial"/>
          <w:b/>
          <w:bCs/>
          <w:color w:val="2E75B6"/>
          <w:sz w:val="20"/>
          <w:szCs w:val="20"/>
        </w:rPr>
        <w:t xml:space="preserve">NOTE: </w:t>
      </w:r>
      <w:r>
        <w:rPr>
          <w:rFonts w:ascii="Arial" w:cs="Arial" w:eastAsia="Arial" w:hAnsi="Arial"/>
          <w:i/>
          <w:iCs/>
          <w:color w:val="1A1A1A"/>
          <w:sz w:val="20"/>
          <w:szCs w:val="20"/>
        </w:rPr>
        <w:t xml:space="preserve">A single CRITICAL-severity rule hit (score = 5) equals the blocking threshold (5) — there is zero tolerance margin. One non-standard Content-Type on a POST/PATCH request immediately triggers a block.</w:t>
      </w:r>
    </w:p>
    <w:p>
      <w:pPr>
        <w:spacing w:before="80" w:after="80"/>
      </w:pPr>
    </w:p>
    <w:p>
      <w:pPr>
        <w:pStyle w:val="Heading1"/>
        <w:spacing w:before="320" w:after="120"/>
      </w:pPr>
      <w:r>
        <w:rPr>
          <w:rFonts w:ascii="Arial" w:cs="Arial" w:eastAsia="Arial" w:hAnsi="Arial"/>
          <w:b/>
          <w:bCs/>
          <w:color w:val="1F4E79"/>
          <w:sz w:val="28"/>
          <w:szCs w:val="28"/>
        </w:rPr>
        <w:t xml:space="preserve">9. Monitoring — New Relic (Account 1154662 / Stratus Video)</w:t>
      </w:r>
    </w:p>
    <w:p>
      <w:pPr>
        <w:spacing w:before="40" w:after="40"/>
      </w:pPr>
      <w:r>
        <w:rPr>
          <w:rFonts w:ascii="Arial" w:cs="Arial" w:eastAsia="Arial" w:hAnsi="Arial"/>
          <w:b w:val="false"/>
          <w:bCs w:val="false"/>
          <w:color w:val="1A1A1A"/>
          <w:sz w:val="20"/>
          <w:szCs w:val="20"/>
        </w:rPr>
        <w:t xml:space="preserve">SVEN production is monitored via New Relic under account 1154662, associated with the Stratus Video subaccount. APM agents are installed on key services.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960"/>
      </w:tblGrid>
      <w:tr>
        <w:trPr>
          <w:tblHeader/>
        </w:trPr>
        <w:tc>
          <w:tcPr>
            <w:tcW w:type="dxa" w:w="24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Entity</w:t>
            </w:r>
          </w:p>
        </w:tc>
        <w:tc>
          <w:tcPr>
            <w:tcW w:type="dxa" w:w="22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Alert Status</w:t>
            </w:r>
          </w:p>
        </w:tc>
        <w:tc>
          <w:tcPr>
            <w:tcW w:type="dxa" w:w="18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NR Agent Version</w:t>
            </w:r>
          </w:p>
        </w:tc>
        <w:tc>
          <w:tcPr>
            <w:tcW w:type="dxa" w:w="296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Notes</w:t>
            </w:r>
          </w:p>
        </w:tc>
      </w:tr>
      <w:tr>
        <w:trPr>
          <w:tblHeader w:val="false"/>
        </w:trP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SVENAZ PROD API</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WARNING</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11.4.0</w:t>
            </w:r>
          </w:p>
        </w:tc>
        <w:tc>
          <w:tcPr>
            <w:tcW w:type="dxa" w:w="2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API container app — elevated error rate</w:t>
            </w:r>
          </w:p>
        </w:tc>
      </w:tr>
      <w:tr>
        <w:trPr>
          <w:tblHeader w:val="false"/>
        </w:trPr>
        <w:tc>
          <w:tcPr>
            <w:tcW w:type="dxa" w:w="24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SVENAZ PROD Worker</w:t>
            </w:r>
          </w:p>
        </w:tc>
        <w:tc>
          <w:tcPr>
            <w:tcW w:type="dxa" w:w="2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CRITICAL</w:t>
            </w:r>
          </w:p>
        </w:tc>
        <w:tc>
          <w:tcPr>
            <w:tcW w:type="dxa" w:w="18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11.4.0</w:t>
            </w:r>
          </w:p>
        </w:tc>
        <w:tc>
          <w:tcPr>
            <w:tcW w:type="dxa" w:w="29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Worker container — active critical alert</w:t>
            </w:r>
          </w:p>
        </w:tc>
      </w:tr>
      <w:tr>
        <w:trPr>
          <w:tblHeader w:val="false"/>
        </w:trPr>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SVENAZ PROD Websocket</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NOT_CONFIGURED</w:t>
            </w:r>
          </w:p>
        </w:tc>
        <w:tc>
          <w:tcPr>
            <w:tcW w:type="dxa" w:w="1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w:t>
            </w:r>
          </w:p>
        </w:tc>
        <w:tc>
          <w:tcPr>
            <w:tcW w:type="dxa" w:w="29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No alert policy configured — monitoring gap</w:t>
            </w:r>
          </w:p>
        </w:tc>
      </w:tr>
      <w:tr>
        <w:trPr>
          <w:tblHeader w:val="false"/>
        </w:trPr>
        <w:tc>
          <w:tcPr>
            <w:tcW w:type="dxa" w:w="24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SVEN Production Freeswitch</w:t>
            </w:r>
          </w:p>
        </w:tc>
        <w:tc>
          <w:tcPr>
            <w:tcW w:type="dxa" w:w="22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NOT_ALERTING</w:t>
            </w:r>
          </w:p>
        </w:tc>
        <w:tc>
          <w:tcPr>
            <w:tcW w:type="dxa" w:w="180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10.10.0</w:t>
            </w:r>
          </w:p>
        </w:tc>
        <w:tc>
          <w:tcPr>
            <w:tcW w:type="dxa" w:w="2960"/>
            <w:tcBorders>
              <w:top w:val="single" w:color="C0C0C0" w:sz="1"/>
              <w:left w:val="single" w:color="C0C0C0" w:sz="1"/>
              <w:bottom w:val="single" w:color="C0C0C0" w:sz="1"/>
              <w:right w:val="single" w:color="C0C0C0" w:sz="1"/>
            </w:tcBorders>
            <w:shd w:fill="EBF3FA" w:val="clear"/>
            <w:tcMar>
              <w:top w:type="dxa" w:w="80"/>
              <w:left w:type="dxa" w:w="120"/>
              <w:bottom w:type="dxa" w:w="80"/>
              <w:right w:type="dxa" w:w="120"/>
            </w:tcMar>
            <w:vAlign w:val="center"/>
          </w:tcPr>
          <w:p>
            <w:r>
              <w:rPr>
                <w:rFonts w:ascii="Arial" w:cs="Arial" w:eastAsia="Arial" w:hAnsi="Arial"/>
                <w:b w:val="false"/>
                <w:bCs w:val="false"/>
                <w:color w:val="1A1A1A"/>
                <w:sz w:val="19"/>
                <w:szCs w:val="19"/>
              </w:rPr>
              <w:t xml:space="preserve">FreeSwitch — not alerting</w:t>
            </w:r>
          </w:p>
        </w:tc>
      </w:tr>
    </w:tbl>
    <w:p>
      <w:pPr>
        <w:spacing w:before="40" w:after="40"/>
      </w:pPr>
    </w:p>
    <w:p>
      <w:pPr>
        <w:pBdr>
          <w:left w:val="single" w:color="C55A11" w:sz="12" w:space="8"/>
        </w:pBdr>
        <w:spacing w:before="80" w:after="80"/>
        <w:ind w:left="360"/>
      </w:pPr>
      <w:r>
        <w:rPr>
          <w:rFonts w:ascii="Arial" w:cs="Arial" w:eastAsia="Arial" w:hAnsi="Arial"/>
          <w:b/>
          <w:bCs/>
          <w:color w:val="C55A11"/>
          <w:sz w:val="20"/>
          <w:szCs w:val="20"/>
        </w:rPr>
        <w:t xml:space="preserve">IMPORTANT: </w:t>
      </w:r>
      <w:r>
        <w:rPr>
          <w:rFonts w:ascii="Arial" w:cs="Arial" w:eastAsia="Arial" w:hAnsi="Arial"/>
          <w:i/>
          <w:iCs/>
          <w:color w:val="1A1A1A"/>
          <w:sz w:val="20"/>
          <w:szCs w:val="20"/>
        </w:rPr>
        <w:t xml:space="preserve">SVENAZ PROD Websocket has no alert configuration. Given that the WebSocket layer is a critical path for real-time interpreter connections, this is a known monitoring gap requiring remediation.</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0" w:after="0"/>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before="0" w:after="0"/>
    </w:pPr>
    <w:r>
      <w:rPr>
        <w:rFonts w:ascii="Arial" w:cs="Arial" w:eastAsia="Arial" w:hAnsi="Arial"/>
        <w:color w:val="595959"/>
        <w:sz w:val="16"/>
        <w:szCs w:val="16"/>
      </w:rPr>
      <w:t xml:space="preserve">SVEN / Stratus Video — Azure Environment Map</w:t>
    </w:r>
    <w:r>
      <w:rPr>
        <w:rFonts w:ascii="Arial" w:cs="Arial" w:eastAsia="Arial" w:hAnsi="Arial"/>
        <w:sz w:val="16"/>
        <w:szCs w:val="16"/>
      </w:rPr>
      <w:t xml:space="preserve">	</w:t>
    </w:r>
    <w:r>
      <w:rPr>
        <w:rFonts w:ascii="Arial" w:cs="Arial" w:eastAsia="Arial" w:hAnsi="Arial"/>
        <w:color w:val="595959"/>
        <w:sz w:val="16"/>
        <w:szCs w:val="16"/>
      </w:rPr>
      <w:t xml:space="preserve">AMN Healthcare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2026-06-17T13:37:29.212Z</dcterms:created>
  <dcterms:modified xsi:type="dcterms:W3CDTF">2026-06-17T13:37:29.212Z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d433a1-c5c9-4ebf-bc82-15d46b9189aa_Enabled">
    <vt:lpwstr>true</vt:lpwstr>
  </property>
  <property fmtid="{D5CDD505-2E9C-101B-9397-08002B2CF9AE}" pid="3" name="MSIP_Label_28d433a1-c5c9-4ebf-bc82-15d46b9189aa_SetDate">
    <vt:lpwstr>2026-06-17T13:39:48Z</vt:lpwstr>
  </property>
  <property fmtid="{D5CDD505-2E9C-101B-9397-08002B2CF9AE}" pid="4" name="MSIP_Label_28d433a1-c5c9-4ebf-bc82-15d46b9189aa_Method">
    <vt:lpwstr>Standard</vt:lpwstr>
  </property>
  <property fmtid="{D5CDD505-2E9C-101B-9397-08002B2CF9AE}" pid="5" name="MSIP_Label_28d433a1-c5c9-4ebf-bc82-15d46b9189aa_Name">
    <vt:lpwstr>Internal</vt:lpwstr>
  </property>
  <property fmtid="{D5CDD505-2E9C-101B-9397-08002B2CF9AE}" pid="6" name="MSIP_Label_28d433a1-c5c9-4ebf-bc82-15d46b9189aa_SiteId">
    <vt:lpwstr>6232c2ec-fa42-4f27-92cd-787913fba489</vt:lpwstr>
  </property>
  <property fmtid="{D5CDD505-2E9C-101B-9397-08002B2CF9AE}" pid="7" name="MSIP_Label_28d433a1-c5c9-4ebf-bc82-15d46b9189aa_ActionId">
    <vt:lpwstr>8fd640f9-3fc4-4393-9cda-3ea34ac44411</vt:lpwstr>
  </property>
  <property fmtid="{D5CDD505-2E9C-101B-9397-08002B2CF9AE}" pid="8" name="MSIP_Label_28d433a1-c5c9-4ebf-bc82-15d46b9189aa_ContentBits">
    <vt:lpwstr>0</vt:lpwstr>
  </property>
</Properties>
</file>