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Georgia" w:cs="Georgia" w:eastAsia="Georgia" w:hAnsi="Georgia"/>
          <w:b/>
          <w:bCs/>
          <w:caps/>
          <w:color w:val="1F3864"/>
          <w:sz w:val="52"/>
          <w:szCs w:val="52"/>
        </w:rPr>
        <w:t xml:space="preserve">THE DUAL GLASS CITIZEN</w:t>
      </w:r>
    </w:p>
    <w:p>
      <w:pPr>
        <w:pBdr>
          <w:bottom w:val="single" w:color="2E5F8A" w:sz="6" w:space="10"/>
        </w:pBdr>
        <w:spacing w:after="320" w:before="0"/>
        <w:jc w:val="center"/>
      </w:pPr>
      <w:r>
        <w:rPr>
          <w:rFonts w:ascii="Georgia" w:cs="Georgia" w:eastAsia="Georgia" w:hAnsi="Georgia"/>
          <w:i/>
          <w:iCs/>
          <w:color w:val="2E5F8A"/>
          <w:sz w:val="28"/>
          <w:szCs w:val="28"/>
        </w:rPr>
        <w:t xml:space="preserve">How Data Capitalism Quietly Hollows Out Democracy — and What Must Be Done Before the Next Generation Cannot Remember What Was Lost</w:t>
      </w:r>
    </w:p>
    <w:p>
      <w:pPr>
        <w:spacing w:after="0" w:before="200"/>
      </w:pPr>
      <w:r>
        <w:t xml:space="preserve"/>
      </w:r>
    </w:p>
    <w:p>
      <w:pPr>
        <w:spacing w:after="80" w:before="0"/>
        <w:jc w:val="center"/>
      </w:pPr>
      <w:r>
        <w:rPr>
          <w:rFonts w:ascii="Calibri" w:cs="Calibri" w:eastAsia="Calibri" w:hAnsi="Calibri"/>
          <w:color w:val="595959"/>
          <w:sz w:val="20"/>
          <w:szCs w:val="20"/>
        </w:rPr>
        <w:t xml:space="preserve">A Working Paper in Identity Dynamics, Democratic Theory, and Behavioral Political Science</w:t>
      </w:r>
    </w:p>
    <w:p>
      <w:pPr>
        <w:spacing w:after="80" w:before="80"/>
        <w:jc w:val="center"/>
      </w:pPr>
      <w:r>
        <w:rPr>
          <w:rFonts w:ascii="Calibri" w:cs="Calibri" w:eastAsia="Calibri" w:hAnsi="Calibri"/>
          <w:color w:val="595959"/>
          <w:sz w:val="20"/>
          <w:szCs w:val="20"/>
        </w:rPr>
        <w:t xml:space="preserve">May 2026</w:t>
      </w:r>
    </w:p>
    <w:p>
      <w:pPr>
        <w:spacing w:after="0" w:before="320"/>
      </w:pPr>
      <w:r>
        <w:t xml:space="preserve"/>
      </w:r>
    </w:p>
    <w:p>
      <w:pPr>
        <w:pBdr>
          <w:top w:val="single" w:color="2E5F8A" w:sz="4"/>
          <w:left w:val="single" w:color="2E5F8A" w:sz="4"/>
          <w:bottom w:val="single" w:color="2E5F8A" w:sz="4"/>
          <w:right w:val="single" w:color="2E5F8A" w:sz="4"/>
        </w:pBdr>
        <w:shd w:fill="F2F2F2" w:val="clear"/>
        <w:spacing w:after="120" w:before="0"/>
      </w:pPr>
      <w:r>
        <w:rPr>
          <w:rFonts w:ascii="Georgia" w:cs="Georgia" w:eastAsia="Georgia" w:hAnsi="Georgia"/>
          <w:b/>
          <w:bCs/>
          <w:color w:val="1F3864"/>
          <w:sz w:val="22"/>
          <w:szCs w:val="22"/>
        </w:rPr>
        <w:t xml:space="preserve">ABSTRACT</w:t>
      </w:r>
    </w:p>
    <w:p>
      <w:pPr>
        <w:shd w:fill="F2F2F2" w:val="clear"/>
        <w:spacing w:after="0" w:before="0" w:line="340"/>
        <w:ind w:left="240" w:right="240"/>
        <w:jc w:val="both"/>
      </w:pPr>
      <w:r>
        <w:rPr>
          <w:rFonts w:ascii="Calibri" w:cs="Calibri" w:eastAsia="Calibri" w:hAnsi="Calibri"/>
          <w:color w:val="2D2D2D"/>
          <w:sz w:val="20"/>
          <w:szCs w:val="20"/>
        </w:rPr>
        <w:t xml:space="preserve">Data capitalism has created a structural condition that this paper terms the dual glass citizen: a person who maintains a managed public identity for the surveillance layer of commercial and governmental platforms while preserving an authentic private self in increasingly compressed protected channels. Drawing on Zuboff's surveillance capitalism framework, Kuran's preference falsification theory, empirical research on chilling effects, Cambridge University's global democratic satisfaction dataset, and threshold models of social norm change, this paper argues that the dual glass citizen condition systematically degrades the five functional prerequisites of democratic self-governance — informed preference formation, authentic expression, meaningful aggregation, accountable governance, and course correction — without requiring any formal democratic institution to be abolished. It further argues that the generational transmission of substantive democratic values is failing because the rising generation is forming its political identity within the surveillance architecture as native condition, without access to the lived contrast that makes democratic expectation legible. A behavioral dynamics framework is introduced to explain mechanisms that existing empirical frameworks have been structurally unable to identify: specifically, why algorithmic influence operates below the threshold of conscious attitude measurement; why preference falsification in commercial surveillance contexts differs structurally from its authoritarian form; and why the hollowing of democratic substance leaves formal institutional indicators intact. A research agenda and set of falsifiable predictions are proposed.</w:t>
      </w:r>
    </w:p>
    <w:p>
      <w:pPr>
        <w:shd w:fill="F2F2F2" w:val="clear"/>
        <w:spacing w:after="200" w:before="0"/>
      </w:pPr>
      <w:r>
        <w:t xml:space="preserve"/>
      </w:r>
    </w:p>
    <w:p>
      <w:pPr>
        <w:spacing w:after="0" w:before="24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I. Introduction: The Version of You on Servers You Will Never Visit</w:t>
      </w:r>
    </w:p>
    <w:p>
      <w:pPr>
        <w:spacing w:after="120" w:before="120" w:line="360"/>
        <w:jc w:val="both"/>
      </w:pPr>
      <w:r>
        <w:rPr>
          <w:rFonts w:ascii="Calibri" w:cs="Calibri" w:eastAsia="Calibri" w:hAnsi="Calibri"/>
          <w:b w:val="false"/>
          <w:bCs w:val="false"/>
          <w:i w:val="false"/>
          <w:iCs w:val="false"/>
          <w:color w:val="000000"/>
          <w:sz w:val="22"/>
          <w:szCs w:val="22"/>
        </w:rPr>
        <w:t xml:space="preserve">There is a version of you that exists in servers you will never visit, maintained by companies you have never heard of, read by governments you did not elect to that function, and used by interests that are not yours. That version of you is not a copy. It is a precision map of your desires, your fears, your vulnerabilities, your patterns of thought, and your moments of weakness and enthusiasm. And the people who hold that map are using it to shape the landscape through which the real you walks every day, believing you are walking freely.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is not a speculative future. It is the current operating architecture of data capitalism as theorized by Shoshana Zuboff (2019) and empirically documented by a growing body of interdisciplinary research. What has not yet been adequately theorized is the compound effect of this architecture on the behavioral and psychological conditions that democratic self-governance requires — and specifically on the mechanisms by which those conditions are transmitted from one generation to the next.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paper makes three connected arguments. First, that data capitalism produces a specific identity condition — which we term the dual glass citizen — in which individuals maintain two parallel versions of themselves: a managed representative for the observed layer of digital life, and an authentic self compressed into increasingly protected private channels. Second, that this condition systematically degrades the functional prerequisites of democratic governance without abolishing any formal democratic institution. Third, that the generational transmission of substantive democratic expectation is failing, and that this failure may be approaching a threshold beyond which structural recovery becomes very difficult — because the generation currently forming its political identity lacks the lived reference point that makes authentic democratic expectation possible.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paper is organized as follows. Section II examines the informational architecture of data capitalism and its structural asymmetry. Section III develops the dual glass citizen concept and its empirical foundations. Section IV traces how the five functional prerequisites of democracy are being degraded. Section V presents the generational transmission evidence and the cliff it describes. Section VI introduces a behavioral dynamics framework that explains mechanisms existing research frameworks have not been designed to measure. Section VII proposes testable predictions and a research agenda. Section VIII concludes.</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II. The One-Way Mirror: Data Capitalism's Structural Asymmetry</w:t>
      </w:r>
    </w:p>
    <w:p>
      <w:pPr>
        <w:pStyle w:val="Heading2"/>
        <w:spacing w:after="160" w:before="360"/>
      </w:pPr>
      <w:r>
        <w:rPr>
          <w:rFonts w:ascii="Georgia" w:cs="Georgia" w:eastAsia="Georgia" w:hAnsi="Georgia"/>
          <w:b/>
          <w:bCs/>
          <w:color w:val="2E5F8A"/>
          <w:sz w:val="26"/>
          <w:szCs w:val="26"/>
        </w:rPr>
        <w:t xml:space="preserve">2.1 What Surveillance Capitalism Actually Is</w:t>
      </w:r>
    </w:p>
    <w:p>
      <w:pPr>
        <w:spacing w:after="120" w:before="120" w:line="360"/>
        <w:jc w:val="both"/>
      </w:pPr>
      <w:r>
        <w:rPr>
          <w:rFonts w:ascii="Calibri" w:cs="Calibri" w:eastAsia="Calibri" w:hAnsi="Calibri"/>
          <w:b w:val="false"/>
          <w:bCs w:val="false"/>
          <w:i w:val="false"/>
          <w:iCs w:val="false"/>
          <w:color w:val="000000"/>
          <w:sz w:val="22"/>
          <w:szCs w:val="22"/>
        </w:rPr>
        <w:t xml:space="preserve">The term surveillance capitalism, introduced by Zuboff (2015, 2019), describes an economic logic in which human behavioral data is the primary raw material for predicting and modifying behavior at scale. As Zuboff frames it, the system operates through the extraction of behavioral surplus — the data generated by human activity that exceeds what is needed for service improvement — which is then processed into prediction products sold to advertisers, political actors, and other buyers of behavioral futures.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defining structural feature of this architecture is informational asymmetry. A growing body of empirical research confirms what Zuboff theorizes: entities that surveil actively conceal their data collection practices to maintain asymmetrical access to information, because that asymmetry is essential for the model to function (Landwehr et al., 2023). The value of behavioral data derives entirely from the fact that the person it describes cannot see it, contest it, or protect themselves from its use.</w:t>
      </w:r>
    </w:p>
    <w:p>
      <w:pPr>
        <w:spacing w:after="0" w:before="80"/>
      </w:pPr>
      <w:r>
        <w:t xml:space="preserve"/>
      </w:r>
    </w:p>
    <w:p>
      <w:pPr>
        <w:pBdr>
          <w:left w:val="single" w:color="2E5F8A" w:sz="12" w:space="12"/>
        </w:pBdr>
        <w:spacing w:after="200" w:before="200" w:line="360"/>
        <w:ind w:left="720" w:right="720"/>
        <w:jc w:val="both"/>
      </w:pPr>
      <w:r>
        <w:rPr>
          <w:rFonts w:ascii="Georgia" w:cs="Georgia" w:eastAsia="Georgia" w:hAnsi="Georgia"/>
          <w:i/>
          <w:iCs/>
          <w:color w:val="2C5282"/>
          <w:sz w:val="22"/>
          <w:szCs w:val="22"/>
        </w:rPr>
        <w:t xml:space="preserve">"Surveillance capitalism owns and operates our global information and communication spaces, creating dangerous conditions that no democracy can survive."</w:t>
      </w:r>
      <w:r>
        <w:rPr>
          <w:rFonts w:ascii="Calibri" w:cs="Calibri" w:eastAsia="Calibri" w:hAnsi="Calibri"/>
          <w:color w:val="595959"/>
          <w:sz w:val="20"/>
          <w:szCs w:val="20"/>
        </w:rPr>
        <w:t xml:space="preserve">  — Zuboff, Organization Theory, 2022</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is not a metaphor. It is a description of a structural power gradient. On one side of the mirror, institutions — corporations, data brokers, political actors, and increasingly governments — maintain comprehensive, real-time, high-resolution visibility into the behavioral life of citizens. On the other side, citizens have almost no visibility into what is being extracted, what is being inferred from it, who has purchased access to those inferences, or how they are being used to shape the choices citizens believe they are making freely.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Key Finding</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FTC and US Senate Commerce Committee have documented that data brokers enable precision-marketing to financially vulnerable individuals, with the Senate report specifically warning that data sold by some brokers 'is likely to appeal to companies that sell high-cost loans and other financially risky products' — confirming that the asymmetry produces measurable, targeted harm to the least protected populations (FTC, 2014; Senate Commerce Committee, 2013).</w:t>
            </w:r>
          </w:p>
        </w:tc>
      </w:tr>
    </w:tbl>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2.2 The Inference Layer: What They Know That You Don't Know About Yourself</w:t>
      </w:r>
    </w:p>
    <w:p>
      <w:pPr>
        <w:spacing w:after="120" w:before="120" w:line="360"/>
        <w:jc w:val="both"/>
      </w:pPr>
      <w:r>
        <w:rPr>
          <w:rFonts w:ascii="Calibri" w:cs="Calibri" w:eastAsia="Calibri" w:hAnsi="Calibri"/>
          <w:b w:val="false"/>
          <w:bCs w:val="false"/>
          <w:i w:val="false"/>
          <w:iCs w:val="false"/>
          <w:color w:val="000000"/>
          <w:sz w:val="22"/>
          <w:szCs w:val="22"/>
        </w:rPr>
        <w:t xml:space="preserve">Public understanding of what behavioral data reveals is systematically underestimated. The research literature on behavioral inference documents a gap between what people believe they are disclosing and what is actually being extracted.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Explicit disclosure — the things people type, post, and directly share — represents only the visible surface. Beneath it, the inference layer operates on behavioral residue: dwell time, scroll speed, micro-hesitations before clicking, linguistic patterns across posts, location pings, purchasing sequences, and the temporal structure of engagement. These signals are more diagnostically precise than explicit self-report because they are generated before conscious editing — they capture the sub-reflective, unguarded behavioral self.</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demonstrated capabilities of inference from behavioral residue include: predicting political alignment from consumer behavior before the individual has articulated a position; identifying depression from scroll patterns and linguistic markers; inferring pregnancy from purchasing sequences before family disclosure; and detecting health conditions from fitness data patterns that precede clinical diagnosis. These are not speculative capabilities — they are documented in peer-reviewed research (Kosinski et al., 2013; Schwartz et al., 2013; Duhigg, 2012).</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implication for democratic analysis is precise: the system does not need citizens to disclose their authentic preferences. It constructs them from patterns citizens are not conscious of producing. The glass citizen is transparent not because they choose transparency but because transparency has been structurally produced from the unguarded behavioral layer that precedes choice.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2.3 The Government-Commerce Convergence</w:t>
      </w:r>
    </w:p>
    <w:p>
      <w:pPr>
        <w:spacing w:after="120" w:before="120" w:line="360"/>
        <w:jc w:val="both"/>
      </w:pPr>
      <w:r>
        <w:rPr>
          <w:rFonts w:ascii="Calibri" w:cs="Calibri" w:eastAsia="Calibri" w:hAnsi="Calibri"/>
          <w:b w:val="false"/>
          <w:bCs w:val="false"/>
          <w:i w:val="false"/>
          <w:iCs w:val="false"/>
          <w:color w:val="000000"/>
          <w:sz w:val="22"/>
          <w:szCs w:val="22"/>
        </w:rPr>
        <w:t xml:space="preserve">The distinction between commercial surveillance and state surveillance, already blurred by data broker markets accessible to governmental agencies, is collapsing further under AI-enabled analytical capabilities. Since at least 2010, as Zuboff (2022) documents, Western democracies have been 'compromised and ambivalent, torn between the digital seductions of surveillance-enabled social control and the rights-based principles of liberal democracy.'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ambivalence has produced a specific institutional pattern: governments build or acquire the surveillance infrastructure nominally for security purposes, while commercial data flows into governmental analytical systems through purchase, partnership, or legal compulsion. The citizen's behavioral profile, generated in commercial contexts through voluntary platform use, becomes accessible to state actors through mechanisms that carry no notification and produce no observable change in the citizen's environment.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consequence for democratic analysis is that the informational asymmetry is not purely commercial. It is simultaneously commercial, governmental, and political — because the same data infrastructure that serves advertising also serves political targeting, and the same targeting infrastructure that serves commercial interests also serves state intelligence functions. The one-way mirror is not maintained by a single actor. It is maintained by the structural alignment of institutional interests across commercial, political, and governmental domains.</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III. The Dual Glass Citizen: Identity Under Permanent Observation</w:t>
      </w:r>
    </w:p>
    <w:p>
      <w:pPr>
        <w:pStyle w:val="Heading2"/>
        <w:spacing w:after="160" w:before="360"/>
      </w:pPr>
      <w:r>
        <w:rPr>
          <w:rFonts w:ascii="Georgia" w:cs="Georgia" w:eastAsia="Georgia" w:hAnsi="Georgia"/>
          <w:b/>
          <w:bCs/>
          <w:color w:val="2E5F8A"/>
          <w:sz w:val="26"/>
          <w:szCs w:val="26"/>
        </w:rPr>
        <w:t xml:space="preserve">3.1 The Concept and Its Foundations</w:t>
      </w:r>
    </w:p>
    <w:p>
      <w:pPr>
        <w:spacing w:after="120" w:before="120" w:line="360"/>
        <w:jc w:val="both"/>
      </w:pPr>
      <w:r>
        <w:rPr>
          <w:rFonts w:ascii="Calibri" w:cs="Calibri" w:eastAsia="Calibri" w:hAnsi="Calibri"/>
          <w:b w:val="false"/>
          <w:bCs w:val="false"/>
          <w:i w:val="false"/>
          <w:iCs w:val="false"/>
          <w:color w:val="000000"/>
          <w:sz w:val="22"/>
          <w:szCs w:val="22"/>
        </w:rPr>
        <w:t xml:space="preserve">When human beings discover they are being observed, they adapt. This is one of the most robust findings in social psychology, documented from Bentham's Panopticon concept through Foucault's theoretical elaboration to contemporary empirical research on surveillance and behavior. What is less studied is what happens when the observation is permanent, comprehensive, commercially operated, and inescapable without exit from digital participation itself.</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answer, observable across multiple contexts and empirical literatures, is identity splitting. Under sustained observation pressure, people develop and maintain two parallel versions of themselves: a managed public identity calibrated for the observed environment, and an authentic private self that persists in channels perceived as less monitored.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We term this condition the dual glass citizen. The glass refers to the one-way transparency of the observation architecture — the citizen is glass to the institutional observer while the institution remains opaque. The dual refers to the identity response this produces: the deliberate construction and maintenance of a representative self for the observation layer, alongside the preservation of a different, more authentic self in protected channels.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3.2 The Empirical Evidence for Identity Splitting</w:t>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concept draws on several independent bodies of empirical research that have documented the component dynamics without yet synthesizing them into a unified account of their democratic significance.</w:t>
      </w:r>
    </w:p>
    <w:p>
      <w:pPr>
        <w:spacing w:after="0" w:before="80"/>
      </w:pPr>
      <w:r>
        <w:t xml:space="preserve"/>
      </w:r>
    </w:p>
    <w:p>
      <w:pPr>
        <w:pStyle w:val="Heading3"/>
        <w:spacing w:after="120" w:before="280"/>
      </w:pPr>
      <w:r>
        <w:rPr>
          <w:rFonts w:ascii="Calibri" w:cs="Calibri" w:eastAsia="Calibri" w:hAnsi="Calibri"/>
          <w:b/>
          <w:bCs/>
          <w:color w:val="595959"/>
          <w:sz w:val="24"/>
          <w:szCs w:val="24"/>
        </w:rPr>
        <w:t xml:space="preserve">Chilling Effects Research</w:t>
      </w:r>
    </w:p>
    <w:p>
      <w:pPr>
        <w:spacing w:after="120" w:before="120" w:line="360"/>
        <w:jc w:val="both"/>
      </w:pPr>
      <w:r>
        <w:rPr>
          <w:rFonts w:ascii="Calibri" w:cs="Calibri" w:eastAsia="Calibri" w:hAnsi="Calibri"/>
          <w:b w:val="false"/>
          <w:bCs w:val="false"/>
          <w:i w:val="false"/>
          <w:iCs w:val="false"/>
          <w:color w:val="000000"/>
          <w:sz w:val="22"/>
          <w:szCs w:val="22"/>
        </w:rPr>
        <w:t xml:space="preserve">The most directly relevant empirical stream is the chilling effects literature, which documents behavioral modification under surveillance. Jon Penney's Wikipedia study (2016) provided the first large-scale empirical evidence, documenting an immediate and measurable decline in searches for sensitive political topics following the 2013 Snowden revelations — a change in behavior driven not by explicit prohibition but by the awareness that observation was occurring.</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A 2024 study by Murray, Fussey, and colleagues in the Journal of Human Rights Practice, drawing on qualitative research in Uganda and Zimbabwe, found that surveillance prompted three consistent responses across different political contexts: self-censorship, unwillingness to engage with monitored individuals or organizations, and erosion of trust that impaired the ability to organize and mobilize politically. The authors note that 'the empirical evidence suggests that the impact of surveillance extends beyond the right to privacy, and directly engages the rights to freedom of expression and assembly' — the two conditions most directly required for democratic participation.</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Büchi, Festic, and Latzer (2022) provide a theoretical model for commercial dataveillance specifically, defining chilling effects as 'the self-inhibition of legitimate behaviors' resulting from the sense of being monitored in everyday digital communication. Their research confirms that dataveillance — the automated, continuous, and unspecific collection of digital traces — produces behavioral modification across activities ranging from political expression to information seeking.</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A critical qualification is necessary. Some scholars — notably Sklansky at Stanford Law and Kendrick at UVA — maintain that the empirical evidence for chilling effects remains limited and that demonstrating self-censorship requires showing a counterfactual: that a person would have acted differently without the surveillance awareness. This methodological critique is valid and the literature acknowledges it. The chilling effects claim is supported but not definitively proven at scale in democratic commercial contexts. Section VI returns to why this gap exists and what it tells us about measurement.</w:t>
      </w:r>
    </w:p>
    <w:p>
      <w:pPr>
        <w:spacing w:after="0" w:before="160"/>
      </w:pPr>
      <w:r>
        <w:t xml:space="preserve"/>
      </w:r>
    </w:p>
    <w:p>
      <w:pPr>
        <w:pStyle w:val="Heading3"/>
        <w:spacing w:after="120" w:before="280"/>
      </w:pPr>
      <w:r>
        <w:rPr>
          <w:rFonts w:ascii="Calibri" w:cs="Calibri" w:eastAsia="Calibri" w:hAnsi="Calibri"/>
          <w:b/>
          <w:bCs/>
          <w:color w:val="595959"/>
          <w:sz w:val="24"/>
          <w:szCs w:val="24"/>
        </w:rPr>
        <w:t xml:space="preserve">The Online/Offline Identity Literature</w:t>
      </w:r>
    </w:p>
    <w:p>
      <w:pPr>
        <w:spacing w:after="120" w:before="120" w:line="360"/>
        <w:jc w:val="both"/>
      </w:pPr>
      <w:r>
        <w:rPr>
          <w:rFonts w:ascii="Calibri" w:cs="Calibri" w:eastAsia="Calibri" w:hAnsi="Calibri"/>
          <w:b w:val="false"/>
          <w:bCs w:val="false"/>
          <w:i w:val="false"/>
          <w:iCs w:val="false"/>
          <w:color w:val="000000"/>
          <w:sz w:val="22"/>
          <w:szCs w:val="22"/>
        </w:rPr>
        <w:t xml:space="preserve">A parallel literature on online and offline identity provides complementary evidence. Research by Qin and Lowe (2021) on Chinese university students documented multiple distinct online identity modes that users maintain to satisfy different needs — confirming the multi-identity adaptation at the individual level. A 2024 study in Frontiers in Psychology on behavioral processes in online identity documented the systematic divergence between online self-presentation and offline authentic identity, finding that this divergence 'progressively evolves into platform dis-identification' in Chinese digital users, with 95% of Chinese internet users having taken deliberate action to modulate their platform presence.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A Frontiers in Psychology (2021) literature review on online identity reconstruction confirms that 'online contexts provide opportunities for identity experiment' and that the divergence between online and offline identity is not simply performative but can involve genuine identity exploration and, under observation pressure, genuine identity concealment. Critically, the review notes that young people 'tend to feel that there is less adult supervision online, which enables them to experiment with new values' — a dynamic that changes fundamentally when the assumption of reduced online surveillance is corrected.</w:t>
      </w:r>
    </w:p>
    <w:p>
      <w:pPr>
        <w:spacing w:after="0" w:before="160"/>
      </w:pPr>
      <w:r>
        <w:t xml:space="preserve"/>
      </w:r>
    </w:p>
    <w:p>
      <w:pPr>
        <w:pStyle w:val="Heading3"/>
        <w:spacing w:after="120" w:before="280"/>
      </w:pPr>
      <w:r>
        <w:rPr>
          <w:rFonts w:ascii="Calibri" w:cs="Calibri" w:eastAsia="Calibri" w:hAnsi="Calibri"/>
          <w:b/>
          <w:bCs/>
          <w:color w:val="595959"/>
          <w:sz w:val="24"/>
          <w:szCs w:val="24"/>
        </w:rPr>
        <w:t xml:space="preserve">The Chinese Case: A Template at Scale</w:t>
      </w:r>
    </w:p>
    <w:p>
      <w:pPr>
        <w:spacing w:after="120" w:before="120" w:line="360"/>
        <w:jc w:val="both"/>
      </w:pPr>
      <w:r>
        <w:rPr>
          <w:rFonts w:ascii="Calibri" w:cs="Calibri" w:eastAsia="Calibri" w:hAnsi="Calibri"/>
          <w:b w:val="false"/>
          <w:bCs w:val="false"/>
          <w:i w:val="false"/>
          <w:iCs w:val="false"/>
          <w:color w:val="000000"/>
          <w:sz w:val="22"/>
          <w:szCs w:val="22"/>
        </w:rPr>
        <w:t xml:space="preserve">China provides the most developed real-world instance of what the dual glass citizen condition produces when pushed to its logical conclusion under comprehensive state surveillance. Chinese citizens under sustained monitoring have not simply complied. They have developed an elaborate dual-identity architecture: a managed 'sunshine version' of themselves for surveilled platforms, combined with a sophisticated vocabulary of coded communication — homophones, meme-based indirection, oblique cultural reference — for channels perceived as less monitored.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Zuboff (2022) documents that 'the Chinese state evolved a highly intentional theory and practice of digital design and deployment that advances its domestic systems of authoritarian rule,' noting that Western democracies have been 'compromised and ambivalent' in the face of this model. The significance of the Chinese case for democratic theory is not primarily the authoritarianism — it is the behavioral adaptation it has produced, because that adaptation represents the advanced, culturally transmitted form of the identity management that commercial surveillance is producing in democratic contexts in a less conscious, less skilled, but structurally identical 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Research Gap</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dual glass citizen as a specifically democratic participation mechanism in Western commercial surveillance contexts has not been directly studied. The component literatures — chilling effects, online/offline identity splits, preference falsification — exist as separate research streams without a unifying account of their compound effect on democratic functioning. This is the primary theoretical contribution of the present framework.</w:t>
            </w:r>
          </w:p>
        </w:tc>
      </w:tr>
    </w:tbl>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3.3 The Representative and the Authentic Self</w:t>
      </w:r>
    </w:p>
    <w:p>
      <w:pPr>
        <w:spacing w:after="120" w:before="120" w:line="360"/>
        <w:jc w:val="both"/>
      </w:pPr>
      <w:r>
        <w:rPr>
          <w:rFonts w:ascii="Calibri" w:cs="Calibri" w:eastAsia="Calibri" w:hAnsi="Calibri"/>
          <w:b w:val="false"/>
          <w:bCs w:val="false"/>
          <w:i w:val="false"/>
          <w:iCs w:val="false"/>
          <w:color w:val="000000"/>
          <w:sz w:val="22"/>
          <w:szCs w:val="22"/>
        </w:rPr>
        <w:t xml:space="preserve">In the dual glass citizen condition, the managed public identity — what we call the representative — is not simply a censored version of the authentic self. It is an actively constructed alternative that has its own internal consistency, its own stable behavioral history, and its own social life. It performs appropriate loyalties, participates in permitted cultural forms, and produces a coherent, non-threatening, readable profile for the observation layer.</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authentic self persists in a tiered architecture of protected channels. Outer channels — surveilled platforms, professional communications, public social media — host the representative. Intermediate channels — private messaging groups, trusted social networks, conversations perceived as less monitored — allow more authentic expression, often through indirection and coding. Inner channels — face-to-face conversation, truly private reflection — retain the most authentic content precisely because they generate no extractable digital signal.</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political consequence of this architecture is precise and serious: democratic participation systems aggregate the representative, not the authentic self. When citizens engage politically — through expressed opinions, public discourse, the signals that shape political culture, and ultimately the ballot — they do so predominantly from the outer layer of the dual identity. The preference aggregation mechanisms of democracy are receiving input from the managed public identity, systematically misaligned with the actual distribution of citizen desire.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is not the same as lying or strategic misrepresentation. It is the structural output of a behavioral adaptation that has become, for many people in many contexts, pre-reflective and automatic. The representative is not performed consciously as a deception. It is expressed habitually, through patterns of engagement that have been conditioned by years of platform interaction under ambient surveillance awareness. The person is not choosing to deceive — they are navigating an environment that has been engineered to produce this particular navigation pattern.</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IV. Five Conditions Democracy Cannot Function Without — and How Each Is Being Degraded</w:t>
      </w:r>
    </w:p>
    <w:p>
      <w:pPr>
        <w:spacing w:after="120" w:before="120" w:line="360"/>
        <w:jc w:val="both"/>
      </w:pPr>
      <w:r>
        <w:rPr>
          <w:rFonts w:ascii="Calibri" w:cs="Calibri" w:eastAsia="Calibri" w:hAnsi="Calibri"/>
          <w:b w:val="false"/>
          <w:bCs w:val="false"/>
          <w:i w:val="false"/>
          <w:iCs w:val="false"/>
          <w:color w:val="000000"/>
          <w:sz w:val="22"/>
          <w:szCs w:val="22"/>
        </w:rPr>
        <w:t xml:space="preserve">Democratic self-governance is not simply a system of elections and institutions. It requires a chain of functional conditions, each dependent on the previous, that connect authentic citizen preference to governance decision. The formal structures of democracy — constitutions, elections, rights language, institutional procedures — can remain entirely intact while this functional chain is severed at multiple points simultaneously.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We identify five conditions, drawing on the democratic theory literature from Dahl (1989) through deliberative democracy accounts (Habermas, 1996; Fishkin, 2011) through contemporary surveillance and democracy scholarship (Zuboff, 2019; Lyon, 2017):</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Condition 1: An Informed Citizenry</w:t>
      </w:r>
    </w:p>
    <w:p>
      <w:pPr>
        <w:spacing w:after="120" w:before="120" w:line="360"/>
        <w:jc w:val="both"/>
      </w:pPr>
      <w:r>
        <w:rPr>
          <w:rFonts w:ascii="Calibri" w:cs="Calibri" w:eastAsia="Calibri" w:hAnsi="Calibri"/>
          <w:b w:val="false"/>
          <w:bCs w:val="false"/>
          <w:i w:val="false"/>
          <w:iCs w:val="false"/>
          <w:color w:val="000000"/>
          <w:sz w:val="22"/>
          <w:szCs w:val="22"/>
        </w:rPr>
        <w:t xml:space="preserve">Citizens must have access to accurate, diverse information about the world and the choices before them. Without this, preferences are formed in ignorance or in deliberately manufactured confusion.</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data capitalism architecture degrades this condition through the engineering of the information environment. The 2023 Meta/Science studies — a major collaboration between Princeton, Dartmouth, the University of Texas, and Meta researchers, studying 20,000 Facebook and Instagram users during the 2020 US election — produced a finding that has been widely misread. The studies found that replacing algorithmic feeds with chronological ones substantially changed what content users saw — more political content, more from untrustworthy sources, but also more from moderate and ideologically mixed accounts — yet did not produce measurable changes in conscious political attitudes over the three-month study period.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Meta's communications team used this finding to argue that algorithms do not cause political polarization. Critics have challenged the study's validity, noting that Meta introduced 63 'break-glass' emergency modifications to the experimental control condition — changes not disclosed in the original publications — making the null result difficult to interpret.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Both camps in this debate, however, share an assumption: that the relevant outcome variable is conscious political attitude change, measurable by survey. Section VI of this paper argues that the mechanism of algorithmic influence on democratic conditions operates at a different level than conscious attitude — the level of conditioned behavioral habits, emotional reactivity patterns, and information-seeking dispositions — and that measuring it through conscious attitude surveys is structurally inadequate regardless of the study's validity. The null result, if valid, tells us that three months of feed manipulation does not produce conscious attitude change. It tells us nothing about whether years of algorithmic engagement have shaped the deeper behavioral and emotional substrate from which political attitudes eventually emerge.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Condition 2: Authentic Preference Formation</w:t>
      </w:r>
    </w:p>
    <w:p>
      <w:pPr>
        <w:spacing w:after="120" w:before="120" w:line="360"/>
        <w:jc w:val="both"/>
      </w:pPr>
      <w:r>
        <w:rPr>
          <w:rFonts w:ascii="Calibri" w:cs="Calibri" w:eastAsia="Calibri" w:hAnsi="Calibri"/>
          <w:b w:val="false"/>
          <w:bCs w:val="false"/>
          <w:i w:val="false"/>
          <w:iCs w:val="false"/>
          <w:color w:val="000000"/>
          <w:sz w:val="22"/>
          <w:szCs w:val="22"/>
        </w:rPr>
        <w:t xml:space="preserve">Citizens must be able to form preferences that reflect their actual interests, values, and judgments — not preferences engineered by a system that knows their psychological vulnerabilities better than they do.</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condition directly degrades this condition through a mechanism that preference falsification theory (Kuran, 1995) partially captures but does not fully describe. Kuran's theory shows that widespread privately-held preferences can differ dramatically from publicly expressed ones under social pressure, and that this gap produces systemic distortions in political outcomes while making the system appear stable — until it suddenly isn't, as preference falsification collapses in cascade events.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Recent empirical work has validated the preference falsification mechanism in specific contexts: a 2022 list experiment in Russia estimated that 10-20% of respondents concealed opposition to the Ukraine invasion, with falsification rates higher among those exposed to state media. Polling discrepancies around Brexit, where nonrespondents leaned Leave by margins exceeding 10%, provide evidence in a democratic context.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framework identifies a structurally distinct form of preference falsification that operates in commercial surveillance contexts. Unlike the authoritarian form, where falsification is driven by explicit coercion and concentrated around politically sensitive topics, commercial surveillance falsification is driven by diffuse economic and social cost structures — employment screening, social reputation, algorithmic amplification of conforming views — and operates across a much broader range of authentic preferences. The scope is wider; the intensity per topic is lower; the aggregate effect on preference aggregation may be comparable.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Critical Distinction</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Authoritarian preference falsification: intense, narrow, explicitly coerced, concentrated in political dissidents. Commercial surveillance falsification: diffuse, wide, economically and socially incentivized, operating across the general population in domains ranging from political opinion to consumer choice to personal identity expression. The second form is less visible to conventional measurement instruments precisely because no single threshold of explicit coercion is crossed.</w:t>
            </w:r>
          </w:p>
        </w:tc>
      </w:tr>
    </w:tbl>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Condition 3: Free Expression and Aggregation</w:t>
      </w:r>
    </w:p>
    <w:p>
      <w:pPr>
        <w:spacing w:after="120" w:before="120" w:line="360"/>
        <w:jc w:val="both"/>
      </w:pPr>
      <w:r>
        <w:rPr>
          <w:rFonts w:ascii="Calibri" w:cs="Calibri" w:eastAsia="Calibri" w:hAnsi="Calibri"/>
          <w:b w:val="false"/>
          <w:bCs w:val="false"/>
          <w:i w:val="false"/>
          <w:iCs w:val="false"/>
          <w:color w:val="000000"/>
          <w:sz w:val="22"/>
          <w:szCs w:val="22"/>
        </w:rPr>
        <w:t xml:space="preserve">Citizens must be able to express authentic preferences and those expressions must be capable of aggregating into political will — into movements, parties, candidates, and policies that reflect what the actual population actually wants.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condition degrades this condition through what we call the preference falsification layer — the gap between what people publicly express (the representative) and what they privately hold (the authentic self). When this gap is widespread, the aggregation mechanisms of democracy — polls, political discourse, expressed public opinion — receive systematically misaligned input. The political will that forms and expresses itself is partially synthetic: it is the aggregated representative, not the aggregated authentic self.</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threshold model literature (Granovetter, 1978; Janas, Nikiforakis, and Siegenthaler, 2024) provides the formal account of what this means for collective action. If the private distribution of preferences differs substantially from the public distribution, the cascade conditions for norm change are distorted — actors looking at expressed preferences to calibrate when their own threshold for action has been met are looking at a falsified signal. They wait for a number of visible defectors that would already exist if authentic preferences were visible. The Weinstein case illustrates the dynamic in reverse: the cascade did not require new private information. It required the private distribution — already widely held — to become publicly visible.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Condition 4: Accountable Governance</w:t>
      </w:r>
    </w:p>
    <w:p>
      <w:pPr>
        <w:spacing w:after="120" w:before="120" w:line="360"/>
        <w:jc w:val="both"/>
      </w:pPr>
      <w:r>
        <w:rPr>
          <w:rFonts w:ascii="Calibri" w:cs="Calibri" w:eastAsia="Calibri" w:hAnsi="Calibri"/>
          <w:b w:val="false"/>
          <w:bCs w:val="false"/>
          <w:i w:val="false"/>
          <w:iCs w:val="false"/>
          <w:color w:val="000000"/>
          <w:sz w:val="22"/>
          <w:szCs w:val="22"/>
        </w:rPr>
        <w:t xml:space="preserve">The people elected or appointed to govern must be genuinely responsive to the expressed preferences of the population and constrainable by democratic mechanisms when they deviate from those preferences.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condition requires citizens to be able to see what government is doing — a condition that is structurally symmetrical to the problem we have been analyzing. Citizens must be observable to each other and to themselves as a collective; government must be observable to citizens. Data capitalism inverts this relationship: citizens are comprehensively observable to institutions while institutions remain structurally opaque to citizens.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governance-preference gap — the distance between what citizens actually prefer and what governance decisions actually produce — is the measurable signature of this accountability failure. It is distinct from corruption or bad faith. It can widen through the structural operation of legal, commercially motivated systems that shape the information environment through which preferences are formed, the channels through which preferences are expressed, and the mechanisms through which expressed preferences reach decision-makers.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Condition 5: Course Correction</w:t>
      </w:r>
    </w:p>
    <w:p>
      <w:pPr>
        <w:spacing w:after="120" w:before="120" w:line="360"/>
        <w:jc w:val="both"/>
      </w:pPr>
      <w:r>
        <w:rPr>
          <w:rFonts w:ascii="Calibri" w:cs="Calibri" w:eastAsia="Calibri" w:hAnsi="Calibri"/>
          <w:b w:val="false"/>
          <w:bCs w:val="false"/>
          <w:i w:val="false"/>
          <w:iCs w:val="false"/>
          <w:color w:val="000000"/>
          <w:sz w:val="22"/>
          <w:szCs w:val="22"/>
        </w:rPr>
        <w:t xml:space="preserve">When the system produces outcomes citizens find intolerable, mechanisms must exist for meaningful correction — through elections, legal challenge, civil society pressure, and legitimate dissent that produces change.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data capitalism infrastructure degrades this condition by making the identification, organization, and expression of political opposition available to preemptive monitoring and management. The same targeting infrastructure that serves commercial advertising can identify emerging political opposition, map its social network topology, predict its cascade potential, and apply preemptive counter-pressure before it crosses the threshold at which it would organize into meaningful political force.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is not speculative. The infrastructure exists and its commercial applications are documented. Its political applications by state actors — in various forms across multiple democratic and semi-democratic contexts — are documented in the political interference literature (Bradshaw and Howard, 2019; Deibert, 2019). The novel contribution of the dual glass citizen framework is to show that this threat does not require active governmental deployment: the commercial architecture, operating in its normal mode, already produces the conditions — preference falsification, identity splitting, diffuse chilling effects, managed public expression — that preemptively limit the formation of course-correcting political pressure.</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V. The Hollowed Ladder: When the Vote Becomes the Only Rung</w:t>
      </w:r>
    </w:p>
    <w:p>
      <w:pPr>
        <w:spacing w:after="120" w:before="120" w:line="360"/>
        <w:jc w:val="both"/>
      </w:pPr>
      <w:r>
        <w:rPr>
          <w:rFonts w:ascii="Calibri" w:cs="Calibri" w:eastAsia="Calibri" w:hAnsi="Calibri"/>
          <w:b w:val="false"/>
          <w:bCs w:val="false"/>
          <w:i w:val="false"/>
          <w:iCs w:val="false"/>
          <w:color w:val="000000"/>
          <w:sz w:val="22"/>
          <w:szCs w:val="22"/>
        </w:rPr>
        <w:t xml:space="preserve">Democratic participation was never intended to consist solely of periodic elections. The historical and theoretical literature on democracy from Tocqueville through Dewey through Habermas identifies a thick ecology of democratic practice: participatory local governance, deliberative civil society, independent media that creates shared information environments, civil associations that build collective capacity, and institutional mechanisms for accountability between elections.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ecology has been thinned by economic forces that preceded data capitalism — the defunding of local journalism, the weakening of civil society organizations, the increasing professionalization and centralization of governance — and accelerated by it. What remains at the base of a ladder whose other rungs have been progressively removed is the vote: the single periodic formal act of democratic participation that has survived the thinning process.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psychological consequence is overloading. Because the vote is the only remaining rung, it carries the full symbolic weight of democratic identity — the moment at which citizens confirm to themselves that they are still sovereign, still the authors of their collective fate. This psychological necessity is the key to understanding why the formal apparatus of elections is preserved even as the substantive conditions of democratic self-governance are degraded. The vote performs a legitimating function for the institutional arrangement regardless of whether it reflects authentic, informed, freely formed preferences. It must be preserved precisely because it is the only remaining mechanism through which TL_illus — the official story about what kind of political system citizens inhabit — is maintained.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But the vote is now under pressure from the same infrastructure that has stripped everything else. When citizens bring to the ballot preferences formed within a precision-engineered information environment, expressed through a public identity that is the representative rather than the authentic self, and aggregated through mechanisms that receive the falsified public distribution rather than the authentic private one — what the vote counts is real. The count is accurate. The formal outcome is legitimate by every procedural criterion. But what has been counted bears only a partial resemblance to what a genuinely sovereign citizenry, deliberating under genuinely democratic conditions, would have chosen.</w:t>
      </w:r>
    </w:p>
    <w:p>
      <w:pPr>
        <w:spacing w:after="0" w:before="80"/>
      </w:pPr>
      <w:r>
        <w:t xml:space="preserve"/>
      </w:r>
    </w:p>
    <w:p>
      <w:pPr>
        <w:pBdr>
          <w:left w:val="single" w:color="2E5F8A" w:sz="12" w:space="12"/>
        </w:pBdr>
        <w:spacing w:after="200" w:before="200" w:line="360"/>
        <w:ind w:left="720" w:right="720"/>
        <w:jc w:val="both"/>
      </w:pPr>
      <w:r>
        <w:rPr>
          <w:rFonts w:ascii="Georgia" w:cs="Georgia" w:eastAsia="Georgia" w:hAnsi="Georgia"/>
          <w:i/>
          <w:iCs/>
          <w:color w:val="2C5282"/>
          <w:sz w:val="22"/>
          <w:szCs w:val="22"/>
        </w:rPr>
        <w:t xml:space="preserve">"Despite the general narrative that the world is in a period of democratic decline, there have been surprisingly few empirical studies that assess whether this is systematically true. Most existing studies of global backsliding are based largely if not entirely on subjective indicators that rely on expert coder judgment."</w:t>
      </w:r>
      <w:r>
        <w:rPr>
          <w:rFonts w:ascii="Calibri" w:cs="Calibri" w:eastAsia="Calibri" w:hAnsi="Calibri"/>
          <w:color w:val="595959"/>
          <w:sz w:val="20"/>
          <w:szCs w:val="20"/>
        </w:rPr>
        <w:t xml:space="preserve">  — Little and Meng, PS: Political Science &amp; Politics, 2024</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Little and Meng's controversial 2024 finding — that objective formal indicators such as incumbent electoral turnover show little evidence of global democratic decline over the past decade — is not a refutation of the hollowing argument. It is, precisely stated, evidence for it. The argument is that democratic substance is being evacuated while the formal shell is preserved. Indicators designed to measure the formal shell will register stability while the substance hollows. As critics of Little and Meng have demonstrated (Bergeron-Boutin et al., 2024; V-Dem scholars), their objective indicators 'can distinguish democracies from autocracies but are blind to variation in quality within democracies' — which is precisely the variation the hollowing argument concerns.</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VI. The Generational Cliff: When No One Remembers What Was Lost</w:t>
      </w:r>
    </w:p>
    <w:p>
      <w:pPr>
        <w:pStyle w:val="Heading2"/>
        <w:spacing w:after="160" w:before="360"/>
      </w:pPr>
      <w:r>
        <w:rPr>
          <w:rFonts w:ascii="Georgia" w:cs="Georgia" w:eastAsia="Georgia" w:hAnsi="Georgia"/>
          <w:b/>
          <w:bCs/>
          <w:color w:val="2E5F8A"/>
          <w:sz w:val="26"/>
          <w:szCs w:val="26"/>
        </w:rPr>
        <w:t xml:space="preserve">6.1 The Cambridge Evidence</w:t>
      </w:r>
    </w:p>
    <w:p>
      <w:pPr>
        <w:spacing w:after="120" w:before="120" w:line="360"/>
        <w:jc w:val="both"/>
      </w:pPr>
      <w:r>
        <w:rPr>
          <w:rFonts w:ascii="Calibri" w:cs="Calibri" w:eastAsia="Calibri" w:hAnsi="Calibri"/>
          <w:b w:val="false"/>
          <w:bCs w:val="false"/>
          <w:i w:val="false"/>
          <w:iCs w:val="false"/>
          <w:color w:val="000000"/>
          <w:sz w:val="22"/>
          <w:szCs w:val="22"/>
        </w:rPr>
        <w:t xml:space="preserve">The most significant empirical evidence for the generational dimension of this argument comes from the Cambridge Centre for the Future of Democracy's landmark dataset: nearly five million respondents across 160 countries surveyed between 1973 and 2020, combined with 18 additional survey sources and conducted by Roberto Foa and colleagues.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headline finding is striking: millennials represent 'the first generation in living memory to have a global majority who are dissatisfied with the way democracy works while in their twenties and thirties.' More important for the present argument is the methodological finding that distinguishes this from a life-cycle effect: 'each generational cohort is less satisfied with democracy than the prior cohort was at the same age in life. Contrary to the view that generational differences are merely a life-cycle effect — with people becoming less critical of democracy as they grow older — in fact, younger cohorts have become more dissatisfied as they have aged.'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Cambridge research identifies 'economic exclusion caused by high youth unemployment and wealth inequality' as the strongest predictor of the generational satisfaction gap in developed democracies — nations with flatter wealth distribution show smaller generational divides. This finding constitutes the most significant challenge to a pure surveillance capitalism account of democratic hollowing: economic exclusion predates and operates independently of data capitalism, and may be a more powerful driver of democratic dissatisfaction than the mechanisms this paper emphasizes.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framework takes this challenge seriously. Economic exclusion and surveillance capitalism are not competing explanations — they are compounding ones. Economic exclusion drives the initial dissatisfaction; the surveillance infrastructure shapes how that dissatisfaction is expressed (through the representative rather than the authentic self), whether it aggregates into political force (the preference falsification and chilling effects dynamics), and whether it transmits to the next generation as authentic democratic expectation or as normalized resignation.</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6.2 The Harvard Youth Poll and Current Trust Data</w:t>
      </w:r>
    </w:p>
    <w:p>
      <w:pPr>
        <w:spacing w:after="120" w:before="120" w:line="360"/>
        <w:jc w:val="both"/>
      </w:pPr>
      <w:r>
        <w:rPr>
          <w:rFonts w:ascii="Calibri" w:cs="Calibri" w:eastAsia="Calibri" w:hAnsi="Calibri"/>
          <w:b w:val="false"/>
          <w:bCs w:val="false"/>
          <w:i w:val="false"/>
          <w:iCs w:val="false"/>
          <w:color w:val="000000"/>
          <w:sz w:val="22"/>
          <w:szCs w:val="22"/>
        </w:rPr>
        <w:t xml:space="preserve">Current data confirms and extends the Cambridge trend. The 2025 Harvard Youth Poll — the 51st edition of one of the most consistently administered surveys of young Americans — found that only 13% of 18-29 year olds believe the country is headed in the right direction, with 'trust in institutions continuing to erode' and 'growing social fragmentation' as defining features of young American life. The poll explicitly identifies 'widespread fear of judgment in everyday political conversations' as a key finding — a result consistent with the preference falsification and chilling effects dynamics.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CIRCLE's 2025 data on youth institutional trust reveals a more nuanced picture: 'young people's lack of trust in institutions is one of the major challenges to maintaining or strengthening their connection to democracy,' but young people who voted in 2024 were more likely to trust institutions. This suggests a self-reinforcing dynamic: low trust reduces participation, reduced participation lowers the social proof signal for others, further reducing the sense that democratic action is meaningful.</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OECD's 2024 Survey on Drivers of Trust in Public Institutions, covering 30 countries with nearly 60,000 respondents, found that 'a higher share of people (44%) across OECD countries had low or no trust in the national government than high or moderately high trust (39%),' with younger people and those belonging to discriminated groups showing lowest trust levels — and noting that 'an information environment marked by an increasing amount of polarizing content and disinformation affects people's trust in public institutions.'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6.3 The Transmission Problem</w:t>
      </w:r>
    </w:p>
    <w:p>
      <w:pPr>
        <w:spacing w:after="120" w:before="120" w:line="360"/>
        <w:jc w:val="both"/>
      </w:pPr>
      <w:r>
        <w:rPr>
          <w:rFonts w:ascii="Calibri" w:cs="Calibri" w:eastAsia="Calibri" w:hAnsi="Calibri"/>
          <w:b w:val="false"/>
          <w:bCs w:val="false"/>
          <w:i w:val="false"/>
          <w:iCs w:val="false"/>
          <w:color w:val="000000"/>
          <w:sz w:val="22"/>
          <w:szCs w:val="22"/>
        </w:rPr>
        <w:t xml:space="preserve">The generational cliff the present framework identifies is not simply that young people are less satisfied with democracy. That finding, while significant, can be interpreted as evidence of high democratic standards (dissatisfied because the current system falls short of genuine values) as easily as low democratic expectations (dissatisfied because something genuinely important has been lost).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deeper problem is the transmission mechanism. Substantive democratic expectation — the lived understanding that democracy means more than elections, that sovereign citizenship requires protected interior space, authentic preference formation, and the genuine capacity to hold power accountable — does not transmit through information. It transmits through experience: through encountering moments of genuine democratic accountability, through participating in civil society that produces real effects, through exercising forms of political agency that feel consequential, through inheriting from the previous generation the lived story of what was and what is possible.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generation currently forming its political identity is doing so within the dual glass citizen architecture as native condition. For them, the algorithmic information environment is not a change from something different — it is the only information environment they have known. The managed public sphere, the filtered social media feed, the platform-determined visibility of ideas — these are not degradations of a previous condition. They are baseline reality. They have never experienced what political space felt like before ambient surveillance was the operating condition of digital life.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means they cannot form the reference point — the lived contrast — that makes authentic democratic expectation legible. Expectations are calibrated against what one has experienced, not against what theory says should be possible. A generation that has never experienced unmonitored political deliberation, civil society with genuine counter-power, or information environments that are not precision-engineered for engagement — this generation cannot miss these things. It cannot feel their absence as a loss. It evaluates democratic performance against a baseline from which those conditions have already been subtracted.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The Critical Question</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Is the rising generation dissatisfied with democracy because they hold high democratic values that current performance fails to meet — evidence of successful value transmission — or because their democratic expectations have been formed within the hollowed architecture and calibrated to it? The Cambridge data cannot distinguish these accounts. This distinction is the most important open empirical question in the generational transmission literature.</w:t>
            </w:r>
          </w:p>
        </w:tc>
      </w:tr>
    </w:tbl>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6.4 Gen Z's Political Character: Complicating the Narrative</w:t>
      </w:r>
    </w:p>
    <w:p>
      <w:pPr>
        <w:spacing w:after="120" w:before="120" w:line="360"/>
        <w:jc w:val="both"/>
      </w:pPr>
      <w:r>
        <w:rPr>
          <w:rFonts w:ascii="Calibri" w:cs="Calibri" w:eastAsia="Calibri" w:hAnsi="Calibri"/>
          <w:b w:val="false"/>
          <w:bCs w:val="false"/>
          <w:i w:val="false"/>
          <w:iCs w:val="false"/>
          <w:color w:val="000000"/>
          <w:sz w:val="22"/>
          <w:szCs w:val="22"/>
        </w:rPr>
        <w:t xml:space="preserve">The generational cliff argument must confront a significant complication: Gen Z is not politically passive. Research consistently documents high levels of political engagement, particularly around climate change, racial justice, and human rights — 'higher political engagement than previous generations at that age, influenced by the internet and social media, globalisation and digitalisation via which they participated in transnational mobilisations' (Global Youth Development data, 2024).</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complication is important and the framework takes it seriously. Gen Z's political engagement is real and significant. The argument is not that they are apathetic. It is that the form of their engagement is shaped by the architecture within which it occurs — primarily digital, primarily platform-mediated, primarily through the representative rather than through the protected inner channels where authentic democratic deliberation might develop. Digital mobilization without protected deliberative space may produce visible political performance while gradually eroding the substrate of authentic preference formation that sustainable democratic engagement requires.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Cambridge finding that 'millennials in advanced democracies are more likely to view political opponents as inherently morally flawed' and are 'more Manichaean' in their political views — more likely to see political beliefs as matters of certainty rather than ambiguity — is consistent with the dual glass citizen framework's prediction: when public political expression is performed rather than deliberated, it becomes more extreme and less nuanced, because performance optimizes for identity signaling rather than genuine engagement with complexity.</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VII. A Behavioral Dynamics Framework: Explaining What Existing Models Cannot</w:t>
      </w:r>
    </w:p>
    <w:p>
      <w:pPr>
        <w:spacing w:after="120" w:before="120" w:line="360"/>
        <w:jc w:val="both"/>
      </w:pPr>
      <w:r>
        <w:rPr>
          <w:rFonts w:ascii="Calibri" w:cs="Calibri" w:eastAsia="Calibri" w:hAnsi="Calibri"/>
          <w:b w:val="false"/>
          <w:bCs w:val="false"/>
          <w:i w:val="false"/>
          <w:iCs w:val="false"/>
          <w:color w:val="000000"/>
          <w:sz w:val="22"/>
          <w:szCs w:val="22"/>
        </w:rPr>
        <w:t xml:space="preserve">The research review conducted for this paper identified three systematic gaps in the empirical literature — domains where the existing evidence base is insufficient to confirm or disconfirm the present framework's claims, not because the data contradicts it but because the measurement approaches were not designed to detect the mechanisms in question. This section introduces a behavioral dynamics perspective that explains why these gaps exist and what research designs would fill them.</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7.1 Why Algorithmic Influence Is Invisible to Attitude Surveys</w:t>
      </w:r>
    </w:p>
    <w:p>
      <w:pPr>
        <w:spacing w:after="120" w:before="120" w:line="360"/>
        <w:jc w:val="both"/>
      </w:pPr>
      <w:r>
        <w:rPr>
          <w:rFonts w:ascii="Calibri" w:cs="Calibri" w:eastAsia="Calibri" w:hAnsi="Calibri"/>
          <w:b w:val="false"/>
          <w:bCs w:val="false"/>
          <w:i w:val="false"/>
          <w:iCs w:val="false"/>
          <w:color w:val="000000"/>
          <w:sz w:val="22"/>
          <w:szCs w:val="22"/>
        </w:rPr>
        <w:t xml:space="preserve">The Meta/Science studies' null result — that changing the algorithmic feed did not produce measurable attitude change over three months — is the strongest empirical challenge to the claim that algorithmic information environments shape democratic preferences. The challenge must be taken seriously.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behavioral dynamics framework resolves it by identifying a fundamental mismatch between the proposed mechanism and the measurement instrument. The claim is not that algorithms change conscious political attitudes through persuasive content. The claim is that sustained algorithmic engagement shapes the behavioral and emotional substrate from which political attitudes eventually emerge — the conditioned patterns of information-seeking, emotional reactivity, and social signaling that precede and organize conscious political thought.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sub-conscious mechanism operates on a different timescale (years, not months), through a different pathway (behavioral conditioning rather than content persuasion), and is not accessible to survey measurement of conscious attitudes. The Science studies found no conscious attitude change over three months. The behavioral dynamics prediction is: look for conditioned behavioral patterns — not beliefs, but habits of attention, patterns of engagement, emotional trigger profiles — and look over years, not months.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analogy to established behavioral science is direct. Decades of research on somatic conditioning (from Pavlov through contemporary behavioral neuroscience) confirm that conditioned responses develop through repeated pairing, operate below conscious awareness, and are highly resistant to conscious override — a smoker who consciously wants to quit finds their hand moving toward the cigarette automatically. Platform design that has optimized for engagement over years has produced, through the same conditioning mechanism, automatic engagement patterns that operate below the threshold of the conscious political attitudes that surveys measure.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reframes the research agenda: not attitude change surveys, but longitudinal behavioral tracking measuring information-seeking patterns, content production characteristics, and emotional reactivity indicators — correlated with algorithmic exposure profiles over 2-5 year windows.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7.2 Why Commercial Preference Falsification Has No Measurement Instrument</w:t>
      </w:r>
    </w:p>
    <w:p>
      <w:pPr>
        <w:spacing w:after="120" w:before="120" w:line="360"/>
        <w:jc w:val="both"/>
      </w:pPr>
      <w:r>
        <w:rPr>
          <w:rFonts w:ascii="Calibri" w:cs="Calibri" w:eastAsia="Calibri" w:hAnsi="Calibri"/>
          <w:b w:val="false"/>
          <w:bCs w:val="false"/>
          <w:i w:val="false"/>
          <w:iCs w:val="false"/>
          <w:color w:val="000000"/>
          <w:sz w:val="22"/>
          <w:szCs w:val="22"/>
        </w:rPr>
        <w:t xml:space="preserve">The preference falsification literature is robust in authoritarian contexts and thin in democratic commercial contexts. The behavioral dynamics framework explains this gap structurally.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Kuran's original theory identifies the cost structure of preference falsification: individuals falsify when the social cost of authentic expression exceeds the cost of conforming performance. In authoritarian contexts, this cost is primarily the threat of physical, legal, or economic reprisal by state actors — explicit, visible, attributable to a specific source. Measuring falsification in this context is challenging but tractable: the cost structure is clear enough to design sensitive questions that estimate the gap between expressed and authentic preferences.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In commercial surveillance contexts, the cost structure is categorically different. There is no single visible threat. There is instead a diffuse field of potential costs distributed across future contexts: employment screening that might use social media behavioral data; insurance pricing that might incorporate inferred health status; credit scoring that might reflect inferred financial behavior; algorithmic amplification that rewards conforming expression and suppresses non-conforming; social reputation effects in networks where employers, colleagues, and family share space. No individual cost is large enough to constitute a clear threshold. The aggregate cost is significant but cannot be pointed at.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means standard sensitive-question techniques — list experiments, randomized response, endorsement experiments — which are calibrated to visible discrete threats do not detect the diffuse distributed cost structure of commercial surveillance falsification. The measurement instrument has not been developed because the mechanism was not theorized.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behavioral dynamics framework generates a specific research design: measure preference falsification using platform-comparative methodology — eliciting the same preferences through channels with different perceived surveillance levels (face-to-face, anonymous digital survey, identified digital survey, public social media post) — and modeling the divergence across channels as a function of perceived surveillance intensity. The prediction: systematic convergence of preferences as perceived surveillance decreases, with the magnitude of convergence correlated with platform use intensity and digital footprint size.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7.3 Why Formal Institutional Indicators Miss Democratic Hollowing</w:t>
      </w:r>
    </w:p>
    <w:p>
      <w:pPr>
        <w:spacing w:after="120" w:before="120" w:line="360"/>
        <w:jc w:val="both"/>
      </w:pPr>
      <w:r>
        <w:rPr>
          <w:rFonts w:ascii="Calibri" w:cs="Calibri" w:eastAsia="Calibri" w:hAnsi="Calibri"/>
          <w:b w:val="false"/>
          <w:bCs w:val="false"/>
          <w:i w:val="false"/>
          <w:iCs w:val="false"/>
          <w:color w:val="000000"/>
          <w:sz w:val="22"/>
          <w:szCs w:val="22"/>
        </w:rPr>
        <w:t xml:space="preserve">The Little and Meng challenge — that objective formal indicators show little evidence of global democratic decline — is resolved by the same logic the critics have applied, but the behavioral dynamics framework provides the deeper theoretical account.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hollowing process is defined by the divergence between two things: the official story of what kind of political system citizens inhabit (what formal indicators measure) and the lived reality of what the system actually produces for citizen sovereignty (what formal indicators cannot measure). The formal indicators — elections held, incumbents losing, multiple parties competing — are designed to register the presence or absence of the shell. They are by design blind to the content within it.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behavioral dynamics framework generates a specific measurement instrument for the content divergence: the governance-preference gap index. This would measure the distance between aggregated citizen preferences, elicited through deliberative methods that bypass the representative layer (deliberative polls, citizens' assemblies, anonymous structured preference elicitation), and actual governance decisions across a range of policy domains. It would track this gap longitudinally alongside formal institutional indicators and satisfaction measures. A widening governance-preference gap with stable formal indicators and declining satisfaction is the empirical signature of democratic hollowing — the formal indicators remain high while the functional chain from authentic preference to governance decision degrades.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index does not yet exist as a systematic cross-national measurement instrument. Its development would constitute a significant methodological contribution to democratic theory.</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7.4 Why the Generational Transmission Mechanism Has No Measurement</w:t>
      </w:r>
    </w:p>
    <w:p>
      <w:pPr>
        <w:spacing w:after="120" w:before="120" w:line="360"/>
        <w:jc w:val="both"/>
      </w:pPr>
      <w:r>
        <w:rPr>
          <w:rFonts w:ascii="Calibri" w:cs="Calibri" w:eastAsia="Calibri" w:hAnsi="Calibri"/>
          <w:b w:val="false"/>
          <w:bCs w:val="false"/>
          <w:i w:val="false"/>
          <w:iCs w:val="false"/>
          <w:color w:val="000000"/>
          <w:sz w:val="22"/>
          <w:szCs w:val="22"/>
        </w:rPr>
        <w:t xml:space="preserve">The Cambridge data confirms that each successive cohort is more dissatisfied with democracy than the previous cohort was at the same age — but cannot tell us whether this reflects successful transmission of high democratic values or the formation of lower baseline expectations within a more degraded democratic environment.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behavioral dynamics framework identifies the measurement instrument this distinction requires: reference point elicitation. Rather than measuring satisfaction with democratic performance, this instrument would measure the standard against which satisfaction is assessed — the respondent's implicit model of what democracy should be, how much substantive participation it should afford, how much authentic preference-to-governance connectivity it should produce.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prediction of the generational transmission failure account: younger cohorts not only show lower satisfaction but show lower reference points — they evaluate democracy against a standard that has already incorporated the hollowing as a baseline condition. They are not disappointed that democracy fails to meet a high standard. They have formed expectations calibrated to the hollowed performance and are disappointed even by that.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is distinguishable from the high-standards account through systematic comparison of satisfaction-to-reference-point ratios across cohorts. If younger cohorts have lower satisfaction but proportionally lower reference points, the ratio is stable — consistent with the high-standards interpretation. If younger cohorts have lower satisfaction and disproportionately lower reference points, the ratio falls — consistent with the lowered-expectations/transmission failure interpretation. No existing survey instrument routinely measures democratic reference points alongside democratic satisfaction. Developing and deploying one would be the most direct empirical test of the generational transmission claim.</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VIII. Testable Predictions and Research Agenda</w:t>
      </w:r>
    </w:p>
    <w:p>
      <w:pPr>
        <w:spacing w:after="120" w:before="120" w:line="360"/>
        <w:jc w:val="both"/>
      </w:pPr>
      <w:r>
        <w:rPr>
          <w:rFonts w:ascii="Calibri" w:cs="Calibri" w:eastAsia="Calibri" w:hAnsi="Calibri"/>
          <w:b w:val="false"/>
          <w:bCs w:val="false"/>
          <w:i w:val="false"/>
          <w:iCs w:val="false"/>
          <w:color w:val="000000"/>
          <w:sz w:val="22"/>
          <w:szCs w:val="22"/>
        </w:rPr>
        <w:t xml:space="preserve">The behavioral dynamics framework advanced in this paper generates specific, falsifiable predictions that distinguish it from alternative accounts. The following are the primary predictions and their proposed research designs.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Prediction 1: Algorithmic Behavioral Conditioning</w:t>
      </w:r>
    </w:p>
    <w:p>
      <w:pPr>
        <w:spacing w:after="120" w:before="120" w:line="360"/>
        <w:jc w:val="both"/>
      </w:pPr>
      <w:r>
        <w:rPr>
          <w:rFonts w:ascii="Calibri" w:cs="Calibri" w:eastAsia="Calibri" w:hAnsi="Calibri"/>
          <w:b w:val="false"/>
          <w:bCs w:val="false"/>
          <w:i w:val="false"/>
          <w:iCs w:val="false"/>
          <w:color w:val="000000"/>
          <w:sz w:val="22"/>
          <w:szCs w:val="22"/>
        </w:rPr>
        <w:t xml:space="preserve">Platform engagement intensity (years of use, hours per day, breadth of platform integration) will correlate with conditioned behavioral indicators of political information-seeking — specifically, the narrowing of spontaneous information-seeking to within-identity-confirming sources, the speed and intensity of emotional reactivity to identity-threatening content, and the reduction in productive ambiguity tolerance on political questions — independent of and prior to any change in explicit conscious political attitudes.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Research design: Longitudinal behavioral tracking study (minimum 3 years) measuring implicit association tests for political content, eye-tracking studies of political information engagement, galvanic skin response patterns to political content, and political information-seeking behavior — correlated with platform use profiles and algorithmic exposure characteristics. Control for prior political attitudes, demographic variables, and economic circumstances.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Prediction 2: Channel-Divergent Preference Falsification</w:t>
      </w:r>
    </w:p>
    <w:p>
      <w:pPr>
        <w:spacing w:after="120" w:before="120" w:line="360"/>
        <w:jc w:val="both"/>
      </w:pPr>
      <w:r>
        <w:rPr>
          <w:rFonts w:ascii="Calibri" w:cs="Calibri" w:eastAsia="Calibri" w:hAnsi="Calibri"/>
          <w:b w:val="false"/>
          <w:bCs w:val="false"/>
          <w:i w:val="false"/>
          <w:iCs w:val="false"/>
          <w:color w:val="000000"/>
          <w:sz w:val="22"/>
          <w:szCs w:val="22"/>
        </w:rPr>
        <w:t xml:space="preserve">The same political and social preferences, elicited through channels with different perceived surveillance levels, will systematically diverge — with stated preferences moving toward socially desirable and institutionally conforming positions as perceived surveillance increases. The magnitude of divergence will correlate with platform use intensity, data footprint size, and employment or institutional contexts where behavioral data could produce adverse consequences.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Research design: Within-person experimental study eliciting preferences across four conditions — face-to-face with trusted interlocutor, anonymous digital survey, identified digital survey with institutional affiliation visible, public social media post — for a range of political topics varying in social sensitivity and institutional stakes. Compare divergence magnitude and direction across conditions and demographic/behavioral covariates.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Prediction 3: The Governance-Preference Gap</w:t>
      </w:r>
    </w:p>
    <w:p>
      <w:pPr>
        <w:spacing w:after="120" w:before="120" w:line="360"/>
        <w:jc w:val="both"/>
      </w:pPr>
      <w:r>
        <w:rPr>
          <w:rFonts w:ascii="Calibri" w:cs="Calibri" w:eastAsia="Calibri" w:hAnsi="Calibri"/>
          <w:b w:val="false"/>
          <w:bCs w:val="false"/>
          <w:i w:val="false"/>
          <w:iCs w:val="false"/>
          <w:color w:val="000000"/>
          <w:sz w:val="22"/>
          <w:szCs w:val="22"/>
        </w:rPr>
        <w:t xml:space="preserve">In democratic systems with higher commercial surveillance intensity, higher data broker market penetration, and lower data protection regulatory effectiveness, the gap between deliberatively elicited citizen preferences and actual governance decisions across a standard policy battery will be wider — controlling for economic inequality, polarization, institutional quality, and other established predictors of governance-preference distance.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Research design: Cross-national study in 15-20 democratic countries varying in surveillance infrastructure, regulatory environment, and institutional quality. Deploy deliberative mini-publics with representative samples to elicit authentic preferences on 10-15 policy questions. Compare deliberative preferences to regular polling results on the same questions and to actual governance decisions. Model the gap as a function of surveillance and regulatory variables.</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Prediction 4: Generational Reference Point Degradation</w:t>
      </w:r>
    </w:p>
    <w:p>
      <w:pPr>
        <w:spacing w:after="120" w:before="120" w:line="360"/>
        <w:jc w:val="both"/>
      </w:pPr>
      <w:r>
        <w:rPr>
          <w:rFonts w:ascii="Calibri" w:cs="Calibri" w:eastAsia="Calibri" w:hAnsi="Calibri"/>
          <w:b w:val="false"/>
          <w:bCs w:val="false"/>
          <w:i w:val="false"/>
          <w:iCs w:val="false"/>
          <w:color w:val="000000"/>
          <w:sz w:val="22"/>
          <w:szCs w:val="22"/>
        </w:rPr>
        <w:t xml:space="preserve">Younger cohorts in established democracies will show not only lower democratic satisfaction but lower democratic reference points — their implicit model of what democracy should provide will incorporate the hollowed performance as baseline. The satisfaction-to-reference-point ratio will decline across cohorts, with the steepest decline in countries with the longest duration of high-intensity commercial surveillance and the weakest data protection frameworks.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Research design: Survey incorporating both standard democratic satisfaction questions and reference point elicitation items (vignette-based scenarios eliciting what respondents consider adequate democratic performance on preference expression, institutional accountability, and course correction). Administer across age cohorts in 10-15 democratic countries. Track ratio of satisfaction to reference point across cohorts and correlate with country-level surveillance and regulatory variables.</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IX. Implications: What the Framework Requires</w:t>
      </w:r>
    </w:p>
    <w:p>
      <w:pPr>
        <w:pStyle w:val="Heading2"/>
        <w:spacing w:after="160" w:before="360"/>
      </w:pPr>
      <w:r>
        <w:rPr>
          <w:rFonts w:ascii="Georgia" w:cs="Georgia" w:eastAsia="Georgia" w:hAnsi="Georgia"/>
          <w:b/>
          <w:bCs/>
          <w:color w:val="2E5F8A"/>
          <w:sz w:val="26"/>
          <w:szCs w:val="26"/>
        </w:rPr>
        <w:t xml:space="preserve">9.1 Why Individual Solutions Are Insufficient</w:t>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condition is not primarily produced by individual choices and is not primarily addressable through individual action. The behavioral dynamics framework makes this structurally precise: the managed public identity, the conditioned engagement patterns, the diffuse preference falsification, the automatic compliance behaviors — these are outputs of a terrain that has been engineered to produce them. Changing individual behavior within the terrain changes the outputs only marginally. Restructuring the terrain changes them at scale.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does not mean individual action is meaningless. Individuals who use privacy-protective tools, who maintain authentic deliberative spaces, who resist the reflexive compliance with observation, and who transmit substantive democratic expectation to people around them — these individuals are doing something real. But what they are doing is primarily maintaining the conditions for structural change rather than achieving it. Their primary political function is to keep the demand alive and to demonstrate that alternatives are livable.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9.2 Structural Interventions</w:t>
      </w:r>
    </w:p>
    <w:p>
      <w:pPr>
        <w:spacing w:after="120" w:before="120" w:line="360"/>
        <w:jc w:val="both"/>
      </w:pPr>
      <w:r>
        <w:rPr>
          <w:rFonts w:ascii="Calibri" w:cs="Calibri" w:eastAsia="Calibri" w:hAnsi="Calibri"/>
          <w:b w:val="false"/>
          <w:bCs w:val="false"/>
          <w:i w:val="false"/>
          <w:iCs w:val="false"/>
          <w:color w:val="000000"/>
          <w:sz w:val="22"/>
          <w:szCs w:val="22"/>
        </w:rPr>
        <w:t xml:space="preserve">The framework identifies three categories of structural intervention, ordered by potential impact on the conditions that democracy requires: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Privacy-by-design as regulatory mandate: Requiring the default architecture of digital services to minimize data collection, prohibit behavioral surplus extraction, and make the most privacy-protective option the lowest-friction option. This restructures the terrain so that the low-pressure path through digital life is the protective one rather than the extractive one. It does not require individual vigilance to produce population-level effects.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Liability for inference-based discrimination: Extending civil rights frameworks to cover algorithmic discrimination in insurance, employment, credit, and housing — with liability attaching to the inference and its use, not only to demonstrable individual harm. This changes the economic calculus of data collection at the source rather than attempting to regulate individual uses downstream.</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Symmetric transparency requirements: Mandating that institutions maintain equivalent visibility obligations — that citizens have real-time access to what data is held, by whom, for what purposes, and how it has been used in consequential decisions — as a condition of operation. This partially restores the informational symmetry that the one-way mirror has eliminated.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political obstacles to all three interventions are substantial. The actors most capable of shaping the regulatory architecture are the actors with the greatest financial interest in preventing the interventions that would change it. This is the fundamental political economy problem that the behavioral dynamics framework cannot resolve. It can, however, characterize the problem precisely enough to identify where and how political leverage is available.</w:t>
      </w:r>
    </w:p>
    <w:p>
      <w:pPr>
        <w:spacing w:after="0" w:before="160"/>
      </w:pPr>
      <w:r>
        <w:t xml:space="preserve"/>
      </w:r>
    </w:p>
    <w:p>
      <w:pPr>
        <w:pStyle w:val="Heading2"/>
        <w:spacing w:after="160" w:before="360"/>
      </w:pPr>
      <w:r>
        <w:rPr>
          <w:rFonts w:ascii="Georgia" w:cs="Georgia" w:eastAsia="Georgia" w:hAnsi="Georgia"/>
          <w:b/>
          <w:bCs/>
          <w:color w:val="2E5F8A"/>
          <w:sz w:val="26"/>
          <w:szCs w:val="26"/>
        </w:rPr>
        <w:t xml:space="preserve">9.3 The Generational Transmission Imperative</w:t>
      </w:r>
    </w:p>
    <w:p>
      <w:pPr>
        <w:spacing w:after="120" w:before="120" w:line="360"/>
        <w:jc w:val="both"/>
      </w:pPr>
      <w:r>
        <w:rPr>
          <w:rFonts w:ascii="Calibri" w:cs="Calibri" w:eastAsia="Calibri" w:hAnsi="Calibri"/>
          <w:b w:val="false"/>
          <w:bCs w:val="false"/>
          <w:i w:val="false"/>
          <w:iCs w:val="false"/>
          <w:color w:val="000000"/>
          <w:sz w:val="22"/>
          <w:szCs w:val="22"/>
        </w:rPr>
        <w:t xml:space="preserve">The most urgent implication of the framework concerns not regulatory policy but interpersonal and institutional transmission. The window in which the authentic democratic expectation can be transmitted to the generation forming its political identity now is finite. It is defined by the pace at which the dual glass citizen condition becomes the only condition that generation has known, and the pace at which the living population that carries the contrast — the memory of what protected political space, genuine civil society, and authentic preference formation felt like — ages out of active transmission range.</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creates a specific obligation that is different from, and more urgent than, the long-term structural reform agenda: deliberate, conscious, active transmission of substantive democratic understanding through the relational and institutional channels that the surveillance architecture has not yet fully colonized.</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Concretely: face-to-face deliberative institutions (citizens' assemblies, local participatory budgeting, structured community deliberation) create the lived experience of authentic democratic participation that platform-mediated engagement cannot replicate. These institutions are not primarily valuable for their policy outputs — though those are real — but for what they do to the participants' reference points. A citizen who has experienced a deliberative process in which their authentic preference mattered, was heard, and produced an outcome, carries a different democratic expectation than one whose entire political experience has been mediated through platforms designed for engagement rather than deliberation.</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Investment in these institutions — by governments, civil society organizations, and educational systems — is therefore not primarily investment in policy-making processes. It is investment in the generational transmission of the lived democratic reference point that the market architecture is failing to transmit.</w:t>
      </w:r>
    </w:p>
    <w:p>
      <w:pPr>
        <w:spacing w:after="0" w:before="16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X. Conclusion: The Window</w:t>
      </w:r>
    </w:p>
    <w:p>
      <w:pPr>
        <w:spacing w:after="120" w:before="120" w:line="360"/>
        <w:jc w:val="both"/>
      </w:pPr>
      <w:r>
        <w:rPr>
          <w:rFonts w:ascii="Calibri" w:cs="Calibri" w:eastAsia="Calibri" w:hAnsi="Calibri"/>
          <w:b w:val="false"/>
          <w:bCs w:val="false"/>
          <w:i w:val="false"/>
          <w:iCs w:val="false"/>
          <w:color w:val="000000"/>
          <w:sz w:val="22"/>
          <w:szCs w:val="22"/>
        </w:rPr>
        <w:t xml:space="preserve">Democracy is not guaranteed by its past existence, by the persistence of its formal structures, or by the sincerity of those who invoke it. It is guaranteed only by the ongoing, active, substantive commitment of citizens who understand what it actually requires — and by the conditions that make that understanding possible to form and transmit.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dual glass citizen is the condition in which that understanding becomes structurally difficult to maintain and transmit. The managed public identity, the preference falsification layer, the conditioned automatic compliance, the one-way mirror architecture that renders institutions opaque while citizens are comprehensively visible — these are not temporary distortions of an otherwise healthy democratic environment. They are the systematic outputs of a commercial architecture operating in its normal mode, producing conditions that democratic self-governance cannot survive indefinitely.</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existing empirical literature documents the component dynamics — chilling effects, preference falsification, identity splitting, declining democratic satisfaction across generations — but has not synthesized them into a unified account of the mechanism through which the dual glass citizen condition degrades the functional prerequisites of democracy. Nor has it developed the measurement instruments needed to detect the most important mechanisms, which operate below the threshold of conscious attitude change, through conditioned behavioral patterns and diffuse preference falsification that no existing survey instrument reliably captures.</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This paper has proposed a behavioral dynamics framework that fills these gaps theoretically and generates a specific research agenda that would fill them empirically. The framework's core claims are falsifiable, and the research designs that would falsify or confirm them are specified. The most important empirical test — the generational reference point study that distinguishes transmitted high standards from lowered baseline expectations — has not yet been conducted. Its results would substantially clarify the urgency of the generational cliff argument.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political and regulatory implications of the framework are clear in direction if uncertain in execution: terrain restructuring rather than individual behavior change; symmetric transparency rather than disclosure rituals; deliberate investment in the participatory institutions that transmit democratic experience rather than reliance on platform-mediated engagement that cannot.</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And the interpersonal implication is simpler than any of the above: the people who carry the contrast — who know, from lived experience, what protected political space, authentic civil society, and genuine democratic accountability felt like — have a specific and time-limited obligation to transmit it. Not as nostalgia. As reference point. As the lived standard against which the current performance can be accurately assessed and found wanting.</w:t>
      </w:r>
    </w:p>
    <w:p>
      <w:pPr>
        <w:spacing w:after="0" w:before="80"/>
      </w:pPr>
      <w:r>
        <w:t xml:space="preserve"/>
      </w:r>
    </w:p>
    <w:p>
      <w:pPr>
        <w:spacing w:after="120" w:before="120" w:line="360"/>
        <w:jc w:val="both"/>
      </w:pPr>
      <w:r>
        <w:rPr>
          <w:rFonts w:ascii="Calibri" w:cs="Calibri" w:eastAsia="Calibri" w:hAnsi="Calibri"/>
          <w:b w:val="false"/>
          <w:bCs w:val="false"/>
          <w:i w:val="false"/>
          <w:iCs w:val="false"/>
          <w:color w:val="000000"/>
          <w:sz w:val="22"/>
          <w:szCs w:val="22"/>
        </w:rPr>
        <w:t xml:space="preserve">The window in which this transmission remains possible is not unlimited. It closes as the generation that carries the contrast ages and as the generation forming its political identity now completes that formation within the conditions as given. How much of the window remains open is an empirical question. That it is closing is not.</w:t>
      </w:r>
    </w:p>
    <w:p>
      <w:pPr>
        <w:spacing w:after="0" w:before="160"/>
      </w:pPr>
      <w:r>
        <w:t xml:space="preserve"/>
      </w:r>
    </w:p>
    <w:p>
      <w:pPr>
        <w:pBdr>
          <w:bottom w:val="single" w:color="C0C0C0" w:sz="3" w:space="1"/>
        </w:pBdr>
        <w:spacing w:after="240" w:before="240"/>
      </w:pPr>
      <w:r>
        <w:t xml:space="preserve"/>
      </w:r>
    </w:p>
    <w:p>
      <w:pPr>
        <w:spacing w:after="0" w:before="12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References</w:t>
      </w:r>
    </w:p>
    <w:p>
      <w:pPr>
        <w:spacing w:after="120" w:before="120" w:line="360"/>
        <w:jc w:val="both"/>
      </w:pPr>
      <w:r>
        <w:rPr>
          <w:rFonts w:ascii="Calibri" w:cs="Calibri" w:eastAsia="Calibri" w:hAnsi="Calibri"/>
          <w:b w:val="false"/>
          <w:bCs w:val="false"/>
          <w:i w:val="false"/>
          <w:iCs w:val="false"/>
          <w:color w:val="000000"/>
          <w:sz w:val="22"/>
          <w:szCs w:val="22"/>
        </w:rPr>
        <w:t xml:space="preserve">Bergeron-Boutin, O., Carey, J.M., Helmke, G., et al. (2024). How Little and Meng's Objective Approach Fails in Democracies. PS: Political Science &amp; Politics, 57(2).</w:t>
      </w:r>
    </w:p>
    <w:p>
      <w:pPr>
        <w:spacing w:after="120" w:before="120" w:line="360"/>
        <w:jc w:val="both"/>
      </w:pPr>
      <w:r>
        <w:rPr>
          <w:rFonts w:ascii="Calibri" w:cs="Calibri" w:eastAsia="Calibri" w:hAnsi="Calibri"/>
          <w:b w:val="false"/>
          <w:bCs w:val="false"/>
          <w:i w:val="false"/>
          <w:iCs w:val="false"/>
          <w:color w:val="000000"/>
          <w:sz w:val="22"/>
          <w:szCs w:val="22"/>
        </w:rPr>
        <w:t xml:space="preserve">Bradshaw, S., &amp; Howard, P.N. (2019). The Global Disinformation Order: 2019 Global Inventory of Organised Social Media Manipulation. Oxford Internet Institute.</w:t>
      </w:r>
    </w:p>
    <w:p>
      <w:pPr>
        <w:spacing w:after="120" w:before="120" w:line="360"/>
        <w:jc w:val="both"/>
      </w:pPr>
      <w:r>
        <w:rPr>
          <w:rFonts w:ascii="Calibri" w:cs="Calibri" w:eastAsia="Calibri" w:hAnsi="Calibri"/>
          <w:b w:val="false"/>
          <w:bCs w:val="false"/>
          <w:i w:val="false"/>
          <w:iCs w:val="false"/>
          <w:color w:val="000000"/>
          <w:sz w:val="22"/>
          <w:szCs w:val="22"/>
        </w:rPr>
        <w:t xml:space="preserve">Büchi, M., Festic, N., &amp; Latzer, M. (2022). The Chilling Effects of Digital Dataveillance: A Theoretical Model and an Empirical Research Agenda. Big Data &amp; Society, 9(1).</w:t>
      </w:r>
    </w:p>
    <w:p>
      <w:pPr>
        <w:spacing w:after="120" w:before="120" w:line="360"/>
        <w:jc w:val="both"/>
      </w:pPr>
      <w:r>
        <w:rPr>
          <w:rFonts w:ascii="Calibri" w:cs="Calibri" w:eastAsia="Calibri" w:hAnsi="Calibri"/>
          <w:b w:val="false"/>
          <w:bCs w:val="false"/>
          <w:i w:val="false"/>
          <w:iCs w:val="false"/>
          <w:color w:val="000000"/>
          <w:sz w:val="22"/>
          <w:szCs w:val="22"/>
        </w:rPr>
        <w:t xml:space="preserve">CIRCLE (2025). Youth Trust Peers, Local Government, and Institutions They See Taking Action. Tufts University Center for Information &amp; Research on Civic Learning and Engagement.</w:t>
      </w:r>
    </w:p>
    <w:p>
      <w:pPr>
        <w:spacing w:after="120" w:before="120" w:line="360"/>
        <w:jc w:val="both"/>
      </w:pPr>
      <w:r>
        <w:rPr>
          <w:rFonts w:ascii="Calibri" w:cs="Calibri" w:eastAsia="Calibri" w:hAnsi="Calibri"/>
          <w:b w:val="false"/>
          <w:bCs w:val="false"/>
          <w:i w:val="false"/>
          <w:iCs w:val="false"/>
          <w:color w:val="000000"/>
          <w:sz w:val="22"/>
          <w:szCs w:val="22"/>
        </w:rPr>
        <w:t xml:space="preserve">Dahl, R.A. (1989). Democracy and Its Critics. Yale University Press.</w:t>
      </w:r>
    </w:p>
    <w:p>
      <w:pPr>
        <w:spacing w:after="120" w:before="120" w:line="360"/>
        <w:jc w:val="both"/>
      </w:pPr>
      <w:r>
        <w:rPr>
          <w:rFonts w:ascii="Calibri" w:cs="Calibri" w:eastAsia="Calibri" w:hAnsi="Calibri"/>
          <w:b w:val="false"/>
          <w:bCs w:val="false"/>
          <w:i w:val="false"/>
          <w:iCs w:val="false"/>
          <w:color w:val="000000"/>
          <w:sz w:val="22"/>
          <w:szCs w:val="22"/>
        </w:rPr>
        <w:t xml:space="preserve">Deibert, R.J. (2019). The Road to Digital Unfreedom: Three Painful Truths About Social Media. Journal of Democracy, 30(1), 25-39.</w:t>
      </w:r>
    </w:p>
    <w:p>
      <w:pPr>
        <w:spacing w:after="120" w:before="120" w:line="360"/>
        <w:jc w:val="both"/>
      </w:pPr>
      <w:r>
        <w:rPr>
          <w:rFonts w:ascii="Calibri" w:cs="Calibri" w:eastAsia="Calibri" w:hAnsi="Calibri"/>
          <w:b w:val="false"/>
          <w:bCs w:val="false"/>
          <w:i w:val="false"/>
          <w:iCs w:val="false"/>
          <w:color w:val="000000"/>
          <w:sz w:val="22"/>
          <w:szCs w:val="22"/>
        </w:rPr>
        <w:t xml:space="preserve">Foa, R.S., Klassen, A., Slade, M., Rand, A., &amp; Williams, R. (2020). Youth and Satisfaction with Democracy: Reversing the Democratic Disconnect? Centre for the Future of Democracy, University of Cambridge.</w:t>
      </w:r>
    </w:p>
    <w:p>
      <w:pPr>
        <w:spacing w:after="120" w:before="120" w:line="360"/>
        <w:jc w:val="both"/>
      </w:pPr>
      <w:r>
        <w:rPr>
          <w:rFonts w:ascii="Calibri" w:cs="Calibri" w:eastAsia="Calibri" w:hAnsi="Calibri"/>
          <w:b w:val="false"/>
          <w:bCs w:val="false"/>
          <w:i w:val="false"/>
          <w:iCs w:val="false"/>
          <w:color w:val="000000"/>
          <w:sz w:val="22"/>
          <w:szCs w:val="22"/>
        </w:rPr>
        <w:t xml:space="preserve">Fishkin, J.S. (2011). When the People Speak: Deliberative Democracy and Public Consultation. Oxford University Press.</w:t>
      </w:r>
    </w:p>
    <w:p>
      <w:pPr>
        <w:spacing w:after="120" w:before="120" w:line="360"/>
        <w:jc w:val="both"/>
      </w:pPr>
      <w:r>
        <w:rPr>
          <w:rFonts w:ascii="Calibri" w:cs="Calibri" w:eastAsia="Calibri" w:hAnsi="Calibri"/>
          <w:b w:val="false"/>
          <w:bCs w:val="false"/>
          <w:i w:val="false"/>
          <w:iCs w:val="false"/>
          <w:color w:val="000000"/>
          <w:sz w:val="22"/>
          <w:szCs w:val="22"/>
        </w:rPr>
        <w:t xml:space="preserve">FTC (2014). Data Brokers: A Call for Transparency and Accountability. Federal Trade Commission.</w:t>
      </w:r>
    </w:p>
    <w:p>
      <w:pPr>
        <w:spacing w:after="120" w:before="120" w:line="360"/>
        <w:jc w:val="both"/>
      </w:pPr>
      <w:r>
        <w:rPr>
          <w:rFonts w:ascii="Calibri" w:cs="Calibri" w:eastAsia="Calibri" w:hAnsi="Calibri"/>
          <w:b w:val="false"/>
          <w:bCs w:val="false"/>
          <w:i w:val="false"/>
          <w:iCs w:val="false"/>
          <w:color w:val="000000"/>
          <w:sz w:val="22"/>
          <w:szCs w:val="22"/>
        </w:rPr>
        <w:t xml:space="preserve">Granovetter, M. (1978). Threshold Models of Collective Behavior. American Journal of Sociology, 83(6), 1420-1443.</w:t>
      </w:r>
    </w:p>
    <w:p>
      <w:pPr>
        <w:spacing w:after="120" w:before="120" w:line="360"/>
        <w:jc w:val="both"/>
      </w:pPr>
      <w:r>
        <w:rPr>
          <w:rFonts w:ascii="Calibri" w:cs="Calibri" w:eastAsia="Calibri" w:hAnsi="Calibri"/>
          <w:b w:val="false"/>
          <w:bCs w:val="false"/>
          <w:i w:val="false"/>
          <w:iCs w:val="false"/>
          <w:color w:val="000000"/>
          <w:sz w:val="22"/>
          <w:szCs w:val="22"/>
        </w:rPr>
        <w:t xml:space="preserve">Guess, A.M., Malhotra, N., Pan, J., et al. (2023). How Do Social Media Feed Algorithms Affect Attitudes and Behavior in an Election Campaign? Science, 381, 398-404.</w:t>
      </w:r>
    </w:p>
    <w:p>
      <w:pPr>
        <w:spacing w:after="120" w:before="120" w:line="360"/>
        <w:jc w:val="both"/>
      </w:pPr>
      <w:r>
        <w:rPr>
          <w:rFonts w:ascii="Calibri" w:cs="Calibri" w:eastAsia="Calibri" w:hAnsi="Calibri"/>
          <w:b w:val="false"/>
          <w:bCs w:val="false"/>
          <w:i w:val="false"/>
          <w:iCs w:val="false"/>
          <w:color w:val="000000"/>
          <w:sz w:val="22"/>
          <w:szCs w:val="22"/>
        </w:rPr>
        <w:t xml:space="preserve">Habermas, J. (1996). Between Facts and Norms: Contributions to a Discourse Theory of Law and Democracy. MIT Press.</w:t>
      </w:r>
    </w:p>
    <w:p>
      <w:pPr>
        <w:spacing w:after="120" w:before="120" w:line="360"/>
        <w:jc w:val="both"/>
      </w:pPr>
      <w:r>
        <w:rPr>
          <w:rFonts w:ascii="Calibri" w:cs="Calibri" w:eastAsia="Calibri" w:hAnsi="Calibri"/>
          <w:b w:val="false"/>
          <w:bCs w:val="false"/>
          <w:i w:val="false"/>
          <w:iCs w:val="false"/>
          <w:color w:val="000000"/>
          <w:sz w:val="22"/>
          <w:szCs w:val="22"/>
        </w:rPr>
        <w:t xml:space="preserve">Harvard Institute of Politics (2025). 51st Harvard Youth Poll. Harvard Kennedy School.</w:t>
      </w:r>
    </w:p>
    <w:p>
      <w:pPr>
        <w:spacing w:after="120" w:before="120" w:line="360"/>
        <w:jc w:val="both"/>
      </w:pPr>
      <w:r>
        <w:rPr>
          <w:rFonts w:ascii="Calibri" w:cs="Calibri" w:eastAsia="Calibri" w:hAnsi="Calibri"/>
          <w:b w:val="false"/>
          <w:bCs w:val="false"/>
          <w:i w:val="false"/>
          <w:iCs w:val="false"/>
          <w:color w:val="000000"/>
          <w:sz w:val="22"/>
          <w:szCs w:val="22"/>
        </w:rPr>
        <w:t xml:space="preserve">Janas, M., Nikiforakis, N., &amp; Siegenthaler, S. (2024). Predicting Norm Change Using Threshold Models. Working Paper.</w:t>
      </w:r>
    </w:p>
    <w:p>
      <w:pPr>
        <w:spacing w:after="120" w:before="120" w:line="360"/>
        <w:jc w:val="both"/>
      </w:pPr>
      <w:r>
        <w:rPr>
          <w:rFonts w:ascii="Calibri" w:cs="Calibri" w:eastAsia="Calibri" w:hAnsi="Calibri"/>
          <w:b w:val="false"/>
          <w:bCs w:val="false"/>
          <w:i w:val="false"/>
          <w:iCs w:val="false"/>
          <w:color w:val="000000"/>
          <w:sz w:val="22"/>
          <w:szCs w:val="22"/>
        </w:rPr>
        <w:t xml:space="preserve">Kelly-Lyth, A. (2023). Algorithmic Discrimination at Work. Journal of Law and Society.</w:t>
      </w:r>
    </w:p>
    <w:p>
      <w:pPr>
        <w:spacing w:after="120" w:before="120" w:line="360"/>
        <w:jc w:val="both"/>
      </w:pPr>
      <w:r>
        <w:rPr>
          <w:rFonts w:ascii="Calibri" w:cs="Calibri" w:eastAsia="Calibri" w:hAnsi="Calibri"/>
          <w:b w:val="false"/>
          <w:bCs w:val="false"/>
          <w:i w:val="false"/>
          <w:iCs w:val="false"/>
          <w:color w:val="000000"/>
          <w:sz w:val="22"/>
          <w:szCs w:val="22"/>
        </w:rPr>
        <w:t xml:space="preserve">Kosinski, M., Stillwell, D., &amp; Graepel, T. (2013). Private Traits and Attributes Are Predictable from Digital Records of Human Behavior. Proceedings of the National Academy of Sciences, 110(15), 5802-5805.</w:t>
      </w:r>
    </w:p>
    <w:p>
      <w:pPr>
        <w:spacing w:after="120" w:before="120" w:line="360"/>
        <w:jc w:val="both"/>
      </w:pPr>
      <w:r>
        <w:rPr>
          <w:rFonts w:ascii="Calibri" w:cs="Calibri" w:eastAsia="Calibri" w:hAnsi="Calibri"/>
          <w:b w:val="false"/>
          <w:bCs w:val="false"/>
          <w:i w:val="false"/>
          <w:iCs w:val="false"/>
          <w:color w:val="000000"/>
          <w:sz w:val="22"/>
          <w:szCs w:val="22"/>
        </w:rPr>
        <w:t xml:space="preserve">Kuran, T. (1995). Private Truths, Public Lies: The Social Consequences of Preference Falsification. Harvard University Press.</w:t>
      </w:r>
    </w:p>
    <w:p>
      <w:pPr>
        <w:spacing w:after="120" w:before="120" w:line="360"/>
        <w:jc w:val="both"/>
      </w:pPr>
      <w:r>
        <w:rPr>
          <w:rFonts w:ascii="Calibri" w:cs="Calibri" w:eastAsia="Calibri" w:hAnsi="Calibri"/>
          <w:b w:val="false"/>
          <w:bCs w:val="false"/>
          <w:i w:val="false"/>
          <w:iCs w:val="false"/>
          <w:color w:val="000000"/>
          <w:sz w:val="22"/>
          <w:szCs w:val="22"/>
        </w:rPr>
        <w:t xml:space="preserve">Landwehr, C., Power, M., et al. (2023). An Empirical Inquiry into Surveillance Capitalism: Web Tracking. arXiv preprint.</w:t>
      </w:r>
    </w:p>
    <w:p>
      <w:pPr>
        <w:spacing w:after="120" w:before="120" w:line="360"/>
        <w:jc w:val="both"/>
      </w:pPr>
      <w:r>
        <w:rPr>
          <w:rFonts w:ascii="Calibri" w:cs="Calibri" w:eastAsia="Calibri" w:hAnsi="Calibri"/>
          <w:b w:val="false"/>
          <w:bCs w:val="false"/>
          <w:i w:val="false"/>
          <w:iCs w:val="false"/>
          <w:color w:val="000000"/>
          <w:sz w:val="22"/>
          <w:szCs w:val="22"/>
        </w:rPr>
        <w:t xml:space="preserve">Little, A.T., &amp; Meng, A. (2024). Measuring Democratic Backsliding. PS: Political Science &amp; Politics, 57(2), 149-161.</w:t>
      </w:r>
    </w:p>
    <w:p>
      <w:pPr>
        <w:spacing w:after="120" w:before="120" w:line="360"/>
        <w:jc w:val="both"/>
      </w:pPr>
      <w:r>
        <w:rPr>
          <w:rFonts w:ascii="Calibri" w:cs="Calibri" w:eastAsia="Calibri" w:hAnsi="Calibri"/>
          <w:b w:val="false"/>
          <w:bCs w:val="false"/>
          <w:i w:val="false"/>
          <w:iCs w:val="false"/>
          <w:color w:val="000000"/>
          <w:sz w:val="22"/>
          <w:szCs w:val="22"/>
        </w:rPr>
        <w:t xml:space="preserve">Murray, D., Fussey, P., Hove, K., et al. (2024). Chilling Effects of Surveillance and Human Rights: Insights from Qualitative Research in Uganda and Zimbabwe. Journal of Human Rights Practice, 16(1), 397-412.</w:t>
      </w:r>
    </w:p>
    <w:p>
      <w:pPr>
        <w:spacing w:after="120" w:before="120" w:line="360"/>
        <w:jc w:val="both"/>
      </w:pPr>
      <w:r>
        <w:rPr>
          <w:rFonts w:ascii="Calibri" w:cs="Calibri" w:eastAsia="Calibri" w:hAnsi="Calibri"/>
          <w:b w:val="false"/>
          <w:bCs w:val="false"/>
          <w:i w:val="false"/>
          <w:iCs w:val="false"/>
          <w:color w:val="000000"/>
          <w:sz w:val="22"/>
          <w:szCs w:val="22"/>
        </w:rPr>
        <w:t xml:space="preserve">OECD (2024). Survey on Drivers of Trust in Public Institutions — 2024 Results. OECD Publishing.</w:t>
      </w:r>
    </w:p>
    <w:p>
      <w:pPr>
        <w:spacing w:after="120" w:before="120" w:line="360"/>
        <w:jc w:val="both"/>
      </w:pPr>
      <w:r>
        <w:rPr>
          <w:rFonts w:ascii="Calibri" w:cs="Calibri" w:eastAsia="Calibri" w:hAnsi="Calibri"/>
          <w:b w:val="false"/>
          <w:bCs w:val="false"/>
          <w:i w:val="false"/>
          <w:iCs w:val="false"/>
          <w:color w:val="000000"/>
          <w:sz w:val="22"/>
          <w:szCs w:val="22"/>
        </w:rPr>
        <w:t xml:space="preserve">Penney, J.W. (2016). Chilling Effects: Online Surveillance and Wikipedia Use. Berkeley Technology Law Journal, 31(1), 117-182.</w:t>
      </w:r>
    </w:p>
    <w:p>
      <w:pPr>
        <w:spacing w:after="120" w:before="120" w:line="360"/>
        <w:jc w:val="both"/>
      </w:pPr>
      <w:r>
        <w:rPr>
          <w:rFonts w:ascii="Calibri" w:cs="Calibri" w:eastAsia="Calibri" w:hAnsi="Calibri"/>
          <w:b w:val="false"/>
          <w:bCs w:val="false"/>
          <w:i w:val="false"/>
          <w:iCs w:val="false"/>
          <w:color w:val="000000"/>
          <w:sz w:val="22"/>
          <w:szCs w:val="22"/>
        </w:rPr>
        <w:t xml:space="preserve">Qin, Y., &amp; Lowe, J. (2021). Is Your Online Identity Different from Your Offline Identity? A Study on College Students' Online Identities in China. Culture and Psychology, 27(4), 612-631.</w:t>
      </w:r>
    </w:p>
    <w:p>
      <w:pPr>
        <w:spacing w:after="120" w:before="120" w:line="360"/>
        <w:jc w:val="both"/>
      </w:pPr>
      <w:r>
        <w:rPr>
          <w:rFonts w:ascii="Calibri" w:cs="Calibri" w:eastAsia="Calibri" w:hAnsi="Calibri"/>
          <w:b w:val="false"/>
          <w:bCs w:val="false"/>
          <w:i w:val="false"/>
          <w:iCs w:val="false"/>
          <w:color w:val="000000"/>
          <w:sz w:val="22"/>
          <w:szCs w:val="22"/>
        </w:rPr>
        <w:t xml:space="preserve">Senate Commerce Committee (2013). A Review of the Data Broker Industry. United States Senate.</w:t>
      </w:r>
    </w:p>
    <w:p>
      <w:pPr>
        <w:spacing w:after="120" w:before="120" w:line="360"/>
        <w:jc w:val="both"/>
      </w:pPr>
      <w:r>
        <w:rPr>
          <w:rFonts w:ascii="Calibri" w:cs="Calibri" w:eastAsia="Calibri" w:hAnsi="Calibri"/>
          <w:b w:val="false"/>
          <w:bCs w:val="false"/>
          <w:i w:val="false"/>
          <w:iCs w:val="false"/>
          <w:color w:val="000000"/>
          <w:sz w:val="22"/>
          <w:szCs w:val="22"/>
        </w:rPr>
        <w:t xml:space="preserve">Zuboff, S. (2019). The Age of Surveillance Capitalism: The Fight for a Human Future at the New Frontier of Power. PublicAffairs.</w:t>
      </w:r>
    </w:p>
    <w:p>
      <w:pPr>
        <w:spacing w:after="120" w:before="120" w:line="360"/>
        <w:jc w:val="both"/>
      </w:pPr>
      <w:r>
        <w:rPr>
          <w:rFonts w:ascii="Calibri" w:cs="Calibri" w:eastAsia="Calibri" w:hAnsi="Calibri"/>
          <w:b w:val="false"/>
          <w:bCs w:val="false"/>
          <w:i w:val="false"/>
          <w:iCs w:val="false"/>
          <w:color w:val="000000"/>
          <w:sz w:val="22"/>
          <w:szCs w:val="22"/>
        </w:rPr>
        <w:t xml:space="preserve">Zuboff, S. (2022). Surveillance Capitalism or Democracy? The Death Match of Institutional Orders and the Politics of Knowledge in Our Information Civilization. Organization Theory, 3(3).</w:t>
      </w:r>
    </w:p>
    <w:p>
      <w:pPr>
        <w:spacing w:after="0" w:before="160"/>
      </w:pPr>
      <w:r>
        <w:t xml:space="preserve"/>
      </w:r>
    </w:p>
    <w:p>
      <w:pPr>
        <w:pBdr>
          <w:bottom w:val="single" w:color="C0C0C0" w:sz="3" w:space="1"/>
        </w:pBdr>
        <w:spacing w:after="240" w:before="240"/>
      </w:pPr>
      <w:r>
        <w:t xml:space="preserve"/>
      </w:r>
    </w:p>
    <w:p>
      <w:pPr>
        <w:pStyle w:val="Heading1"/>
        <w:pBdr>
          <w:bottom w:val="single" w:color="2E5F8A" w:sz="6" w:space="6"/>
        </w:pBdr>
        <w:spacing w:after="200" w:before="480"/>
      </w:pPr>
      <w:r>
        <w:rPr>
          <w:rFonts w:ascii="Georgia" w:cs="Georgia" w:eastAsia="Georgia" w:hAnsi="Georgia"/>
          <w:b/>
          <w:bCs/>
          <w:color w:val="1F3864"/>
          <w:sz w:val="32"/>
          <w:szCs w:val="32"/>
        </w:rPr>
        <w:t xml:space="preserve">Appendix: Key Concepts Defined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Dual Glass Citizen</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A person who maintains a managed public identity calibrated for the observed layer of digital and institutional life — the representative — while preserving a different, more authentic self in increasingly compressed private channels. The condition is produced by the informational asymmetry of data capitalism and is structurally analogous to, but distinct from, the dual identity architectures that develop under explicit authoritarian surveillance.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The Representative</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managed public identity that the dual glass citizen presents in surveilled environments. Not a deliberate deception but a habitual, often pre-reflective adaptation to the ambient awareness of observation. Over time, through repeated performance across all observed channels, the representative may gradually reshape the authentic self it was originally constructed to protect.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Preference Falsification Layer</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aggregate gap, across a population, between privately held preferences and publicly expressed ones. In democratic commercial surveillance contexts, this layer is produced not by explicit coercion but by the diffuse economic and social costs of authentic expression in observed environments. Unlike its authoritarian form, commercial surveillance falsification is difficult to detect with standard sensitive-question measurement techniques.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Conditioned Behavioral Pattern</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A behavioral response that has been reinforced through repeated experience to the point where it operates automatically, below the threshold of conscious deliberation. Platform design that rewards certain engagement patterns produces conditioned responses — including political information-seeking patterns, emotional reactivity to political content, and compliance behaviors — that precede and organize conscious political attitudes. These patterns are not detectable through attitude surveys but are measurable through behavioral tracking.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Democratic Hollowing</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process by which the functional prerequisites of democratic self-governance — informed preference formation, authentic expression, meaningful aggregation, accountable governance, course correction — are systematically degraded while formal democratic institutions (elections, constitutions, rights language) remain intact. Hollowing is structurally invisible to measurement instruments designed to track formal institutional performance.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Governance-Preference Gap</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distance between deliberatively elicited citizen preferences (authentic preferences elicited under conditions that minimize the representative layer) and actual governance decisions across a standard policy battery. A widening gap, measured alongside stable formal institutional indicators, is the empirical signature of democratic hollowing.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Generational Reference Point</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implicit standard against which a citizen evaluates democratic performance — their model of what democracy should provide in terms of authentic participation, preference expression, and accountability. Distinct from satisfaction, which measures perceived distance from the reference point. The generational transmission failure claim holds that younger cohorts have lower reference points, not merely lower satisfaction — calibrating their expectations to the hollowed performance rather than to the substantive democratic conditions that reference points in previous cohorts were formed against.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0B4C8" w:sz="1"/>
              <w:left w:val="single" w:color="A0B4C8" w:sz="1"/>
              <w:bottom w:val="single" w:color="A0B4C8" w:sz="1"/>
              <w:right w:val="single" w:color="A0B4C8" w:sz="1"/>
            </w:tcBorders>
            <w:shd w:fill="D6E4F0" w:val="clear"/>
            <w:tcMar>
              <w:top w:type="dxa" w:w="160"/>
              <w:left w:type="dxa" w:w="200"/>
              <w:bottom w:type="dxa" w:w="160"/>
              <w:right w:type="dxa" w:w="200"/>
            </w:tcMar>
            <w:vAlign w:val="center"/>
          </w:tcPr>
          <w:p>
            <w:pPr>
              <w:jc w:val="center"/>
            </w:pPr>
            <w:r>
              <w:rPr>
                <w:rFonts w:ascii="Georgia" w:cs="Georgia" w:eastAsia="Georgia" w:hAnsi="Georgia"/>
                <w:b/>
                <w:bCs/>
                <w:color w:val="1F3864"/>
                <w:sz w:val="20"/>
                <w:szCs w:val="20"/>
              </w:rPr>
              <w:t xml:space="preserve">The Transmission Window</w:t>
            </w:r>
          </w:p>
        </w:tc>
        <w:tc>
          <w:tcPr>
            <w:tcW w:type="dxa" w:w="8160"/>
            <w:tcBorders>
              <w:top w:val="single" w:color="A0B4C8" w:sz="1"/>
              <w:left w:val="single" w:color="A0B4C8" w:sz="1"/>
              <w:bottom w:val="single" w:color="A0B4C8" w:sz="1"/>
              <w:right w:val="single" w:color="A0B4C8" w:sz="1"/>
            </w:tcBorders>
            <w:shd w:fill="F2F2F2" w:val="clear"/>
            <w:tcMar>
              <w:top w:type="dxa" w:w="160"/>
              <w:left w:type="dxa" w:w="240"/>
              <w:bottom w:type="dxa" w:w="160"/>
              <w:right w:type="dxa" w:w="200"/>
            </w:tcMar>
          </w:tcPr>
          <w:p>
            <w:pPr>
              <w:spacing w:line="340"/>
            </w:pPr>
            <w:r>
              <w:rPr>
                <w:rFonts w:ascii="Calibri" w:cs="Calibri" w:eastAsia="Calibri" w:hAnsi="Calibri"/>
                <w:color w:val="2D2D2D"/>
                <w:sz w:val="20"/>
                <w:szCs w:val="20"/>
              </w:rPr>
              <w:t xml:space="preserve">The period in which the living population that carries authentic democratic expectation — formed through lived experience of substantive democratic conditions — is in active position to transmit that expectation to the generation currently forming its political identity. The window closes as the transmitting generation ages and as the receiving generation completes its political formation within the hollowed architecture as given. Unlike most democratic challenges, the closure of this window may be partially irreversible: once a generation's political identity has formed without the reference point, structural reforms can change conditions but cannot retrospectively install the experiential baseline that was absent during formation.</w:t>
            </w:r>
          </w:p>
        </w:tc>
      </w:tr>
    </w:tbl>
    <w:p>
      <w:pPr>
        <w:spacing w:after="0" w:before="16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The Dual Glass Citizen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60" w:before="360"/>
      <w:outlineLvl w:val="1"/>
    </w:pPr>
    <w:rPr>
      <w:rFonts w:ascii="Georgia" w:cs="Georgia" w:eastAsia="Georgia" w:hAnsi="Georgia"/>
      <w:b/>
      <w:bCs/>
      <w:color w:val="2E5F8A"/>
      <w:sz w:val="26"/>
      <w:szCs w:val="26"/>
    </w:rPr>
  </w:style>
  <w:style w:type="paragraph" w:styleId="Heading3">
    <w:name w:val="Heading 3"/>
    <w:basedOn w:val="Normal"/>
    <w:next w:val="Normal"/>
    <w:qFormat/>
    <w:pPr>
      <w:spacing w:after="120" w:before="2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2026-05-17T03:32:09.140Z</dcterms:created>
  <dcterms:modified xsi:type="dcterms:W3CDTF">2026-05-17T03:32:09.152Z</dcterms:modified>
</cp:coreProperties>
</file>

<file path=docProps/custom.xml><?xml version="1.0" encoding="utf-8"?>
<Properties xmlns="http://schemas.openxmlformats.org/officeDocument/2006/custom-properties" xmlns:vt="http://schemas.openxmlformats.org/officeDocument/2006/docPropsVTypes"/>
</file>