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024" w:rsidRDefault="00F13024" w:rsidP="00F13024">
      <w:pPr>
        <w:pStyle w:val="Title"/>
        <w:spacing w:line="276" w:lineRule="auto"/>
      </w:pPr>
      <w:bookmarkStart w:id="0" w:name="_Ref160776320"/>
      <w:bookmarkStart w:id="1" w:name="_Toc162153366"/>
      <w:bookmarkStart w:id="2" w:name="_Toc162789981"/>
      <w:r w:rsidRPr="00F13024">
        <w:t>Creation of the UOS_IOTSH_2024 Dataset</w:t>
      </w:r>
      <w:bookmarkEnd w:id="0"/>
      <w:bookmarkEnd w:id="1"/>
      <w:bookmarkEnd w:id="2"/>
    </w:p>
    <w:p w:rsidR="00F13024" w:rsidRPr="00F13024" w:rsidRDefault="00F13024" w:rsidP="00F13024"/>
    <w:p w:rsidR="00F13024" w:rsidRDefault="00F13024" w:rsidP="00F13024">
      <w:pPr>
        <w:rPr>
          <w:szCs w:val="24"/>
        </w:rPr>
      </w:pPr>
      <w:r>
        <w:rPr>
          <w:szCs w:val="24"/>
        </w:rPr>
        <w:t>Our survey of the existing literature at the time of producing this dataset (~March 2024) determined that</w:t>
      </w:r>
      <w:r w:rsidRPr="00F13024">
        <w:rPr>
          <w:szCs w:val="24"/>
        </w:rPr>
        <w:t xml:space="preserve"> there is no readily available </w:t>
      </w:r>
      <w:r>
        <w:rPr>
          <w:szCs w:val="24"/>
        </w:rPr>
        <w:t xml:space="preserve">comprehensive </w:t>
      </w:r>
      <w:r w:rsidRPr="00F13024">
        <w:rPr>
          <w:szCs w:val="24"/>
        </w:rPr>
        <w:t xml:space="preserve">dataset </w:t>
      </w:r>
      <w:r>
        <w:rPr>
          <w:szCs w:val="24"/>
        </w:rPr>
        <w:t xml:space="preserve">targeting the detection of a sinkhole attack on an RPL-based </w:t>
      </w:r>
      <w:proofErr w:type="spellStart"/>
      <w:r>
        <w:rPr>
          <w:szCs w:val="24"/>
        </w:rPr>
        <w:t>IoT</w:t>
      </w:r>
      <w:proofErr w:type="spellEnd"/>
      <w:r>
        <w:rPr>
          <w:szCs w:val="24"/>
        </w:rPr>
        <w:t xml:space="preserve"> network covering different network sizes and attack scenarios.</w:t>
      </w:r>
    </w:p>
    <w:p w:rsidR="00F13024" w:rsidRDefault="00F13024" w:rsidP="00F13024">
      <w:pPr>
        <w:rPr>
          <w:szCs w:val="24"/>
        </w:rPr>
      </w:pPr>
      <w:r w:rsidRPr="00F13024">
        <w:rPr>
          <w:szCs w:val="24"/>
        </w:rPr>
        <w:t xml:space="preserve">Existing datasets either did not address the specific characteristics of </w:t>
      </w:r>
      <w:proofErr w:type="spellStart"/>
      <w:r w:rsidRPr="00F13024">
        <w:rPr>
          <w:szCs w:val="24"/>
        </w:rPr>
        <w:t>IoT</w:t>
      </w:r>
      <w:proofErr w:type="spellEnd"/>
      <w:r w:rsidRPr="00F13024">
        <w:rPr>
          <w:szCs w:val="24"/>
        </w:rPr>
        <w:t xml:space="preserve">, did not consider the sinkhole attack specifically, or did not consider </w:t>
      </w:r>
      <w:r>
        <w:rPr>
          <w:szCs w:val="24"/>
        </w:rPr>
        <w:t xml:space="preserve">a broad enough spectrum of network sizes, network topographies, and attack scenarios. </w:t>
      </w:r>
      <w:r w:rsidRPr="00F13024">
        <w:rPr>
          <w:szCs w:val="24"/>
        </w:rPr>
        <w:t xml:space="preserve">Therefore, we embarked on the creation </w:t>
      </w:r>
      <w:r>
        <w:rPr>
          <w:szCs w:val="24"/>
        </w:rPr>
        <w:t xml:space="preserve">the UOS-IOTSH_2024 Dataset that should be comprehensive enough to support future research work on detection of sinkhole attacks. </w:t>
      </w:r>
      <w:r w:rsidRPr="00F13024">
        <w:rPr>
          <w:szCs w:val="24"/>
        </w:rPr>
        <w:t>The following subsections will describe the development of the UOS_IOTSH_2024 dataset.</w:t>
      </w:r>
    </w:p>
    <w:p w:rsidR="0020288F" w:rsidRPr="0020288F" w:rsidRDefault="0020288F" w:rsidP="0020288F">
      <w:pPr>
        <w:pStyle w:val="Heading1"/>
      </w:pPr>
      <w:bookmarkStart w:id="3" w:name="_Ref162068088"/>
      <w:bookmarkStart w:id="4" w:name="_Toc162153349"/>
      <w:bookmarkStart w:id="5" w:name="_Toc162789964"/>
      <w:r w:rsidRPr="0020288F">
        <w:t>Attack Scenario</w:t>
      </w:r>
      <w:bookmarkEnd w:id="3"/>
      <w:bookmarkEnd w:id="4"/>
      <w:bookmarkEnd w:id="5"/>
    </w:p>
    <w:p w:rsidR="0020288F" w:rsidRPr="0020288F" w:rsidRDefault="0020288F" w:rsidP="0020288F">
      <w:r>
        <w:t xml:space="preserve">The UOS_IOTSH_2024 Dataset simulates </w:t>
      </w:r>
      <w:r w:rsidRPr="0020288F">
        <w:t xml:space="preserve">an internal attack scenario, where an intruder infiltrates a node that is already integrated into a functioning RPL-based </w:t>
      </w:r>
      <w:proofErr w:type="spellStart"/>
      <w:r>
        <w:t>IoT</w:t>
      </w:r>
      <w:proofErr w:type="spellEnd"/>
      <w:r>
        <w:t xml:space="preserve"> </w:t>
      </w:r>
      <w:r w:rsidRPr="0020288F">
        <w:t>network to execute a sinkhole attack. This scenario mimics a particularly dangerous form of attack, where an adversary leverages a compromised node's established network privileges to orchestrate malicious activities. By compromising an existing node within the network, the attacker gains the ability to covertly manipulate the network's communication dynamics, directing traffic flow in a manner that disrupts normal operations and compromises network integrity.</w:t>
      </w:r>
    </w:p>
    <w:p w:rsidR="0020288F" w:rsidRPr="0020288F" w:rsidRDefault="0020288F" w:rsidP="00E639B5">
      <w:pPr>
        <w:spacing w:before="120"/>
      </w:pPr>
      <w:r w:rsidRPr="0020288F">
        <w:t>Once the intruder has gained access to the victim node, it will modify the rank information advertised by the compromised node. By falsely advertising an optimal path to the root node, the attacker can attract traffic towards the compromised node, effectively hijacking the network's communication pathways. Because the attack originates from within the network, it can be very challenging to detect using traditional security mechanisms.</w:t>
      </w:r>
    </w:p>
    <w:p w:rsidR="00F13024" w:rsidRPr="00D431D7" w:rsidRDefault="00F13024" w:rsidP="00D431D7">
      <w:pPr>
        <w:pStyle w:val="Heading1"/>
      </w:pPr>
      <w:bookmarkStart w:id="6" w:name="_Toc162153367"/>
      <w:bookmarkStart w:id="7" w:name="_Toc162789982"/>
      <w:r w:rsidRPr="00D431D7">
        <w:t>Requirements for the UOS_IOTSH_2024 Dataset</w:t>
      </w:r>
      <w:bookmarkEnd w:id="6"/>
      <w:bookmarkEnd w:id="7"/>
    </w:p>
    <w:p w:rsidR="00F13024" w:rsidRDefault="00F13024" w:rsidP="00F13024">
      <w:pPr>
        <w:rPr>
          <w:szCs w:val="24"/>
        </w:rPr>
      </w:pPr>
      <w:r>
        <w:rPr>
          <w:szCs w:val="24"/>
        </w:rPr>
        <w:t>The UOS_IOTSH_2024 Dataset has been developed to meet the following requirements:</w:t>
      </w:r>
    </w:p>
    <w:p w:rsidR="00F13024" w:rsidRPr="00F13024" w:rsidRDefault="00F13024" w:rsidP="00E639B5">
      <w:pPr>
        <w:pStyle w:val="ListParagraph"/>
        <w:numPr>
          <w:ilvl w:val="0"/>
          <w:numId w:val="14"/>
        </w:numPr>
        <w:spacing w:before="120"/>
      </w:pPr>
      <w:r w:rsidRPr="00F13024">
        <w:rPr>
          <w:b/>
          <w:bCs/>
        </w:rPr>
        <w:t xml:space="preserve">Network Topologies. </w:t>
      </w:r>
      <w:r w:rsidRPr="00F13024">
        <w:t xml:space="preserve">The dataset should encompass a variety of network topologies, including small-scale and medium-scale networks, to represent different deployment scenarios commonly encountered in RPL-based </w:t>
      </w:r>
      <w:proofErr w:type="spellStart"/>
      <w:r w:rsidRPr="00F13024">
        <w:t>IoT</w:t>
      </w:r>
      <w:proofErr w:type="spellEnd"/>
      <w:r w:rsidRPr="00F13024">
        <w:t xml:space="preserve"> networks.</w:t>
      </w:r>
    </w:p>
    <w:p w:rsidR="00F13024" w:rsidRPr="00F13024" w:rsidRDefault="00F13024" w:rsidP="00F13024">
      <w:pPr>
        <w:pStyle w:val="ListParagraph"/>
        <w:numPr>
          <w:ilvl w:val="0"/>
          <w:numId w:val="14"/>
        </w:numPr>
      </w:pPr>
      <w:r w:rsidRPr="00F13024">
        <w:rPr>
          <w:b/>
          <w:bCs/>
        </w:rPr>
        <w:t xml:space="preserve">DODAGs. </w:t>
      </w:r>
      <w:r w:rsidRPr="00F13024">
        <w:t>The dataset should include networks with varying numbers of DODAGS to investigate the impact of multiple DODAGs on detection accuracy and latency.</w:t>
      </w:r>
    </w:p>
    <w:p w:rsidR="00F13024" w:rsidRPr="00F13024" w:rsidRDefault="00F13024" w:rsidP="00F13024">
      <w:pPr>
        <w:pStyle w:val="ListParagraph"/>
        <w:numPr>
          <w:ilvl w:val="0"/>
          <w:numId w:val="14"/>
        </w:numPr>
      </w:pPr>
      <w:r w:rsidRPr="00F13024">
        <w:rPr>
          <w:b/>
          <w:bCs/>
        </w:rPr>
        <w:t xml:space="preserve">Sinkhole Attack Scenarios. </w:t>
      </w:r>
      <w:r w:rsidRPr="00F13024">
        <w:t xml:space="preserve">The dataset should </w:t>
      </w:r>
      <w:r>
        <w:t>represent</w:t>
      </w:r>
      <w:r w:rsidRPr="00F13024">
        <w:t xml:space="preserve"> different sinkhole attack scenarios, including single sinkhole attacks and double sinkhole attacks, with varying degrees of severity and impact on network behavior.</w:t>
      </w:r>
    </w:p>
    <w:p w:rsidR="00F13024" w:rsidRPr="00F13024" w:rsidRDefault="00F13024" w:rsidP="00F13024">
      <w:pPr>
        <w:pStyle w:val="ListParagraph"/>
        <w:numPr>
          <w:ilvl w:val="0"/>
          <w:numId w:val="14"/>
        </w:numPr>
      </w:pPr>
      <w:r w:rsidRPr="00F13024">
        <w:rPr>
          <w:b/>
          <w:bCs/>
        </w:rPr>
        <w:t xml:space="preserve">Attacker Locations. </w:t>
      </w:r>
      <w:r w:rsidRPr="00F13024">
        <w:t>The dataset should include attackers in different locations within the hierarchy to enable assessing the effect of the attacker's location on detection accuracy.</w:t>
      </w:r>
    </w:p>
    <w:p w:rsidR="00F13024" w:rsidRPr="00F13024" w:rsidRDefault="00F13024" w:rsidP="00F13024">
      <w:pPr>
        <w:pStyle w:val="ListParagraph"/>
        <w:numPr>
          <w:ilvl w:val="0"/>
          <w:numId w:val="14"/>
        </w:numPr>
      </w:pPr>
      <w:r w:rsidRPr="00F13024">
        <w:rPr>
          <w:b/>
          <w:bCs/>
        </w:rPr>
        <w:t xml:space="preserve">Anomalous Patterns. </w:t>
      </w:r>
      <w:r w:rsidRPr="00F13024">
        <w:t>The dataset should include instances of normal network operation as well as network operation under sinkhole attack to facilitate the development and evaluation of ML-based detection methods.</w:t>
      </w:r>
    </w:p>
    <w:p w:rsidR="00F13024" w:rsidRPr="00F13024" w:rsidRDefault="00F13024" w:rsidP="00F13024">
      <w:pPr>
        <w:pStyle w:val="ListParagraph"/>
        <w:numPr>
          <w:ilvl w:val="0"/>
          <w:numId w:val="14"/>
        </w:numPr>
      </w:pPr>
      <w:r w:rsidRPr="00F13024">
        <w:rPr>
          <w:b/>
          <w:bCs/>
        </w:rPr>
        <w:lastRenderedPageBreak/>
        <w:t xml:space="preserve">Realistic Network Traffic. </w:t>
      </w:r>
      <w:r w:rsidRPr="00F13024">
        <w:t xml:space="preserve">The dataset should incorporate realistic network traffic patterns, including both control and data packets, to accurately simulate the behavior of RPL-based </w:t>
      </w:r>
      <w:proofErr w:type="spellStart"/>
      <w:r w:rsidRPr="00F13024">
        <w:t>IoT</w:t>
      </w:r>
      <w:proofErr w:type="spellEnd"/>
      <w:r w:rsidRPr="00F13024">
        <w:t xml:space="preserve"> networks.</w:t>
      </w:r>
    </w:p>
    <w:p w:rsidR="00F13024" w:rsidRPr="00F13024" w:rsidRDefault="00F13024" w:rsidP="00F13024">
      <w:pPr>
        <w:pStyle w:val="ListParagraph"/>
        <w:numPr>
          <w:ilvl w:val="0"/>
          <w:numId w:val="14"/>
        </w:numPr>
      </w:pPr>
      <w:r w:rsidRPr="00F13024">
        <w:rPr>
          <w:b/>
          <w:bCs/>
        </w:rPr>
        <w:t xml:space="preserve">Non-Invasive Detection. </w:t>
      </w:r>
      <w:r w:rsidRPr="00F13024">
        <w:t>The dataset should be based on the standard control packets generated by the RPL protocol without any modifications to the protocol.</w:t>
      </w:r>
    </w:p>
    <w:p w:rsidR="00F13024" w:rsidRPr="00F13024" w:rsidRDefault="00F13024" w:rsidP="00F13024">
      <w:pPr>
        <w:pStyle w:val="ListParagraph"/>
        <w:numPr>
          <w:ilvl w:val="0"/>
          <w:numId w:val="14"/>
        </w:numPr>
      </w:pPr>
      <w:r w:rsidRPr="00F13024">
        <w:rPr>
          <w:b/>
          <w:bCs/>
        </w:rPr>
        <w:t xml:space="preserve">Ground Truth Labels. </w:t>
      </w:r>
      <w:r w:rsidRPr="00F13024">
        <w:t>The dataset should be annotated with ground truth labels indicating the presence or absence of sinkhole attacks in each scenario, allowing for supervised learning approaches in ML/DL-based detection methods.</w:t>
      </w:r>
    </w:p>
    <w:p w:rsidR="00F13024" w:rsidRDefault="00F13024" w:rsidP="00F13024"/>
    <w:p w:rsidR="00F13024" w:rsidRPr="00F13024" w:rsidRDefault="00F13024" w:rsidP="0020288F">
      <w:r w:rsidRPr="00F13024">
        <w:t>These requirements have been used to guide the development of the dataset as will be shown in the coming subsections.</w:t>
      </w:r>
    </w:p>
    <w:p w:rsidR="00F13024" w:rsidRPr="00F13024" w:rsidRDefault="00F13024" w:rsidP="00D431D7">
      <w:pPr>
        <w:pStyle w:val="Heading1"/>
      </w:pPr>
      <w:bookmarkStart w:id="8" w:name="_Ref160450527"/>
      <w:bookmarkStart w:id="9" w:name="_Ref160520175"/>
      <w:bookmarkStart w:id="10" w:name="_Ref161207439"/>
      <w:bookmarkStart w:id="11" w:name="_Ref161207837"/>
      <w:bookmarkStart w:id="12" w:name="_Toc162153368"/>
      <w:bookmarkStart w:id="13" w:name="_Toc162789983"/>
      <w:r w:rsidRPr="00F13024">
        <w:t>Composition of the UOS_IOTSH_2024 Dataset</w:t>
      </w:r>
      <w:bookmarkEnd w:id="8"/>
      <w:bookmarkEnd w:id="9"/>
      <w:bookmarkEnd w:id="10"/>
      <w:bookmarkEnd w:id="11"/>
      <w:bookmarkEnd w:id="12"/>
      <w:bookmarkEnd w:id="13"/>
    </w:p>
    <w:p w:rsidR="00F13024" w:rsidRDefault="00F13024" w:rsidP="00D431D7">
      <w:pPr>
        <w:pStyle w:val="BodyText"/>
        <w:ind w:firstLine="0"/>
      </w:pPr>
      <w:r w:rsidRPr="00F13024">
        <w:t xml:space="preserve">Based on </w:t>
      </w:r>
      <w:r w:rsidR="00D431D7">
        <w:t>the above</w:t>
      </w:r>
      <w:r w:rsidRPr="00F13024">
        <w:t xml:space="preserve"> requirements, the dataset was created with the following main categories:</w:t>
      </w:r>
    </w:p>
    <w:p w:rsidR="00D431D7" w:rsidRPr="00F13024" w:rsidRDefault="00D431D7" w:rsidP="00F13024">
      <w:pPr>
        <w:pStyle w:val="BodyText"/>
        <w:ind w:firstLine="0"/>
      </w:pPr>
    </w:p>
    <w:p w:rsidR="00F13024" w:rsidRPr="00F13024" w:rsidRDefault="00F13024" w:rsidP="00F13024">
      <w:pPr>
        <w:pStyle w:val="BodyText"/>
        <w:numPr>
          <w:ilvl w:val="0"/>
          <w:numId w:val="8"/>
        </w:numPr>
      </w:pPr>
      <w:r w:rsidRPr="00F13024">
        <w:t xml:space="preserve">Traffic from </w:t>
      </w:r>
      <w:r>
        <w:t xml:space="preserve">RPL-based </w:t>
      </w:r>
      <w:proofErr w:type="spellStart"/>
      <w:r w:rsidRPr="00F13024">
        <w:t>IoT</w:t>
      </w:r>
      <w:proofErr w:type="spellEnd"/>
      <w:r w:rsidRPr="00F13024">
        <w:t xml:space="preserve"> networks operating normally under multiple scenarios:</w:t>
      </w:r>
    </w:p>
    <w:p w:rsidR="00F13024" w:rsidRPr="00F13024" w:rsidRDefault="00F13024" w:rsidP="00F13024">
      <w:pPr>
        <w:pStyle w:val="BodyText"/>
        <w:numPr>
          <w:ilvl w:val="1"/>
          <w:numId w:val="8"/>
        </w:numPr>
        <w:ind w:left="720"/>
      </w:pPr>
      <w:r w:rsidRPr="00F13024">
        <w:t>A small network with a single DODAG.</w:t>
      </w:r>
    </w:p>
    <w:p w:rsidR="00F13024" w:rsidRPr="00F13024" w:rsidRDefault="00F13024" w:rsidP="00F13024">
      <w:pPr>
        <w:pStyle w:val="BodyText"/>
        <w:numPr>
          <w:ilvl w:val="1"/>
          <w:numId w:val="8"/>
        </w:numPr>
        <w:ind w:left="720"/>
      </w:pPr>
      <w:r w:rsidRPr="00F13024">
        <w:t>A medium-sized network with a single DODAG.</w:t>
      </w:r>
    </w:p>
    <w:p w:rsidR="00F13024" w:rsidRDefault="00F13024" w:rsidP="00D431D7">
      <w:pPr>
        <w:pStyle w:val="BodyText"/>
        <w:numPr>
          <w:ilvl w:val="1"/>
          <w:numId w:val="8"/>
        </w:numPr>
        <w:ind w:left="720"/>
      </w:pPr>
      <w:r w:rsidRPr="00F13024">
        <w:t xml:space="preserve">A medium-sized network with </w:t>
      </w:r>
      <w:r w:rsidR="00D431D7">
        <w:t>dual</w:t>
      </w:r>
      <w:r w:rsidRPr="00F13024">
        <w:t xml:space="preserve"> DODAGs.</w:t>
      </w:r>
    </w:p>
    <w:p w:rsidR="00D431D7" w:rsidRPr="00F13024" w:rsidRDefault="00D431D7" w:rsidP="00D431D7">
      <w:pPr>
        <w:pStyle w:val="BodyText"/>
        <w:ind w:firstLine="0"/>
      </w:pPr>
    </w:p>
    <w:p w:rsidR="00F13024" w:rsidRPr="00F13024" w:rsidRDefault="00F13024" w:rsidP="00F13024">
      <w:pPr>
        <w:pStyle w:val="BodyText"/>
        <w:numPr>
          <w:ilvl w:val="0"/>
          <w:numId w:val="8"/>
        </w:numPr>
      </w:pPr>
      <w:r w:rsidRPr="00F13024">
        <w:t xml:space="preserve">Traffic from </w:t>
      </w:r>
      <w:r>
        <w:t xml:space="preserve">RPL-based </w:t>
      </w:r>
      <w:proofErr w:type="spellStart"/>
      <w:r w:rsidRPr="00F13024">
        <w:t>IoT</w:t>
      </w:r>
      <w:proofErr w:type="spellEnd"/>
      <w:r w:rsidRPr="00F13024">
        <w:t xml:space="preserve"> networks under a single sinkhole attack:</w:t>
      </w:r>
    </w:p>
    <w:p w:rsidR="00D431D7" w:rsidRDefault="00F13024" w:rsidP="00D431D7">
      <w:pPr>
        <w:pStyle w:val="BodyText"/>
        <w:numPr>
          <w:ilvl w:val="1"/>
          <w:numId w:val="8"/>
        </w:numPr>
        <w:ind w:left="720"/>
      </w:pPr>
      <w:r w:rsidRPr="00F13024">
        <w:t>A small network with a single DO</w:t>
      </w:r>
      <w:r w:rsidR="00D431D7">
        <w:t>DAG</w:t>
      </w:r>
    </w:p>
    <w:p w:rsidR="00F13024" w:rsidRPr="00F13024" w:rsidRDefault="00F13024" w:rsidP="00D431D7">
      <w:pPr>
        <w:pStyle w:val="BodyText"/>
        <w:numPr>
          <w:ilvl w:val="2"/>
          <w:numId w:val="34"/>
        </w:numPr>
        <w:ind w:left="1080"/>
      </w:pPr>
      <w:r w:rsidRPr="00F13024">
        <w:t>multiple instances for different attacker locations</w:t>
      </w:r>
    </w:p>
    <w:p w:rsidR="00D431D7" w:rsidRDefault="00F13024" w:rsidP="00D431D7">
      <w:pPr>
        <w:pStyle w:val="BodyText"/>
        <w:numPr>
          <w:ilvl w:val="1"/>
          <w:numId w:val="8"/>
        </w:numPr>
        <w:ind w:left="720"/>
      </w:pPr>
      <w:r w:rsidRPr="00F13024">
        <w:t>A medium-siz</w:t>
      </w:r>
      <w:r w:rsidR="00D431D7">
        <w:t>ed network with a single DODAG</w:t>
      </w:r>
    </w:p>
    <w:p w:rsidR="00F13024" w:rsidRPr="00F13024" w:rsidRDefault="00F13024" w:rsidP="00D431D7">
      <w:pPr>
        <w:pStyle w:val="BodyText"/>
        <w:numPr>
          <w:ilvl w:val="2"/>
          <w:numId w:val="34"/>
        </w:numPr>
        <w:ind w:left="1080"/>
      </w:pPr>
      <w:r w:rsidRPr="00F13024">
        <w:t>multiple instances for different attacker locations</w:t>
      </w:r>
    </w:p>
    <w:p w:rsidR="00D431D7" w:rsidRDefault="00F13024" w:rsidP="00D431D7">
      <w:pPr>
        <w:pStyle w:val="BodyText"/>
        <w:numPr>
          <w:ilvl w:val="1"/>
          <w:numId w:val="8"/>
        </w:numPr>
        <w:ind w:left="720"/>
      </w:pPr>
      <w:r w:rsidRPr="00F13024">
        <w:t>A medium</w:t>
      </w:r>
      <w:r w:rsidR="00D431D7">
        <w:t>-sized network with dual DODAGs</w:t>
      </w:r>
    </w:p>
    <w:p w:rsidR="00F13024" w:rsidRDefault="00F13024" w:rsidP="00D431D7">
      <w:pPr>
        <w:pStyle w:val="BodyText"/>
        <w:numPr>
          <w:ilvl w:val="2"/>
          <w:numId w:val="34"/>
        </w:numPr>
        <w:ind w:left="1080"/>
      </w:pPr>
      <w:r w:rsidRPr="00F13024">
        <w:t>multiple instances for different attacker locations</w:t>
      </w:r>
    </w:p>
    <w:p w:rsidR="00D431D7" w:rsidRPr="00F13024" w:rsidRDefault="00D431D7" w:rsidP="00D431D7">
      <w:pPr>
        <w:pStyle w:val="BodyText"/>
        <w:ind w:firstLine="0"/>
      </w:pPr>
    </w:p>
    <w:p w:rsidR="00F13024" w:rsidRPr="00F13024" w:rsidRDefault="00F13024" w:rsidP="00D431D7">
      <w:pPr>
        <w:pStyle w:val="BodyText"/>
        <w:keepNext/>
        <w:numPr>
          <w:ilvl w:val="0"/>
          <w:numId w:val="8"/>
        </w:numPr>
      </w:pPr>
      <w:r w:rsidRPr="00F13024">
        <w:t xml:space="preserve">Traffic from </w:t>
      </w:r>
      <w:r w:rsidR="00D431D7">
        <w:t xml:space="preserve">RPL-based </w:t>
      </w:r>
      <w:proofErr w:type="spellStart"/>
      <w:r w:rsidRPr="00F13024">
        <w:t>IoT</w:t>
      </w:r>
      <w:proofErr w:type="spellEnd"/>
      <w:r w:rsidRPr="00F13024">
        <w:t xml:space="preserve"> networks under </w:t>
      </w:r>
      <w:r w:rsidR="00D431D7">
        <w:t>dual</w:t>
      </w:r>
      <w:r w:rsidRPr="00F13024">
        <w:t xml:space="preserve"> sinkhole attacks:</w:t>
      </w:r>
    </w:p>
    <w:p w:rsidR="00D431D7" w:rsidRDefault="00D431D7" w:rsidP="00D431D7">
      <w:pPr>
        <w:pStyle w:val="BodyText"/>
        <w:numPr>
          <w:ilvl w:val="1"/>
          <w:numId w:val="8"/>
        </w:numPr>
        <w:ind w:left="720"/>
      </w:pPr>
      <w:r w:rsidRPr="00F13024">
        <w:t>A small network with a single DO</w:t>
      </w:r>
      <w:r>
        <w:t>DAG</w:t>
      </w:r>
    </w:p>
    <w:p w:rsidR="00D431D7" w:rsidRPr="00F13024" w:rsidRDefault="00D431D7" w:rsidP="00D431D7">
      <w:pPr>
        <w:pStyle w:val="BodyText"/>
        <w:numPr>
          <w:ilvl w:val="2"/>
          <w:numId w:val="34"/>
        </w:numPr>
        <w:ind w:left="1080"/>
      </w:pPr>
      <w:r w:rsidRPr="00F13024">
        <w:t>multiple instances for different attacker locations</w:t>
      </w:r>
    </w:p>
    <w:p w:rsidR="00D431D7" w:rsidRDefault="00D431D7" w:rsidP="00D431D7">
      <w:pPr>
        <w:pStyle w:val="BodyText"/>
        <w:numPr>
          <w:ilvl w:val="1"/>
          <w:numId w:val="8"/>
        </w:numPr>
        <w:ind w:left="720"/>
      </w:pPr>
      <w:r w:rsidRPr="00F13024">
        <w:t>A medium-siz</w:t>
      </w:r>
      <w:r>
        <w:t>ed network with a single DODAG</w:t>
      </w:r>
    </w:p>
    <w:p w:rsidR="00D431D7" w:rsidRPr="00F13024" w:rsidRDefault="00D431D7" w:rsidP="00D431D7">
      <w:pPr>
        <w:pStyle w:val="BodyText"/>
        <w:numPr>
          <w:ilvl w:val="2"/>
          <w:numId w:val="34"/>
        </w:numPr>
        <w:ind w:left="1080"/>
      </w:pPr>
      <w:r w:rsidRPr="00F13024">
        <w:t>multiple instances for different attacker locations</w:t>
      </w:r>
    </w:p>
    <w:p w:rsidR="00D431D7" w:rsidRDefault="00D431D7" w:rsidP="00D431D7">
      <w:pPr>
        <w:pStyle w:val="BodyText"/>
        <w:numPr>
          <w:ilvl w:val="1"/>
          <w:numId w:val="8"/>
        </w:numPr>
        <w:ind w:left="720"/>
      </w:pPr>
      <w:r w:rsidRPr="00F13024">
        <w:t>A medium</w:t>
      </w:r>
      <w:r>
        <w:t>-sized network with dual DODAGs</w:t>
      </w:r>
    </w:p>
    <w:p w:rsidR="00D431D7" w:rsidRDefault="00D431D7" w:rsidP="00821C96">
      <w:pPr>
        <w:pStyle w:val="BodyText"/>
        <w:numPr>
          <w:ilvl w:val="2"/>
          <w:numId w:val="34"/>
        </w:numPr>
        <w:ind w:left="1080"/>
      </w:pPr>
      <w:r w:rsidRPr="00F13024">
        <w:t>multiple instances for different attacker locations</w:t>
      </w:r>
    </w:p>
    <w:p w:rsidR="003355E1" w:rsidRDefault="003355E1" w:rsidP="003355E1">
      <w:pPr>
        <w:pStyle w:val="Heading1"/>
      </w:pPr>
      <w:bookmarkStart w:id="14" w:name="_Toc162153365"/>
      <w:bookmarkStart w:id="15" w:name="_Toc162789980"/>
      <w:r>
        <w:t>The Attack Effect Numerical Measure</w:t>
      </w:r>
      <w:bookmarkEnd w:id="14"/>
      <w:bookmarkEnd w:id="15"/>
    </w:p>
    <w:p w:rsidR="003355E1" w:rsidRPr="00FF66E7" w:rsidRDefault="003355E1" w:rsidP="003355E1">
      <w:r w:rsidRPr="00FF66E7">
        <w:t>Under certain circumstances it becomes very difficult and time consuming to exhaustively investigate all possible attack scenarios on a particular setup. This is especially true when multiple attackers may be present in the network and the possible combinations of scenarios becomes prohibitively large. Under these circumstances it pays to concentrate the effort on the worst-case scenarios which would cause the worst damage to the network traffic.</w:t>
      </w:r>
    </w:p>
    <w:p w:rsidR="003355E1" w:rsidRDefault="003355E1" w:rsidP="003355E1">
      <w:pPr>
        <w:rPr>
          <w:rFonts w:asciiTheme="majorBidi" w:eastAsia="Calibri" w:hAnsiTheme="majorBidi" w:cstheme="majorBidi"/>
        </w:rPr>
      </w:pPr>
    </w:p>
    <w:p w:rsidR="003355E1" w:rsidRDefault="003355E1" w:rsidP="003355E1">
      <w:pPr>
        <w:rPr>
          <w:rFonts w:asciiTheme="majorBidi" w:eastAsia="Calibri" w:hAnsiTheme="majorBidi" w:cstheme="majorBidi"/>
        </w:rPr>
      </w:pPr>
      <w:r w:rsidRPr="00FF66E7">
        <w:rPr>
          <w:rFonts w:asciiTheme="majorBidi" w:eastAsia="Calibri" w:hAnsiTheme="majorBidi" w:cstheme="majorBidi"/>
        </w:rPr>
        <w:lastRenderedPageBreak/>
        <w:t xml:space="preserve">We created a numerical measure to assess the effect of any particular attack on the exchanged traffic in the network. The </w:t>
      </w:r>
      <w:r w:rsidR="00052853" w:rsidRPr="00052853">
        <w:rPr>
          <w:rFonts w:asciiTheme="majorBidi" w:eastAsia="Calibri" w:hAnsiTheme="majorBidi" w:cstheme="majorBidi"/>
          <w:i/>
          <w:iCs/>
        </w:rPr>
        <w:t>Sinkhole</w:t>
      </w:r>
      <w:r w:rsidR="00052853">
        <w:rPr>
          <w:rFonts w:asciiTheme="majorBidi" w:eastAsia="Calibri" w:hAnsiTheme="majorBidi" w:cstheme="majorBidi"/>
        </w:rPr>
        <w:t xml:space="preserve"> </w:t>
      </w:r>
      <w:r w:rsidRPr="00FF66E7">
        <w:rPr>
          <w:rFonts w:asciiTheme="majorBidi" w:eastAsia="Calibri" w:hAnsiTheme="majorBidi" w:cstheme="majorBidi"/>
          <w:i/>
          <w:iCs/>
        </w:rPr>
        <w:t>Attack Effect</w:t>
      </w:r>
      <w:r w:rsidRPr="00FF66E7">
        <w:rPr>
          <w:rFonts w:asciiTheme="majorBidi" w:eastAsia="Calibri" w:hAnsiTheme="majorBidi" w:cstheme="majorBidi"/>
        </w:rPr>
        <w:t xml:space="preserve"> measure reflects the attack's success in redirecting network traffic toward the compromised node(s). Essentially, it estimates the percentage of total network traffic routed through the compromised node(s) following the attack. A higher percentage indicates a more severe impact of the attack on the network's normal operation. The </w:t>
      </w:r>
      <w:r w:rsidR="00052853" w:rsidRPr="00052853">
        <w:rPr>
          <w:rFonts w:asciiTheme="majorBidi" w:eastAsia="Calibri" w:hAnsiTheme="majorBidi" w:cstheme="majorBidi"/>
          <w:i/>
          <w:iCs/>
        </w:rPr>
        <w:t>Sinkhole</w:t>
      </w:r>
      <w:r w:rsidR="00052853">
        <w:rPr>
          <w:rFonts w:asciiTheme="majorBidi" w:eastAsia="Calibri" w:hAnsiTheme="majorBidi" w:cstheme="majorBidi"/>
        </w:rPr>
        <w:t xml:space="preserve"> </w:t>
      </w:r>
      <w:r w:rsidRPr="00FF66E7">
        <w:rPr>
          <w:rFonts w:asciiTheme="majorBidi" w:eastAsia="Calibri" w:hAnsiTheme="majorBidi" w:cstheme="majorBidi"/>
          <w:i/>
          <w:iCs/>
        </w:rPr>
        <w:t>Attack Effect</w:t>
      </w:r>
      <w:r w:rsidRPr="00FF66E7">
        <w:rPr>
          <w:rFonts w:asciiTheme="majorBidi" w:eastAsia="Calibri" w:hAnsiTheme="majorBidi" w:cstheme="majorBidi"/>
        </w:rPr>
        <w:t xml:space="preserve"> measure is calculated according to the expression in equation </w:t>
      </w:r>
      <w:r w:rsidRPr="00FF66E7">
        <w:rPr>
          <w:rFonts w:asciiTheme="majorBidi" w:eastAsia="Calibri" w:hAnsiTheme="majorBidi" w:cstheme="majorBidi"/>
        </w:rPr>
        <w:fldChar w:fldCharType="begin"/>
      </w:r>
      <w:r w:rsidRPr="00FF66E7">
        <w:rPr>
          <w:rFonts w:asciiTheme="majorBidi" w:eastAsia="Calibri" w:hAnsiTheme="majorBidi" w:cstheme="majorBidi"/>
        </w:rPr>
        <w:instrText xml:space="preserve"> REF _Ref160538663 \h  \* MERGEFORMAT </w:instrText>
      </w:r>
      <w:r w:rsidRPr="00FF66E7">
        <w:rPr>
          <w:rFonts w:asciiTheme="majorBidi" w:eastAsia="Calibri" w:hAnsiTheme="majorBidi" w:cstheme="majorBidi"/>
        </w:rPr>
      </w:r>
      <w:r w:rsidRPr="00FF66E7">
        <w:rPr>
          <w:rFonts w:asciiTheme="majorBidi" w:eastAsia="Calibri" w:hAnsiTheme="majorBidi" w:cstheme="majorBidi"/>
        </w:rPr>
        <w:fldChar w:fldCharType="separate"/>
      </w:r>
      <w:r w:rsidR="00AA2760" w:rsidRPr="00AA2760">
        <w:t>(</w:t>
      </w:r>
      <w:r w:rsidR="00AA2760">
        <w:rPr>
          <w:noProof/>
        </w:rPr>
        <w:t>1</w:t>
      </w:r>
      <w:r w:rsidR="00AA2760" w:rsidRPr="00AA2760">
        <w:t>)</w:t>
      </w:r>
      <w:r w:rsidRPr="00FF66E7">
        <w:rPr>
          <w:rFonts w:asciiTheme="majorBidi" w:eastAsia="Calibri" w:hAnsiTheme="majorBidi" w:cstheme="majorBidi"/>
        </w:rPr>
        <w:fldChar w:fldCharType="end"/>
      </w:r>
      <w:r w:rsidRPr="00FF66E7">
        <w:rPr>
          <w:rFonts w:asciiTheme="majorBidi" w:eastAsia="Calibri" w:hAnsiTheme="majorBidi" w:cstheme="majorBidi"/>
        </w:rPr>
        <w:t>:</w:t>
      </w:r>
    </w:p>
    <w:tbl>
      <w:tblPr>
        <w:tblW w:w="5035" w:type="pct"/>
        <w:tblLook w:val="04A0" w:firstRow="1" w:lastRow="0" w:firstColumn="1" w:lastColumn="0" w:noHBand="0" w:noVBand="1"/>
      </w:tblPr>
      <w:tblGrid>
        <w:gridCol w:w="8444"/>
        <w:gridCol w:w="645"/>
      </w:tblGrid>
      <w:tr w:rsidR="003355E1" w:rsidRPr="00052853" w:rsidTr="003355E1">
        <w:tc>
          <w:tcPr>
            <w:tcW w:w="7920" w:type="dxa"/>
          </w:tcPr>
          <w:p w:rsidR="003355E1" w:rsidRPr="00052853" w:rsidRDefault="00052853" w:rsidP="00E639B5">
            <w:pPr>
              <w:keepNext/>
              <w:spacing w:before="120" w:after="120"/>
              <w:rPr>
                <w:rFonts w:asciiTheme="majorBidi" w:hAnsiTheme="majorBidi" w:cstheme="majorBidi"/>
                <w:i/>
                <w:iCs/>
              </w:rPr>
            </w:pPr>
            <m:oMathPara>
              <m:oMath>
                <m:r>
                  <m:rPr>
                    <m:nor/>
                  </m:rPr>
                  <w:rPr>
                    <w:rFonts w:asciiTheme="majorBidi" w:eastAsia="Calibri" w:hAnsiTheme="majorBidi" w:cstheme="majorBidi"/>
                    <w:i/>
                    <w:iCs/>
                    <w:kern w:val="2"/>
                    <w:szCs w:val="24"/>
                    <w14:ligatures w14:val="standardContextual"/>
                  </w:rPr>
                  <m:t xml:space="preserve">Sinkhole </m:t>
                </m:r>
                <m:r>
                  <m:rPr>
                    <m:nor/>
                  </m:rPr>
                  <w:rPr>
                    <w:rFonts w:asciiTheme="majorBidi" w:eastAsia="Calibri" w:hAnsiTheme="majorBidi" w:cstheme="majorBidi"/>
                    <w:i/>
                    <w:iCs/>
                    <w:kern w:val="2"/>
                    <w:szCs w:val="24"/>
                    <w14:ligatures w14:val="standardContextual"/>
                  </w:rPr>
                  <m:t>Attack Effect=</m:t>
                </m:r>
                <m:r>
                  <w:rPr>
                    <w:rFonts w:ascii="Cambria Math" w:eastAsia="Calibri" w:hAnsi="Cambria Math" w:cstheme="majorBidi"/>
                    <w:kern w:val="2"/>
                    <w:szCs w:val="24"/>
                    <w14:ligatures w14:val="standardContextual"/>
                  </w:rPr>
                  <m:t xml:space="preserve"> </m:t>
                </m:r>
                <m:f>
                  <m:fPr>
                    <m:ctrlPr>
                      <w:rPr>
                        <w:rFonts w:ascii="Cambria Math" w:eastAsia="Calibri" w:hAnsi="Cambria Math" w:cstheme="majorBidi"/>
                        <w:i/>
                        <w:iCs/>
                        <w:kern w:val="2"/>
                        <w:szCs w:val="24"/>
                        <w14:ligatures w14:val="standardContextual"/>
                      </w:rPr>
                    </m:ctrlPr>
                  </m:fPr>
                  <m:num>
                    <m:r>
                      <m:rPr>
                        <m:nor/>
                      </m:rPr>
                      <w:rPr>
                        <w:rFonts w:asciiTheme="majorBidi" w:eastAsia="Calibri" w:hAnsiTheme="majorBidi" w:cstheme="majorBidi"/>
                        <w:i/>
                        <w:iCs/>
                        <w:kern w:val="2"/>
                        <w:szCs w:val="24"/>
                        <w14:ligatures w14:val="standardContextual"/>
                      </w:rPr>
                      <m:t>Number of Affected Nodes</m:t>
                    </m:r>
                    <m:r>
                      <w:rPr>
                        <w:rFonts w:ascii="Cambria Math" w:eastAsia="Calibri" w:hAnsi="Cambria Math" w:cstheme="majorBidi"/>
                        <w:kern w:val="2"/>
                        <w:szCs w:val="24"/>
                        <w14:ligatures w14:val="standardContextual"/>
                      </w:rPr>
                      <m:t xml:space="preserve"> </m:t>
                    </m:r>
                  </m:num>
                  <m:den>
                    <m:r>
                      <m:rPr>
                        <m:nor/>
                      </m:rPr>
                      <w:rPr>
                        <w:rFonts w:asciiTheme="majorBidi" w:eastAsia="Calibri" w:hAnsiTheme="majorBidi" w:cstheme="majorBidi"/>
                        <w:i/>
                        <w:iCs/>
                        <w:kern w:val="2"/>
                        <w:szCs w:val="24"/>
                        <w14:ligatures w14:val="standardContextual"/>
                      </w:rPr>
                      <m:t>Total Number of Sen</m:t>
                    </m:r>
                    <w:proofErr w:type="spellStart"/>
                    <m:r>
                      <m:rPr>
                        <m:nor/>
                      </m:rPr>
                      <w:rPr>
                        <w:rFonts w:asciiTheme="majorBidi" w:eastAsia="Calibri" w:hAnsiTheme="majorBidi" w:cstheme="majorBidi"/>
                        <w:i/>
                        <w:iCs/>
                        <w:kern w:val="2"/>
                        <w:szCs w:val="24"/>
                        <w14:ligatures w14:val="standardContextual"/>
                      </w:rPr>
                      <m:t>sor</m:t>
                    </m:r>
                    <w:proofErr w:type="spellEnd"/>
                    <m:r>
                      <m:rPr>
                        <m:nor/>
                      </m:rPr>
                      <w:rPr>
                        <w:rFonts w:asciiTheme="majorBidi" w:eastAsia="Calibri" w:hAnsiTheme="majorBidi" w:cstheme="majorBidi"/>
                        <w:i/>
                        <w:iCs/>
                        <w:kern w:val="2"/>
                        <w:szCs w:val="24"/>
                        <w14:ligatures w14:val="standardContextual"/>
                      </w:rPr>
                      <m:t xml:space="preserve"> Nodes - Number of Attacking Nodes</m:t>
                    </m:r>
                    <m:r>
                      <w:rPr>
                        <w:rFonts w:ascii="Cambria Math" w:eastAsia="Calibri" w:hAnsi="Cambria Math" w:cstheme="majorBidi"/>
                        <w:kern w:val="2"/>
                        <w:szCs w:val="24"/>
                        <w14:ligatures w14:val="standardContextual"/>
                      </w:rPr>
                      <m:t xml:space="preserve"> </m:t>
                    </m:r>
                  </m:den>
                </m:f>
              </m:oMath>
            </m:oMathPara>
          </w:p>
        </w:tc>
        <w:tc>
          <w:tcPr>
            <w:tcW w:w="644" w:type="dxa"/>
            <w:vAlign w:val="center"/>
          </w:tcPr>
          <w:p w:rsidR="003355E1" w:rsidRPr="00052853" w:rsidRDefault="003355E1" w:rsidP="00E639B5">
            <w:pPr>
              <w:pStyle w:val="Equation"/>
              <w:spacing w:before="120" w:after="120"/>
            </w:pPr>
            <w:bookmarkStart w:id="16" w:name="_Ref160538663"/>
            <w:r w:rsidRPr="00052853">
              <w:t>(</w:t>
            </w:r>
            <w:r w:rsidRPr="00052853">
              <w:fldChar w:fldCharType="begin"/>
            </w:r>
            <w:r w:rsidRPr="00052853">
              <w:instrText xml:space="preserve"> SEQ Equation \* ARABIC </w:instrText>
            </w:r>
            <w:r w:rsidRPr="00052853">
              <w:fldChar w:fldCharType="separate"/>
            </w:r>
            <w:r w:rsidR="00AA2760">
              <w:rPr>
                <w:noProof/>
              </w:rPr>
              <w:t>1</w:t>
            </w:r>
            <w:r w:rsidRPr="00052853">
              <w:rPr>
                <w:noProof/>
              </w:rPr>
              <w:fldChar w:fldCharType="end"/>
            </w:r>
            <w:r w:rsidRPr="00052853">
              <w:t>)</w:t>
            </w:r>
            <w:bookmarkEnd w:id="16"/>
          </w:p>
        </w:tc>
      </w:tr>
    </w:tbl>
    <w:p w:rsidR="003355E1" w:rsidRPr="00FF66E7" w:rsidRDefault="003355E1" w:rsidP="003355E1">
      <w:r w:rsidRPr="00FF66E7">
        <w:rPr>
          <w:rFonts w:asciiTheme="majorBidi" w:eastAsia="Calibri" w:hAnsiTheme="majorBidi" w:cstheme="majorBidi"/>
        </w:rPr>
        <w:t>where “Affected Nodes” refers to nodes whose traffic passes directly or indirectly through the compromised node(s) after the attack.</w:t>
      </w:r>
    </w:p>
    <w:p w:rsidR="00F13024" w:rsidRPr="00F13024" w:rsidRDefault="00F13024" w:rsidP="00821C96">
      <w:pPr>
        <w:pStyle w:val="Heading1"/>
      </w:pPr>
      <w:bookmarkStart w:id="17" w:name="_Toc162153369"/>
      <w:bookmarkStart w:id="18" w:name="_Toc162789984"/>
      <w:r w:rsidRPr="00F13024">
        <w:t>Determination of Appropriate Network Sizes</w:t>
      </w:r>
      <w:bookmarkEnd w:id="17"/>
      <w:bookmarkEnd w:id="18"/>
      <w:r w:rsidR="00821C96">
        <w:t xml:space="preserve"> to Simulate</w:t>
      </w:r>
    </w:p>
    <w:p w:rsidR="00F13024" w:rsidRPr="00F13024" w:rsidRDefault="00D431D7" w:rsidP="00D431D7">
      <w:pPr>
        <w:rPr>
          <w:rFonts w:asciiTheme="majorBidi" w:hAnsiTheme="majorBidi" w:cstheme="majorBidi"/>
        </w:rPr>
      </w:pPr>
      <w:r>
        <w:t>A</w:t>
      </w:r>
      <w:r w:rsidR="00F13024" w:rsidRPr="00F13024">
        <w:t xml:space="preserve">nalysis of the literature </w:t>
      </w:r>
      <w:r>
        <w:t xml:space="preserve">available at the time of creating this dataset (~March 2024) has shown </w:t>
      </w:r>
      <w:r w:rsidR="00F13024" w:rsidRPr="00F13024">
        <w:t xml:space="preserve">that previous researchers have used three ranges of network sizes as shown in </w:t>
      </w:r>
      <w:r w:rsidR="00F13024" w:rsidRPr="00F13024">
        <w:fldChar w:fldCharType="begin"/>
      </w:r>
      <w:r w:rsidR="00F13024" w:rsidRPr="00F13024">
        <w:instrText xml:space="preserve"> REF _Ref159844279 \h  \* MERGEFORMAT </w:instrText>
      </w:r>
      <w:r w:rsidR="00F13024" w:rsidRPr="00F13024">
        <w:fldChar w:fldCharType="separate"/>
      </w:r>
      <w:r w:rsidR="00AA2760" w:rsidRPr="00F13024">
        <w:t xml:space="preserve">Table </w:t>
      </w:r>
      <w:r w:rsidR="00AA2760">
        <w:rPr>
          <w:noProof/>
        </w:rPr>
        <w:t>1</w:t>
      </w:r>
      <w:r w:rsidR="00F13024" w:rsidRPr="00F13024">
        <w:fldChar w:fldCharType="end"/>
      </w:r>
      <w:r w:rsidR="00F13024" w:rsidRPr="00F13024">
        <w:t xml:space="preserve">. </w:t>
      </w:r>
    </w:p>
    <w:p w:rsidR="00F13024" w:rsidRPr="00F13024" w:rsidRDefault="00F13024" w:rsidP="00F13024">
      <w:pPr>
        <w:pStyle w:val="Caption-Table"/>
        <w:spacing w:line="276" w:lineRule="auto"/>
      </w:pPr>
      <w:bookmarkStart w:id="19" w:name="_Ref159844279"/>
      <w:bookmarkStart w:id="20" w:name="_Toc161655673"/>
      <w:bookmarkStart w:id="21" w:name="_Toc162790054"/>
      <w:r w:rsidRPr="00F13024">
        <w:t xml:space="preserve">Table </w:t>
      </w:r>
      <w:r w:rsidRPr="00F13024">
        <w:fldChar w:fldCharType="begin"/>
      </w:r>
      <w:r w:rsidRPr="00F13024">
        <w:instrText xml:space="preserve"> SEQ Table \* ARABIC </w:instrText>
      </w:r>
      <w:r w:rsidRPr="00F13024">
        <w:fldChar w:fldCharType="separate"/>
      </w:r>
      <w:r w:rsidR="00AA2760">
        <w:rPr>
          <w:noProof/>
        </w:rPr>
        <w:t>1</w:t>
      </w:r>
      <w:r w:rsidRPr="00F13024">
        <w:rPr>
          <w:noProof/>
        </w:rPr>
        <w:fldChar w:fldCharType="end"/>
      </w:r>
      <w:bookmarkEnd w:id="19"/>
      <w:r w:rsidRPr="00F13024">
        <w:t xml:space="preserve"> – Network Size Ranges Employed in the Literature</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890"/>
        <w:gridCol w:w="5595"/>
      </w:tblGrid>
      <w:tr w:rsidR="00F13024" w:rsidRPr="00F13024" w:rsidTr="00F13024">
        <w:tc>
          <w:tcPr>
            <w:tcW w:w="1525" w:type="dxa"/>
            <w:vAlign w:val="center"/>
          </w:tcPr>
          <w:p w:rsidR="00F13024" w:rsidRPr="00F13024" w:rsidRDefault="00F13024" w:rsidP="00F13024">
            <w:pPr>
              <w:pStyle w:val="TableColHead"/>
            </w:pPr>
            <w:r w:rsidRPr="00F13024">
              <w:t>Network Size</w:t>
            </w:r>
          </w:p>
        </w:tc>
        <w:tc>
          <w:tcPr>
            <w:tcW w:w="1890" w:type="dxa"/>
            <w:vAlign w:val="center"/>
          </w:tcPr>
          <w:p w:rsidR="00F13024" w:rsidRPr="00F13024" w:rsidRDefault="00F13024" w:rsidP="00F13024">
            <w:pPr>
              <w:pStyle w:val="TableColHead"/>
            </w:pPr>
            <w:r w:rsidRPr="00F13024">
              <w:t>Number of nodes</w:t>
            </w:r>
          </w:p>
        </w:tc>
        <w:tc>
          <w:tcPr>
            <w:tcW w:w="5595" w:type="dxa"/>
            <w:vAlign w:val="center"/>
          </w:tcPr>
          <w:p w:rsidR="00F13024" w:rsidRPr="00F13024" w:rsidRDefault="00F13024" w:rsidP="00F13024">
            <w:pPr>
              <w:pStyle w:val="TableColHead"/>
            </w:pPr>
            <w:r w:rsidRPr="00F13024">
              <w:t>References</w:t>
            </w:r>
          </w:p>
        </w:tc>
      </w:tr>
      <w:tr w:rsidR="00F13024" w:rsidRPr="00F13024" w:rsidTr="00F13024">
        <w:tc>
          <w:tcPr>
            <w:tcW w:w="1525" w:type="dxa"/>
          </w:tcPr>
          <w:p w:rsidR="00F13024" w:rsidRPr="00F13024" w:rsidRDefault="00F13024" w:rsidP="00F13024">
            <w:pPr>
              <w:pStyle w:val="TableEntry"/>
            </w:pPr>
            <w:r w:rsidRPr="00F13024">
              <w:t>Small</w:t>
            </w:r>
          </w:p>
        </w:tc>
        <w:tc>
          <w:tcPr>
            <w:tcW w:w="1890" w:type="dxa"/>
          </w:tcPr>
          <w:p w:rsidR="00F13024" w:rsidRPr="00F13024" w:rsidRDefault="00F13024" w:rsidP="00F13024">
            <w:pPr>
              <w:pStyle w:val="TableEntry"/>
            </w:pPr>
            <w:r w:rsidRPr="00F13024">
              <w:t>Less than 20</w:t>
            </w:r>
          </w:p>
        </w:tc>
        <w:tc>
          <w:tcPr>
            <w:tcW w:w="5595" w:type="dxa"/>
          </w:tcPr>
          <w:p w:rsidR="00F13024" w:rsidRPr="00F13024" w:rsidRDefault="00F13024" w:rsidP="00F13024">
            <w:pPr>
              <w:pStyle w:val="TableEntry"/>
            </w:pP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{"citationItems":[{"id":"ITEM-1","itemData":{"DOI":"10.1016/j.adhoc.2013.04.014","ISSN":"15708705","abstract":"In the Internet of Things (IoT), resource-constrained things are connected to the unreliable and untrusted Internet via IPv6 and 6LoWPAN networks. Even when they are secured with encryption and authentication, these things are exposed both to wireless attacks from inside the 6LoWPAN network and from the Internet. Since these attacks may succeed, Intrusion Detection Systems (IDS) are necessary. Currently, there are no IDSs that meet the requirements of the IPv6-connected IoT since the available approaches are either customized for Wireless Sensor Networks (WSN) or for the conventional Internet. In this paper we design, implement, and evaluate a novel intrusion detection system for the IoT that we call SVELTE. In our implementation and evaluation we primarily target routing attacks such as spoofed or altered information, sinkhole, and selective-forwarding. However, our approach can be extended to detect other attacks. We implement SVELTE in the Contiki OS and thoroughly evaluate it. Our evaluation shows that in the simulated scenarios, SVELTE detects all malicious nodes that launch our implemented sinkhole and/or selective forwarding attacks. However, the true positive rate is not 100%, i.e., we have some false alarms during the detection of malicious nodes. Also, SVELTE's overhead is small enough to deploy it on constrained nodes with limited energy and memory capacity. © 2013 Elsevier B.V. All rights reserved.","author":[{"dropping-particle":"","family":"Raza","given":"Shahid","non-dropping-particle":"","parse-names":false,"suffix":""},{"dropping-particle":"","family":"Wallgren","given":"Linus","non-dropping-particle":"","parse-names":false,"suffix":""},{"dropping-particle":"","family":"Voigt","given":"Thiemo","non-dropping-particle":"","parse-names":false,"suffix":""}],"container-title":"Ad Hoc Networks","id":"ITEM-1","issue":"8","issued":{"date-parts":[["2013"]]},"page":"2661-2674","title":"SVELTE: Real-time intrusion detection in the Internet of Things","type":"article-journal","volume":"11"},"uris":["http://www.mendeley.com/documents/?uuid=7c0d39ca-cc62-43c2-9e4b-3fc3acc398b5"]}],"mendeley":{"formattedCitation":"[1]","plainTextFormattedCitation":"[1]","previouslyFormattedCitation":"[33]"},"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[1]</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{"citationItems":[{"id":"ITEM-1","itemData":{"DOI":"10.1080/19393555.2019.1658829","ISSN":"19393547","abstract":"Demands for the deployment of large-scale Low power and Lossy Networks (LLN) are growing these days. Internet of Things (IoT) refers to networks that communicate over Internet Protocols (IPs). Routing Protocol for Low power and Lossy Networks (RPL) is a standard routing protocol for networks which has been exposed to a variety of attacks. Previous works have addressed those attacks; however, each study has focused on a single attack. In this work, we propose the hybrid of Sinkhole and CloneID attacks named “Sink-Clone” attack. The paper demonstrates the effect of this hybrid attack on RPL performance and evaluates it against a detection method which is inspired by previous detection methods. The hybrid attack and the Intrusion Detection System (IDS) have been simulated in Cooja simulator where the results show the impacts of the hybrid attack compared to the standalone attacks as well as the capability of the proposed IDS in detecting malicious nodes in a hybrid scenario.","author":[{"dropping-particle":"","family":"Mirshahjafari","given":"Sayed Mohammad Hossein","non-dropping-particle":"","parse-names":false,"suffix":""},{"dropping-particle":"","family":"Ghahfarokhi","given":"Behrouz Shahgholi","non-dropping-particle":"","parse-names":false,"suffix":""}],"container-title":"Information Security Journal","id":"ITEM-1","issue":"4-5","issued":{"date-parts":[["2019"]]},"page":"107-119","title":"Sinkhole+CloneID: A hybrid attack on RPL performance and detection method","type":"article-journal","volume":"28"},"uris":["http://www.mendeley.com/documents/?uuid=392d3085-b3ef-47b1-95d0-7f63e0227404"]}],"mendeley":{"formattedCitation":"[2]","plainTextFormattedCitation":"[2]","previouslyFormattedCitation":"[40]"},"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[2]</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{"citationItems":[{"id":"ITEM-1","itemData":{"DOI":"10.1016/j.comcom.2016.12.001","ISSN":"1873703X","abstract":"Internet of Things (IoT) is a novel paradigm in computer networks in which resource-constrained objects connect to unreliable Internet by using a wide range of technologies. The insecure nature of the Internet and wireless sensor networks, that are the main components of IoT, make IoT vulnerable to different attacks, especially routing attacks (as insider attacks). A novel real-time hybrid intrusion detection framework is proposed in this study that consists of anomaly-based and specification-based intrusion detection modules for detecting two well-known routing attacks in IoT called sinkhole and selective-forwarding attacks. For this purpose, the specification-based intrusion detection agents, that are located in the router nodes, analyze the behavior of their host nodes and send their local results to the root node through normal data packets. In addition, an anomaly-based intrusion detection agent, that is located in the root node, employs the unsupervised optimum-path forest algorithm for projecting clustering models by using incoming data packets. This agent, which is based on the MapReduce architecture, can work in a distributed platform for projecting clustering models and consequently parallel detecting of anomalies as a global detection approach. The proposed method makes decision about suspicious behavior by using a voting mechanism. Notably, the proposed method is also extended to detect wormhole attack. The deployment of the hybrid proposed model is investigated in a smart-city scenario by an existing platform, as well. The free network's scale and the ability to identify malicious nodes are two key features of the proposed framework that are evaluated through different experiments in this study. The experimental results of simulated scenarios showed that the proposed hybrid method can achieve true positive rate of 76.19% and false positive rate of 5.92% when both sinkhole and selective-forwarding attacks were launched simultaneously. These rates in detecting wormhole attack are 96.02% and 2.08%, respectively.","author":[{"dropping-particle":"","family":"Bostani","given":"Hamid","non-dropping-particle":"","parse-names":false,"suffix":""},{"dropping-particle":"","family":"Sheikhan","given":"Mansour","non-dropping-particle":"","parse-names":false,"suffix":""}],"container-title":"Computer Communications","id":"ITEM-1","issued":{"date-parts":[["2017"]]},"page":"52-71","title":"Hybrid of anomaly-based and specification-based IDS for Internet of Things using unsupervised OPF based on MapReduce approach","type":"article-journal","volume":"98"},"uris":["http://www.mendeley.com/documents/?uuid=95a11579-6abd-417d-86c9-cc2d3b450218"]}],"mendeley":{"formattedCitation":"[3]","plainTextFormattedCitation":"[3]","previouslyFormattedCitation":"[60]"},"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[3]</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{"citationItems":[{"id":"ITEM-1","itemData":{"DOI":"10.12720/jcm.13.5.198-208","ISSN":"17962021","abstract":"Internet Protocol version 6 (IPv6) over Low Power Wireless Personal Area Networks (6LoWPAN) is extensively used in Wireless Sensor Networks (WSNs) due to its ability to transmit IPv6 packet with low bandwidth and limited resources. 6LoWPAN has several operations in each layer. Most existing security challenges are focused on the network layer, which is represented by its routing protocol for low-power and lossy network (RPL). The 6LoWPAN with its Routing Protocol (RPL) usually uses nodes that have constrained resources (memory, power, processor). In addition, RPL messages are exchanged among network nodes without using any message authentication mechanism. Therefore, the RPL exposes to various attacks that may lead to network disrupt. A sinkhole attack is one of the attacks that is utilizing the vulnerabilities in RPL and attract considerable traffic by advertising falsified information data that change the routing preference for other nodes. This paper intents to propose a hybrid monitoring technique for detecting abnormal behaviour in RPL-based network. The proposed technique is evaluated using Cooja simulator in term of power consumption and detection accuracy. Also, the proposed technique was compared with other popular detection mechanisms.","author":[{"dropping-particle":"","family":"Alzubaidi","given":"Mahmood","non-dropping-particle":"","parse-names":false,"suffix":""},{"dropping-particle":"","family":"Anbar","given":"Mohammed","non-dropping-particle":"","parse-names":false,"suffix":""},{"dropping-particle":"","family":"Chong","given":"Yung Wey","non-dropping-particle":"","parse-names":false,"suffix":""},{"dropping-particle":"","family":"Al-Sarawi","given":"Shadi","non-dropping-particle":"","parse-names":false,"suffix":""}],"container-title":"Journal of Communications","id":"ITEM-1","issue":"5","issued":{"date-parts":[["2018"]]},"page":"198-208","title":"Hybrid monitoring technique for detecting abnormal behaviour in rpl-based network","type":"article-journal","volume":"13"},"uris":["http://www.mendeley.com/documents/?uuid=f4febb3b-ddf7-41a5-8d57-50b1d5c299a3"]}],"mendeley":{"formattedCitation":"[4]","plainTextFormattedCitation":"[4]","previouslyFormattedCitation":"[43]"},"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[4]</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{"citationItems":[{"id":"ITEM-1","itemData":{"DOI":"10.1109/ICCKE48569.2019.8965177","ISBN":"9781728150758","abstract":"The RPL protocol was provided for routing in the Internet of Things (IoT) network. This protocol may be under attack. One of the attacks in the RPL protocol is the sinkhole attack that, an attacker tries to attract nearby nodes and, as a result, it causes that many nodes pass their traffic through the attacker node. In the previous methods for detecting a sinkhole attack in the RPL protocol, the accuracy of the detection parameter has been important. In the present study, by providing a local detection method called DEEM and improving the overhead in terms of energy consumption associated with the detection method, also a proper detection accuracy was obtained. DEEM has two phases in each node called Information Gathering and Detection Phases. We implemented DEEM on Contiki OS and evaluated it using the Cooja simulator. Our assessment shows that, in simulated scenarios, DEEM has a low overhead in term of energy consumption, a high true positive rate, and a good detection speed, and this is a scalable method. The cost of DEEM overhead is small enough to be deployed in resource-constrained nodes.","author":[{"dropping-particle":"","family":"Taghanaki","given":"Saeid Rafiei","non-dropping-particle":"","parse-names":false,"suffix":""},{"dropping-particle":"","family":"Jamshidi","given":"Kamal","non-dropping-particle":"","parse-names":false,"suffix":""},{"dropping-particle":"","family":"Bohlooli","given":"Ali","non-dropping-particle":"","parse-names":false,"suffix":""}],"container-title":"2019 9th International Conference on Computer and Knowledge Engineering, ICCKE 2019","id":"ITEM-1","issue":"9","issued":{"date-parts":[["2019"]]},"page":"325-330","title":"DEEM: A decentralized and energy efficient method for detecting sinkhole attacks on the internet of things","type":"article-journal","volume":"2019"},"uris":["http://www.mendeley.com/documents/?uuid=d0df77a0-b589-41fa-872f-eb387195670b"]}],"mendeley":{"formattedCitation":"[5]","plainTextFormattedCitation":"[5]","previouslyFormattedCitation":"[41]"},"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[5]</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szCs w:val="24"/>
              </w:rPr>
              <w:fldChar w:fldCharType="begin" w:fldLock="1"/>
            </w:r>
            <w:r w:rsidR="00D431D7">
              <w:rPr>
                <w:rFonts w:asciiTheme="majorBidi" w:eastAsia="ヒラギノ角ゴ Pro W3" w:hAnsiTheme="majorBidi" w:cstheme="majorBidi"/>
                <w:szCs w:val="24"/>
              </w:rPr>
              <w:instrText>ADDIN CSL_CITATION {"citationItems":[{"id":"ITEM-1","itemData":{"DOI":"10.1109/CyberC.2018.00020","ISBN":"9781728109749","abstract":"RPL is a routing protocol for Low-Power and Lossy Networks, which is the routing protocol standardized for the Internet of Things (IoT). However, RPL has many serious vulnerabilities which can be exploited by attackers. In this paper, we adopt an finite state machines(FSM) based vulnerability discovering approach to analyze the security vulnerabilities of RPL, which can successfully discover sinkhole attack, selective-forwarding attack and hello flood attack. Then we propose some security countermeasures to defend against the attacks. Finally, we run a thorough set of simulations to assess the impact of the sinkhole attack and the effectiveness of proposed countermeasure. The results show that the attack can significantly damage the RPL and the countermeasure can successfully detect the malicious node.","author":[{"dropping-particle":"","family":"Yang","given":"Wei","non-dropping-particle":"","parse-names":false,"suffix":""},{"dropping-particle":"","family":"Wang","given":"Yuan","non-dropping-particle":"","parse-names":false,"suffix":""},{"dropping-particle":"","family":"Lai","given":"Zhixiang","non-dropping-particle":"","parse-names":false,"suffix":""},{"dropping-particle":"","family":"Wan","given":"Yadong","non-dropping-particle":"","parse-names":false,"suffix":""},{"dropping-particle":"","family":"Cheng","given":"Zhuo","non-dropping-particle":"","parse-names":false,"suffix":""}],"container-title":"Proceedings - 2018 International Conference on Cyber-Enabled Distributed Computing and Knowledge Discovery, CyberC 2018","id":"ITEM-1","issued":{"date-parts":[["2019"]]},"page":"49-54","publisher":"Conf. Cyber-Enabled Distrib. Comput. Knowl. Discov. CyberC 2018","title":"Security Vulnerabilities and Countermeasures in the RPL-Based Internet of Things","type":"paper-conference"},"uris":["http://www.mendeley.com/documents/?uuid=e3fd6621-ae11-46c8-abe0-6483841d67f4"]}],"mendeley":{"formattedCitation":"[6]","plainTextFormattedCitation":"[6]","previouslyFormattedCitation":"[35]"},"properties":{"noteIndex":0},"schema":"https://github.com/citation-style-language/schema/raw/master/csl-citation.json"}</w:instrText>
            </w:r>
            <w:r w:rsidRPr="00F13024">
              <w:rPr>
                <w:rFonts w:asciiTheme="majorBidi" w:eastAsia="ヒラギノ角ゴ Pro W3" w:hAnsiTheme="majorBidi" w:cstheme="majorBidi"/>
                <w:szCs w:val="24"/>
              </w:rPr>
              <w:fldChar w:fldCharType="separate"/>
            </w:r>
            <w:r w:rsidR="00D431D7" w:rsidRPr="00D431D7">
              <w:rPr>
                <w:rFonts w:asciiTheme="majorBidi" w:eastAsia="ヒラギノ角ゴ Pro W3" w:hAnsiTheme="majorBidi" w:cstheme="majorBidi"/>
                <w:noProof/>
                <w:szCs w:val="24"/>
              </w:rPr>
              <w:t>[6]</w:t>
            </w:r>
            <w:r w:rsidRPr="00F13024">
              <w:rPr>
                <w:rFonts w:asciiTheme="majorBidi" w:eastAsia="ヒラギノ角ゴ Pro W3" w:hAnsiTheme="majorBidi" w:cstheme="majorBidi"/>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noProof/>
                <w:color w:val="000000"/>
                <w:szCs w:val="24"/>
              </w:rPr>
              <w:fldChar w:fldCharType="begin" w:fldLock="1"/>
            </w:r>
            <w:r w:rsidR="00D431D7">
              <w:rPr>
                <w:rFonts w:asciiTheme="majorBidi" w:eastAsia="ヒラギノ角ゴ Pro W3" w:hAnsiTheme="majorBidi" w:cstheme="majorBidi"/>
                <w:noProof/>
                <w:color w:val="000000"/>
                <w:szCs w:val="24"/>
              </w:rPr>
              <w:instrText>ADDIN CSL_CITATION {"citationItems":[{"id":"ITEM-1","itemData":{"DOI":"10.3390/s22187052","ISSN":"14248220","PMID":"36146400","abstract":"In IoT networks, the de facto Routing Protocol for Low Power and Lossy Networks (RPL) is vulnerable to various attacks. Routing attacks in RPL-based IoT are becoming critical with the increase in the number of IoT applications and devices globally. To address routing attacks in RPL-based IoT, several security solutions have been proposed in literature, such as machine learning techniques, intrusion detection systems, and trust-based approaches. Studies show that trust-based security for IoT is feasible due to its simple integration and resource-constrained nature of smart devices. Existing trust-based solutions have insufficient consideration of nodes’ mobility and are not evaluated for dynamic scenarios to satisfy the requirements of smart applications. This research work addresses the Rank and Blackhole attacks in RPL considering the static as well as mobile nodes in IoT. The proposed Security, Mobility, and Trust-based model (SMTrust) relies on carefully chosen trust factors and metrics, including mobility-based metrics. The evaluation of the proposed model through simulation experiments shows that SMTrust performs better than the existing trust-based methods for securing RPL. The improvisation in terms of topology stability is 46%, reduction in packet loss rate is 45%, and 35% increase in throughput, with only 2.3% increase in average power consumption.","author":[{"dropping-particle":"","family":"Muzammal","given":"Syeda Mariam","non-dropping-particle":"","parse-names":false,"suffix":""},{"dropping-particle":"","family":"Murugesan","given":"Raja Kumar","non-dropping-particle":"","parse-names":false,"suffix":""},{"dropping-particle":"","family":"Jhanjhi","given":"Noor Zaman","non-dropping-particle":"","parse-names":false,"suffix":""},{"dropping-particle":"","family":"Humayun","given":"Mamoona","non-dropping-particle":"","parse-names":false,"suffix":""},{"dropping-particle":"","family":"Ibrahim","given":"Ashraf Osman","non-dropping-particle":"","parse-names":false,"suffix":""},{"dropping-particle":"","family":"Abdelmaboud","given":"Abdelzahir","non-dropping-particle":"","parse-names":false,"suffix":""}],"container-title":"Sensors","id":"ITEM-1","issue":"18","issued":{"date-parts":[["2022","9"]]},"publisher":"MDPI","title":"A Trust-Based Model for Secure Routing against RPL Attacks in Internet of Things","type":"article-journal","volume":"22"},"uris":["http://www.mendeley.com/documents/?uuid=c68dd032-8445-4e3a-a378-f3d4f80d521b"]}],"mendeley":{"formattedCitation":"[7]","plainTextFormattedCitation":"[7]","previouslyFormattedCitation":"[55]"},"properties":{"noteIndex":0},"schema":"https://github.com/citation-style-language/schema/raw/master/csl-citation.json"}</w:instrText>
            </w:r>
            <w:r w:rsidRPr="00F13024">
              <w:rPr>
                <w:rFonts w:asciiTheme="majorBidi" w:eastAsia="ヒラギノ角ゴ Pro W3" w:hAnsiTheme="majorBidi" w:cstheme="majorBidi"/>
                <w:noProof/>
                <w:color w:val="000000"/>
                <w:szCs w:val="24"/>
              </w:rPr>
              <w:fldChar w:fldCharType="separate"/>
            </w:r>
            <w:r w:rsidR="00D431D7" w:rsidRPr="00D431D7">
              <w:rPr>
                <w:rFonts w:asciiTheme="majorBidi" w:eastAsia="ヒラギノ角ゴ Pro W3" w:hAnsiTheme="majorBidi" w:cstheme="majorBidi"/>
                <w:noProof/>
                <w:color w:val="000000"/>
                <w:szCs w:val="24"/>
              </w:rPr>
              <w:t>[7]</w:t>
            </w:r>
            <w:r w:rsidRPr="00F13024">
              <w:rPr>
                <w:rFonts w:asciiTheme="majorBidi" w:eastAsia="ヒラギノ角ゴ Pro W3" w:hAnsiTheme="majorBidi" w:cstheme="majorBidi"/>
                <w:noProof/>
                <w:color w:val="000000"/>
                <w:szCs w:val="24"/>
              </w:rPr>
              <w:fldChar w:fldCharType="end"/>
            </w:r>
            <w:r w:rsidRPr="00F13024">
              <w:rPr>
                <w:rFonts w:asciiTheme="majorBidi" w:hAnsiTheme="majorBidi" w:cstheme="majorBidi"/>
                <w:noProof/>
                <w:szCs w:val="24"/>
              </w:rPr>
              <w:t xml:space="preserve">, </w:t>
            </w:r>
            <w:r w:rsidRPr="00F13024">
              <w:rPr>
                <w:rFonts w:asciiTheme="majorBidi" w:eastAsia="ヒラギノ角ゴ Pro W3" w:hAnsiTheme="majorBidi" w:cstheme="majorBidi"/>
                <w:noProof/>
                <w:color w:val="000000"/>
                <w:szCs w:val="24"/>
              </w:rPr>
              <w:fldChar w:fldCharType="begin" w:fldLock="1"/>
            </w:r>
            <w:r w:rsidR="00D431D7">
              <w:rPr>
                <w:rFonts w:asciiTheme="majorBidi" w:eastAsia="ヒラギノ角ゴ Pro W3" w:hAnsiTheme="majorBidi" w:cstheme="majorBidi"/>
                <w:noProof/>
                <w:color w:val="000000"/>
                <w:szCs w:val="24"/>
              </w:rPr>
              <w:instrText>ADDIN CSL_CITATION {"citationItems":[{"id":"ITEM-1","itemData":{"DOI":"10.1016/j.future.2018.03.021","ISSN":"0167739X","abstract":"The Routing Protocol for Low-Power and Lossy Networks (RPL), the de facto routing protocol for Internet of Things (IoT) offers little protection against various forms of routing attacks. An attacker can exploit the routing system of RPL to launch destructive and devastating attacks against an IoT network. Popular among these IoT attacks are Rank and Sybil attacks. To secure IoT networks from routing attacks, a time-based trust-aware RPL routing protocol (SecTrust-RPL) is proposed and implemented. The Secure Trust (SecTrust) trust system is embedded into the RPL routing protocol to provide protection against Rank and Sybil attacks. SecTrust-RPL uses a trust-based mechanism to detect and isolate attacks while optimizing network performance. The performance of SecTrust-RPL is compared with the standard RPL protocol. SecTrust-RPL protocol demonstrates its superior performance over the standard RPL protocol in the detection and isolation of Rank and Sybil attacks. The effectiveness and resilience of SecTrust-RPL is demonstrated through extensive simulation studies and testbed experiments. Based on SecTrust-RPL, we show as a proof-of-concept the viability of using trust as an effective security system for mitigating attacks in IoT networks.","author":[{"dropping-particle":"","family":"Airehrour","given":"David","non-dropping-particle":"","parse-names":false,"suffix":""},{"dropping-particle":"","family":"Gutierrez","given":"Jairo A.","non-dropping-particle":"","parse-names":false,"suffix":""},{"dropping-particle":"","family":"Ray","given":"Sayan Kumar","non-dropping-particle":"","parse-names":false,"suffix":""}],"container-title":"Future Generation Computer Systems","id":"ITEM-1","issued":{"date-parts":[["2019","4"]]},"page":"860-876","publisher":"Elsevier B.V.","title":"SecTrust-RPL: A secure trust-aware RPL routing protocol for Internet of Things","type":"article-journal","volume":"93"},"uris":["http://www.mendeley.com/documents/?uuid=3f5f1fff-7f03-4693-ba33-1099074fa1cf"]}],"mendeley":{"formattedCitation":"[8]","plainTextFormattedCitation":"[8]","previouslyFormattedCitation":"[53]"},"properties":{"noteIndex":0},"schema":"https://github.com/citation-style-language/schema/raw/master/csl-citation.json"}</w:instrText>
            </w:r>
            <w:r w:rsidRPr="00F13024">
              <w:rPr>
                <w:rFonts w:asciiTheme="majorBidi" w:eastAsia="ヒラギノ角ゴ Pro W3" w:hAnsiTheme="majorBidi" w:cstheme="majorBidi"/>
                <w:noProof/>
                <w:color w:val="000000"/>
                <w:szCs w:val="24"/>
              </w:rPr>
              <w:fldChar w:fldCharType="separate"/>
            </w:r>
            <w:r w:rsidR="00D431D7" w:rsidRPr="00D431D7">
              <w:rPr>
                <w:rFonts w:asciiTheme="majorBidi" w:eastAsia="ヒラギノ角ゴ Pro W3" w:hAnsiTheme="majorBidi" w:cstheme="majorBidi"/>
                <w:noProof/>
                <w:color w:val="000000"/>
                <w:szCs w:val="24"/>
              </w:rPr>
              <w:t>[8]</w:t>
            </w:r>
            <w:r w:rsidRPr="00F13024">
              <w:rPr>
                <w:rFonts w:asciiTheme="majorBidi" w:eastAsia="ヒラギノ角ゴ Pro W3" w:hAnsiTheme="majorBidi" w:cstheme="majorBidi"/>
                <w:noProof/>
                <w:color w:val="000000"/>
                <w:szCs w:val="24"/>
              </w:rPr>
              <w:fldChar w:fldCharType="end"/>
            </w:r>
            <w:r w:rsidRPr="00F13024">
              <w:rPr>
                <w:rFonts w:asciiTheme="majorBidi" w:hAnsiTheme="majorBidi" w:cstheme="majorBidi"/>
                <w:noProof/>
                <w:szCs w:val="24"/>
              </w:rPr>
              <w:t xml:space="preserve">, and </w:t>
            </w:r>
            <w:r w:rsidRPr="00F13024">
              <w:rPr>
                <w:rFonts w:asciiTheme="majorBidi" w:eastAsia="ヒラギノ角ゴ Pro W3" w:hAnsiTheme="majorBidi" w:cstheme="majorBidi"/>
                <w:color w:val="000000"/>
                <w:szCs w:val="24"/>
              </w:rPr>
              <w:fldChar w:fldCharType="begin" w:fldLock="1"/>
            </w:r>
            <w:r w:rsidR="00D431D7">
              <w:rPr>
                <w:rFonts w:asciiTheme="majorBidi" w:hAnsiTheme="majorBidi" w:cstheme="majorBidi"/>
              </w:rPr>
              <w:instrText>ADDIN CSL_CITATION {"citationItems":[{"id":"ITEM-1","itemData":{"DOI":"10.1109/ACCESS.2018.2798626","ISSN":"21693536","abstract":"Prior 6LoWPAN intrusion detection system (IDS) utilized several features to detect various malicious activities. However, these IDS methods only detect specific attack but fails when the attacks are combined. In this paper, we propose an IDS known as compression header analyzer intrusion detection system (CHA-IDS) that analyzes 6LoWPAN compression header data to mitigate the individual and combination routing attacks. CHA-IDS is a multi-agent system framework that capture and manage raw data for data collection, analysis, and system actions. The proposed CHA-IDS utilize best first and greedy stepwise with correlation-based feature selection to determine only significant features needed for the intrusion detection. These features are then tested using six machine learning algorithms to find the best classification method that able to distinguish between an attack and non-attack and then from the best classification method, we devise a rule to be implemented in Tmote Sky. To ensure the reliability of our proposed method, we evaluate the CHA-IDS with three types of combination attacks known as hello flood, sinkhole, and wormhole. We also compare our results in term of accuracy of detection, energy overhead, and memory consumption with the prior 6LoWPAN-IDS implementation such as SVELTE and Pongle's IDS. The results show that CHA-IDS performs better than the aforementioned methods with 99% true positive rate and consumed low energy overhead and memory that fit in constrained device such Tmote Sky.","author":[{"dropping-particle":"","family":"Napiah","given":"Mohamad Nazrin","non-dropping-particle":"","parse-names":false,"suffix":""},{"dropping-particle":"","family":"Idris","given":"Mohd Yamani Idna","non-dropping-particle":"Bin","parse-names":false,"suffix":""},{"dropping-particle":"","family":"Ramli","given":"Roziana","non-dropping-particle":"","parse-names":false,"suffix":""},{"dropping-particle":"","family":"Ahmedy","given":"Ismail","non-dropping-particle":"","parse-names":false,"suffix":""}],"container-title":"IEEE Access","id":"ITEM-1","issue":"January","issued":{"date-parts":[["2018"]]},"page":"16623-16638","title":"Compression Header Analyzer Intrusion Detection System (CHA - IDS) for 6LoWPAN Communication Protocol","type":"article-journal","volume":"6"},"uris":["http://www.mendeley.com/documents/?uuid=2383562d-d240-48d6-b805-7e6cea2891e9"]}],"mendeley":{"formattedCitation":"[9]","plainTextFormattedCitation":"[9]","previouslyFormattedCitation":"[69]"},"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[9]</w:t>
            </w:r>
            <w:r w:rsidRPr="00F13024">
              <w:rPr>
                <w:rFonts w:asciiTheme="majorBidi" w:eastAsia="ヒラギノ角ゴ Pro W3" w:hAnsiTheme="majorBidi" w:cstheme="majorBidi"/>
                <w:color w:val="000000"/>
                <w:szCs w:val="24"/>
              </w:rPr>
              <w:fldChar w:fldCharType="end"/>
            </w:r>
          </w:p>
        </w:tc>
      </w:tr>
      <w:tr w:rsidR="00F13024" w:rsidRPr="00F13024" w:rsidTr="00F13024">
        <w:tc>
          <w:tcPr>
            <w:tcW w:w="1525" w:type="dxa"/>
          </w:tcPr>
          <w:p w:rsidR="00F13024" w:rsidRPr="00F13024" w:rsidRDefault="00F13024" w:rsidP="00F13024">
            <w:pPr>
              <w:pStyle w:val="TableEntry"/>
            </w:pPr>
            <w:r w:rsidRPr="00F13024">
              <w:t>Medium</w:t>
            </w:r>
          </w:p>
        </w:tc>
        <w:tc>
          <w:tcPr>
            <w:tcW w:w="1890" w:type="dxa"/>
          </w:tcPr>
          <w:p w:rsidR="00F13024" w:rsidRPr="00F13024" w:rsidRDefault="00F13024" w:rsidP="00F13024">
            <w:pPr>
              <w:pStyle w:val="TableEntry"/>
            </w:pPr>
            <w:r w:rsidRPr="00F13024">
              <w:t>Less than 50</w:t>
            </w:r>
          </w:p>
        </w:tc>
        <w:tc>
          <w:tcPr>
            <w:tcW w:w="5595" w:type="dxa"/>
          </w:tcPr>
          <w:p w:rsidR="00F13024" w:rsidRPr="00F13024" w:rsidRDefault="00F13024" w:rsidP="00F13024">
            <w:pPr>
              <w:pStyle w:val="TableEntry"/>
            </w:pP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{"citationItems":[{"id":"ITEM-1","itemData":{"DOI":"10.1016/j.adhoc.2013.04.014","ISSN":"15708705","abstract":"In the Internet of Things (IoT), resource-constrained things are connected to the unreliable and untrusted Internet via IPv6 and 6LoWPAN networks. Even when they are secured with encryption and authentication, these things are exposed both to wireless attacks from inside the 6LoWPAN network and from the Internet. Since these attacks may succeed, Intrusion Detection Systems (IDS) are necessary. Currently, there are no IDSs that meet the requirements of the IPv6-connected IoT since the available approaches are either customized for Wireless Sensor Networks (WSN) or for the conventional Internet. In this paper we design, implement, and evaluate a novel intrusion detection system for the IoT that we call SVELTE. In our implementation and evaluation we primarily target routing attacks such as spoofed or altered information, sinkhole, and selective-forwarding. However, our approach can be extended to detect other attacks. We implement SVELTE in the Contiki OS and thoroughly evaluate it. Our evaluation shows that in the simulated scenarios, SVELTE detects all malicious nodes that launch our implemented sinkhole and/or selective forwarding attacks. However, the true positive rate is not 100%, i.e., we have some false alarms during the detection of malicious nodes. Also, SVELTE's overhead is small enough to deploy it on constrained nodes with limited energy and memory capacity. © 2013 Elsevier B.V. All rights reserved.","author":[{"dropping-particle":"","family":"Raza","given":"Shahid","non-dropping-particle":"","parse-names":false,"suffix":""},{"dropping-particle":"","family":"Wallgren","given":"Linus","non-dropping-particle":"","parse-names":false,"suffix":""},{"dropping-particle":"","family":"Voigt","given":"Thiemo","non-dropping-particle":"","parse-names":false,"suffix":""}],"container-title":"Ad Hoc Networks","id":"ITEM-1","issue":"8","issued":{"date-parts":[["2013"]]},"page":"2661-2674","title":"SVELTE: Real-time intrusion detection in the Internet of Things","type":"article-journal","volume":"11"},"uris":["http://www.mendeley.com/documents/?uuid=7c0d39ca-cc62-43c2-9e4b-3fc3acc398b5"]}],"mendeley":{"formattedCitation":"[1]","plainTextFormattedCitation":"[1]","previouslyFormattedCitation":"[33]"},"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{"citationItems":[{"id":"ITEM-1","itemData":{"DOI":"10.1109/ICCKE48569.2019.8965177","ISBN":"9781728150758","abstract":"The RPL protocol was provided for routing in the Internet of Things (IoT) network. This protocol may be under attack. One of the attacks in the RPL protocol is the sinkhole attack that, an attacker tries to attract nearby nodes and, as a result, it causes that many nodes pass their traffic through the attacker node. In the previous methods for detecting a sinkhole attack in the RPL protocol, the accuracy of the detection parameter has been important. In the present study, by providing a local detection method called DEEM and improving the overhead in terms of energy consumption associated with the detection method, also a proper detection accuracy was obtained. DEEM has two phases in each node called Information Gathering and Detection Phases. We implemented DEEM on Contiki OS and evaluated it using the Cooja simulator. Our assessment shows that, in simulated scenarios, DEEM has a low overhead in term of energy consumption, a high true positive rate, and a good detection speed, and this is a scalable method. The cost of DEEM overhead is small enough to be deployed in resource-constrained nodes.","author":[{"dropping-particle":"","family":"Taghanaki","given":"Saeid Rafiei","non-dropping-particle":"","parse-names":false,"suffix":""},{"dropping-particle":"","family":"Jamshidi","given":"Kamal","non-dropping-particle":"","parse-names":false,"suffix":""},{"dropping-particle":"","family":"Bohlooli","given":"Ali","non-dropping-particle":"","parse-names":false,"suffix":""}],"container-title":"2019 9th International Conference on Computer and Knowledge Engineering, ICCKE 2019","id":"ITEM-1","issue":"9","issued":{"date-parts":[["2019"]]},"page":"325-330","title":"DEEM: A decentralized and energy efficient method for detecting sinkhole attacks on the internet of things","type":"article-journal","volume":"2019"},"uris":["http://www.mendeley.com/documents/?uuid=d0df77a0-b589-41fa-872f-eb387195670b"]}],"mendeley":{"formattedCitation":"[5]","plainTextFormattedCitation":"[5]","previouslyFormattedCitation":"[41]"},"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[5]</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{"citationItems":[{"id":"ITEM-1","itemData":{"DOI":"10.25103/jestr.141.03","ISSN":"17912377","abstract":"In terms of heterogeneous devices and sensors, man and machine collaborate seamlessly, giving birth to the Internet of People, Internet of Things, and Internet of the Future. IoT combines the power of IPv6 for network connectivity, sensing and nextgen communication technologies to meet future demands. Internet Engineering Task Force (IETF) came up with a concept of 6LoWPAN possessing characteristics like low power, bandwidth and cost. To bridge the routing gap and to collaborate between low power private area network and the outside world, IETF ROLL group proposed IPv6 based lightweight standard RPL (Routing protocol for low power and lossy networks). As an essential component of 5G communication, the IoT environment is more susceptible to various routing attacks due to constraint resources, complex infrastructure and heterogeneity of smart things. In our work, we have explored sinkhole attack which disrupts routing paths and silently drop packets degrading the overall quality of service parameters. Our work proposed Direct Neighbor Sink Reputed Trust Based Intrusion Detection System (DSTIDS) to mitigate the effect of a sinkhole attack. The experimental evaluation is performed and analyzed using Contiki 3.0 operating system along with inbuilt simulator cooja. Our proposed scheme DSTIDS shows much better performance in terms of various metrics like packet delivery ratio, detection rate, false negative rate and false positive rate compared to other state of the art existing schemes for sinkhole attack.","author":[{"dropping-particle":"","family":"Patel","given":"Bimal","non-dropping-particle":"","parse-names":false,"suffix":""},{"dropping-particle":"","family":"Shah","given":"Parth","non-dropping-particle":"","parse-names":false,"suffix":""}],"container-title":"Journal of Engineering Science and Technology Review","id":"ITEM-1","issue":"1","issued":{"date-parts":[["2021"]]},"page":"38-45","title":"Direct Neighbour Sink Reputed Trust Based Intrusion Detection System to Mitigate Sinkhole Attack in RPL for IoT Networks","type":"article-journal","volume":"14"},"uris":["http://www.mendeley.com/documents/?uuid=7e63c1ea-791d-4fcb-ab10-50ba7aa5d914"]}],"mendeley":{"formattedCitation":"[10]","plainTextFormattedCitation":"[10]","previouslyFormattedCitation":"[51]"},"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[10]</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{"citationItems":[{"id":"ITEM-1","itemData":{"DOI":"10.1109/INM.2015.7140344","ISBN":"9783901882760","abstract":"The Internet of Things (IoT) networks are vulnerable to various kinds of attacks, being the sinkhole attack one of the most destructive since it prevents communication among network devices. In general, existing solutions are not effective to provide protection and security against attacks sinkhole on IoT, and they also introduce high consumption of resources de memory, storage and processing. Further, they do not consider the impact of device mobility, which in essential in urban scenarios, like smart cities. This paper proposes an intrusion detection system, called INTI (Intrusion detection of SiNkhole attacks on 6LoWPAN for InterneT of ThIngs), to identify sinkhole attacks on the routing services in IoT. Moreover, INTI aims to mitigate adverse effects found in IDS that disturb its performance, like false positive and negative, as well as the high resource cost. The system combines watchdog, reputation and trust strategies for detection of attackers by analyzing the behavior of devices. Results show the INTI performance and its effectiveness in terms of attack detection rate, number of false positives and false negatives.","author":[{"dropping-particle":"","family":"Cervantes","given":"Christian","non-dropping-particle":"","parse-names":false,"suffix":""},{"dropping-particle":"","family":"Poplade","given":"Diego","non-dropping-particle":"","parse-names":false,"suffix":""},{"dropping-particle":"","family":"Nogueira","given":"Michele","non-dropping-particle":"","parse-names":false,"suffix":""},{"dropping-particle":"","family":"Santos","given":"Aldri","non-dropping-particle":"","parse-names":false,"suffix":""}],"container-title":"Proceedings of the 2015 IFIP/IEEE International Symposium on Integrated Network Management, IM 2015","id":"ITEM-1","issued":{"date-parts":[["2015"]]},"page":"606-611","publisher":"Symp. Integr. Netw. Manag. IM 2015","title":"Detection of sinkhole attacks for supporting secure routing on 6LoWPAN for Internet of Things","type":"paper-conference"},"uris":["http://www.mendeley.com/documents/?uuid=0d08c9e3-2000-4359-9161-40d2ab3ac0fa"]}],"mendeley":{"formattedCitation":"[11]","plainTextFormattedCitation":"[11]","previouslyFormattedCitation":"[39]"},"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[11]</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and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{"citationItems":[{"id":"ITEM-1","itemData":{"abstract":"… Based on the defined rules as specifications, the attack can be detected … that the proposed IDS has a high accuracy rate in detecting the RPL topology attacks and creates … a centralized IDS on the border router, and using a heartbeat protocol to send the ICMPv6 echo requests …","author":[{"dropping-particle":"","family":"Tabari","given":"M Yadollahzadeh","non-dropping-particle":"","parse-names":false,"suffix":""},{"dropping-particle":"","family":"Mataji","given":"Zahra","non-dropping-particle":"","parse-names":false,"suffix":""}],"container-title":"Journal of AI and Data …","id":"ITEM-1","issue":"September","issued":{"date-parts":[["2020"]]},"page":"73-85","title":"Detecting Sinkhole Attack in RPL-based Internet of Things Routing Protocol","type":"article-journal","volume":"9"},"uris":["http://www.mendeley.com/documents/?uuid=68e7bd76-3085-4a2d-a88b-247036ee47fa"]}],"mendeley":{"formattedCitation":"[12]","plainTextFormattedCitation":"[12]","previouslyFormattedCitation":"[66]"},"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[12]</w:t>
            </w:r>
            <w:r w:rsidRPr="00F13024">
              <w:rPr>
                <w:rFonts w:asciiTheme="majorBidi" w:eastAsia="ヒラギノ角ゴ Pro W3" w:hAnsiTheme="majorBidi" w:cstheme="majorBidi"/>
                <w:color w:val="000000"/>
                <w:szCs w:val="24"/>
              </w:rPr>
              <w:fldChar w:fldCharType="end"/>
            </w:r>
          </w:p>
        </w:tc>
      </w:tr>
      <w:tr w:rsidR="00F13024" w:rsidRPr="00F13024" w:rsidTr="00F13024">
        <w:tc>
          <w:tcPr>
            <w:tcW w:w="1525" w:type="dxa"/>
          </w:tcPr>
          <w:p w:rsidR="00F13024" w:rsidRPr="00F13024" w:rsidRDefault="00F13024" w:rsidP="00F13024">
            <w:pPr>
              <w:pStyle w:val="TableEntry"/>
            </w:pPr>
            <w:r w:rsidRPr="00F13024">
              <w:t>Large</w:t>
            </w:r>
          </w:p>
        </w:tc>
        <w:tc>
          <w:tcPr>
            <w:tcW w:w="1890" w:type="dxa"/>
          </w:tcPr>
          <w:p w:rsidR="00F13024" w:rsidRPr="00F13024" w:rsidRDefault="00F13024" w:rsidP="00F13024">
            <w:pPr>
              <w:pStyle w:val="TableEntry"/>
            </w:pPr>
            <w:r w:rsidRPr="00F13024">
              <w:t>More than 100</w:t>
            </w:r>
          </w:p>
        </w:tc>
        <w:tc>
          <w:tcPr>
            <w:tcW w:w="5595" w:type="dxa"/>
          </w:tcPr>
          <w:p w:rsidR="00F13024" w:rsidRPr="00F13024" w:rsidRDefault="00F13024" w:rsidP="00F13024">
            <w:pPr>
              <w:pStyle w:val="TableEntry"/>
            </w:pP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{"citationItems":[{"id":"ITEM-1","itemData":{"DOI":"10.1109/WiSPNET.2016.7566473","ISBN":"9781467393379","abstract":"Internet of Things (IoT), an emerging Internet based technical architecture where heterogeneous sensors collaborate for ubiquitous computing based on several technologies and standard communication protocols. With, such an amount of scaling and diverse technologies involved, IoT is susceptible to various threats. Hence, devising an IoT system, providing security through resistance against attacks is a de facto requirement to make IoT secure and operational. The existing works for detecting adversaries like SVELTE and INTI consume too much resource. Further, packet dropping ratio is high and number of nodes taken for evaluation is low with some critical metrics overlooked. A novel detection technique with constraint based specification is proposed in this paper which significantly improves the shortcomings of SVELTE and INTI. The effectiveness of proposed scheme is valuated through comparative analysis using NS-2 simulation tool.","author":[{"dropping-particle":"","family":"Surendar","given":"M.","non-dropping-particle":"","parse-names":false,"suffix":""},{"dropping-particle":"","family":"Umamakeswari","given":"A.","non-dropping-particle":"","parse-names":false,"suffix":""}],"container-title":"Proceedings of the 2016 IEEE International Conference on Wireless Communications, Signal Processing and Networking, WiSPNET 2016","id":"ITEM-1","issued":{"date-parts":[["2016"]]},"page":"1903-1908","publisher":"Conf. Wirel. Commun. Signal Process. Networking","publisher-place":"WiSPNET 2016","title":"InDReS: An Intrusion Detection and response system for Internet of Things with 6LoWPAN","type":"paper-conference"},"uris":["http://www.mendeley.com/documents/?uuid=ed6ac54d-f634-491f-a379-88ea6db14c6d"]}],"mendeley":{"formattedCitation":"[13]","plainTextFormattedCitation":"[13]","previouslyFormattedCitation":"[34]"},"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[13]</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{"citationItems":[{"id":"ITEM-1","itemData":{"DOI":"10.1109/INM.2015.7140344","ISBN":"9783901882760","abstract":"The Internet of Things (IoT) networks are vulnerable to various kinds of attacks, being the sinkhole attack one of the most destructive since it prevents communication among network devices. In general, existing solutions are not effective to provide protection and security against attacks sinkhole on IoT, and they also introduce high consumption of resources de memory, storage and processing. Further, they do not consider the impact of device mobility, which in essential in urban scenarios, like smart cities. This paper proposes an intrusion detection system, called INTI (Intrusion detection of SiNkhole attacks on 6LoWPAN for InterneT of ThIngs), to identify sinkhole attacks on the routing services in IoT. Moreover, INTI aims to mitigate adverse effects found in IDS that disturb its performance, like false positive and negative, as well as the high resource cost. The system combines watchdog, reputation and trust strategies for detection of attackers by analyzing the behavior of devices. Results show the INTI performance and its effectiveness in terms of attack detection rate, number of false positives and false negatives.","author":[{"dropping-particle":"","family":"Cervantes","given":"Christian","non-dropping-particle":"","parse-names":false,"suffix":""},{"dropping-particle":"","family":"Poplade","given":"Diego","non-dropping-particle":"","parse-names":false,"suffix":""},{"dropping-particle":"","family":"Nogueira","given":"Michele","non-dropping-particle":"","parse-names":false,"suffix":""},{"dropping-particle":"","family":"Santos","given":"Aldri","non-dropping-particle":"","parse-names":false,"suffix":""}],"container-title":"Proceedings of the 2015 IFIP/IEEE International Symposium on Integrated Network Management, IM 2015","id":"ITEM-1","issued":{"date-parts":[["2015"]]},"page":"606-611","publisher":"Symp. Integr. Netw. Manag. IM 2015","title":"Detection of sinkhole attacks for supporting secure routing on 6LoWPAN for Internet of Things","type":"paper-conference"},"uris":["http://www.mendeley.com/documents/?uuid=0d08c9e3-2000-4359-9161-40d2ab3ac0fa"]}],"mendeley":{"formattedCitation":"[11]","plainTextFormattedCitation":"[11]","previouslyFormattedCitation":"[39]"},"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[11]</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{"citationItems":[{"id":"ITEM-1","itemData":{"DOI":"10.1002/dac.4693","ISSN":"10991131","abstract":"Internet of Things (IoT) provides the possibility for milliards of devices throughout the world to communicate with each other, and data are collected autonomously. The big data generated by the devices should be managed securely. Due to security challenges, like malicious nodes, many approaches cannot respond to these concerns. In this paper, a robust hybrid method, including encryption, is used as an efficient approach for resolving the Low-Power and Lossy Networks (RPL) protocol concerns so that the devices are connected securely. Therefore, the proposed Detection of sinkholes in RPL (DSH-RPL) method for securing the RPL protocol comprises the four following phases: the first phase creates a reliable RPL. The second phase detects the sinkhole attack. The third phase quarantines the detected malicious node, and the fourth phase transmits data through encryption. The simulation results show that the DSH-RPL reduces the false-positive rate more than 18.2% and 23.1% and reduces the false-negative rate more than 16.1% and 22.78% and it also increases the packet delivery rate more than 19.68% and 25.32% and increases the detection rate more than 26% and 31% compared to SecTrust-RPL and IBOOS-RPL.","author":[{"dropping-particle":"","family":"Zaminkar","given":"Mina","non-dropping-particle":"","parse-names":false,"suffix":""},{"dropping-particle":"","family":"Sarkohaki","given":"Fateme","non-dropping-particle":"","parse-names":false,"suffix":""},{"dropping-particle":"","family":"Fotohi","given":"Reza","non-dropping-particle":"","parse-names":false,"suffix":""}],"container-title":"International Journal of Communication Systems","id":"ITEM-1","issue":"3","issued":{"date-parts":[["2021"]]},"page":"1-18","title":"A method based on encryption and node rating for securing the RPL protocol communications in the IoT ecosystem","type":"article-journal","volume":"34"},"uris":["http://www.mendeley.com/documents/?uuid=5025ea1d-b7f2-4d5c-af69-4dc9769d3076"]}],"mendeley":{"formattedCitation":"[14]","plainTextFormattedCitation":"[14]","previouslyFormattedCitation":"[45]"},"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[14]</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{"citationItems":[{"id":"ITEM-1","itemData":{"DOI":"10.1007/s11277-020-07421-z","ISSN":"1572834X","abstract":"Through the Internet of Things (IoT) the internet scope is established by the integration of physical things to classify themselves into mutual things. A physical thing can be created by this inventive perception to signify itself in the digital world. Regarding the physical things that are related to the internet, it is worth noting that considering numerous theories and upcoming predictions, they mostly require protected structures, moreover, they are at risk of several attacks. IoTs are endowed with particular routing disobedience called sinkhole attack owing to their distributed features. In these attacks, a malicious node broadcasts illusive information regarding the routings to impose itself as a route towards specific nodes for the neighboring nodes and thus, attract data traffic. RPL (IP-V6 routing protocol for efficient and low-energy networks) is a standard routing protocol which is mainly employed in sensor networks and IoT. This protocol is called SoS-RPL consisting of two key sections of the sinkhole detection. In the first section rating and ranking the nodes in the RPL is carried out based on distance measurements. The second section is in charge of discovering the misbehavior sources within the IoT network through, the Average Packet Transmission RREQ (APT-RREQ). Here, the technique is assessed through wide simulations performed within the NS-3 environment. Based on the results of the simulation, it is indicated that the IoT network behavior metrics are enhanced based on the detection rate, false-negative rate, false-positive rate, packet delivery rate, maximum throughput, and packet loss rate.","author":[{"dropping-particle":"","family":"Zaminkar","given":"Mina","non-dropping-particle":"","parse-names":false,"suffix":""},{"dropping-particle":"","family":"Fotohi","given":"Reza","non-dropping-particle":"","parse-names":false,"suffix":""}],"container-title":"Wireless Personal Communications","id":"ITEM-1","issue":"2","issued":{"date-parts":[["2020"]]},"page":"1287-1312","title":"SoS-RPL: Securing Internet of Things Against Sinkhole Attack Using RPL Protocol-Based Node Rating and Ranking Mechanism","type":"article-journal","volume":"114"},"uris":["http://www.mendeley.com/documents/?uuid=82aa7aa9-eff4-44bf-9d9b-3844aa45b8ac"]}],"mendeley":{"formattedCitation":"[15]","plainTextFormattedCitation":"[15]","previouslyFormattedCitation":"[46]"},"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[15]</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noProof/>
                <w:color w:val="000000"/>
                <w:szCs w:val="24"/>
              </w:rPr>
              <w:fldChar w:fldCharType="begin" w:fldLock="1"/>
            </w:r>
            <w:r w:rsidR="00D431D7">
              <w:rPr>
                <w:rFonts w:asciiTheme="majorBidi" w:eastAsia="ヒラギノ角ゴ Pro W3" w:hAnsiTheme="majorBidi" w:cstheme="majorBidi"/>
                <w:noProof/>
                <w:color w:val="000000"/>
                <w:szCs w:val="24"/>
              </w:rPr>
              <w:instrText>ADDIN CSL_CITATION {"citationItems":[{"id":"ITEM-1","itemData":{"DOI":"10.1109/AICCSA47632.2019.9035319","ISBN":"9781728150529","ISSN":"21615330","abstract":"Internet of Things (IoT) is an advanced network which joins intelligent devices with the internet. Most of IoT devices are having sensors, and their work is to monitor the behavior near us. As all the 'things' are connected, it also increases the susceptibility of the network. Security attacks may happen at any time in the network and may adversely affect the network. One such attack that we have tried to address in this paper is intrusion detection. We proposed an intrusion detection algorithm in our paper. We worked on the detection of selective forwarding and sinkhole attack in the 6LoWPAN environment using routing protocol RPL. It consists of a hybrid intrusion detection method for detecting two routing attacks. The experimental results of our algorithm showed that it achieved a true positive rate of 96.3% and false positive rate of 6.1% when routing attacks (sinkhole and selective-forwarding) were launched simultaneously.","author":[{"dropping-particle":"","family":"Choudhary","given":"Sarika","non-dropping-particle":"","parse-names":false,"suffix":""},{"dropping-particle":"","family":"Kesswani","given":"Nishtha","non-dropping-particle":"","parse-names":false,"suffix":""}],"container-title":"Proceedings of IEEE/ACS International Conference on Computer Systems and Applications, AICCSA","id":"ITEM-1","issued":{"date-parts":[["2019"]]},"page":"1-8","publisher":"Conf. Comput. Syst. Appl. AICCSA","publisher-place":"vol. 2019-Novem","title":"Cluster-based intrusion detection method for internet of things","type":"paper-conference","volume":"2019-Novem"},"uris":["http://www.mendeley.com/documents/?uuid=9b93785d-82f0-4e3e-a06a-d9834fe87d48"]}],"mendeley":{"formattedCitation":"[16]","plainTextFormattedCitation":"[16]","previouslyFormattedCitation":"[47]"},"properties":{"noteIndex":0},"schema":"https://github.com/citation-style-language/schema/raw/master/csl-citation.json"}</w:instrText>
            </w:r>
            <w:r w:rsidRPr="00F13024">
              <w:rPr>
                <w:rFonts w:asciiTheme="majorBidi" w:eastAsia="ヒラギノ角ゴ Pro W3" w:hAnsiTheme="majorBidi" w:cstheme="majorBidi"/>
                <w:noProof/>
                <w:color w:val="000000"/>
                <w:szCs w:val="24"/>
              </w:rPr>
              <w:fldChar w:fldCharType="separate"/>
            </w:r>
            <w:r w:rsidR="00D431D7" w:rsidRPr="00D431D7">
              <w:rPr>
                <w:rFonts w:asciiTheme="majorBidi" w:eastAsia="ヒラギノ角ゴ Pro W3" w:hAnsiTheme="majorBidi" w:cstheme="majorBidi"/>
                <w:noProof/>
                <w:color w:val="000000"/>
                <w:szCs w:val="24"/>
              </w:rPr>
              <w:t>[16]</w:t>
            </w:r>
            <w:r w:rsidRPr="00F13024">
              <w:rPr>
                <w:rFonts w:asciiTheme="majorBidi" w:eastAsia="ヒラギノ角ゴ Pro W3" w:hAnsiTheme="majorBidi" w:cstheme="majorBidi"/>
                <w:noProof/>
                <w:color w:val="000000"/>
                <w:szCs w:val="24"/>
              </w:rPr>
              <w:fldChar w:fldCharType="end"/>
            </w:r>
            <w:r w:rsidRPr="00F13024">
              <w:rPr>
                <w:rFonts w:asciiTheme="majorBidi" w:hAnsiTheme="majorBidi" w:cstheme="majorBidi"/>
                <w:noProof/>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{"citationItems":[{"id":"ITEM-1","itemData":{"DOI":"10.25103/jestr.141.03","ISSN":"17912377","abstract":"In terms of heterogeneous devices and sensors, man and machine collaborate seamlessly, giving birth to the Internet of People, Internet of Things, and Internet of the Future. IoT combines the power of IPv6 for network connectivity, sensing and nextgen communication technologies to meet future demands. Internet Engineering Task Force (IETF) came up with a concept of 6LoWPAN possessing characteristics like low power, bandwidth and cost. To bridge the routing gap and to collaborate between low power private area network and the outside world, IETF ROLL group proposed IPv6 based lightweight standard RPL (Routing protocol for low power and lossy networks). As an essential component of 5G communication, the IoT environment is more susceptible to various routing attacks due to constraint resources, complex infrastructure and heterogeneity of smart things. In our work, we have explored sinkhole attack which disrupts routing paths and silently drop packets degrading the overall quality of service parameters. Our work proposed Direct Neighbor Sink Reputed Trust Based Intrusion Detection System (DSTIDS) to mitigate the effect of a sinkhole attack. The experimental evaluation is performed and analyzed using Contiki 3.0 operating system along with inbuilt simulator cooja. Our proposed scheme DSTIDS shows much better performance in terms of various metrics like packet delivery ratio, detection rate, false negative rate and false positive rate compared to other state of the art existing schemes for sinkhole attack.","author":[{"dropping-particle":"","family":"Patel","given":"Bimal","non-dropping-particle":"","parse-names":false,"suffix":""},{"dropping-particle":"","family":"Shah","given":"Parth","non-dropping-particle":"","parse-names":false,"suffix":""}],"container-title":"Journal of Engineering Science and Technology Review","id":"ITEM-1","issue":"1","issued":{"date-parts":[["2021"]]},"page":"38-45","title":"Direct Neighbour Sink Reputed Trust Based Intrusion Detection System to Mitigate Sinkhole Attack in RPL for IoT Networks","type":"article-journal","volume":"14"},"uris":["http://www.mendeley.com/documents/?uuid=7e63c1ea-791d-4fcb-ab10-50ba7aa5d914"]}],"mendeley":{"formattedCitation":"[10]","plainTextFormattedCitation":"[10]","previouslyFormattedCitation":"[51]"},"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[10]</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w:t>
            </w:r>
            <w:r w:rsidRPr="00F13024">
              <w:rPr>
                <w:rFonts w:asciiTheme="majorBidi" w:eastAsia="ヒラギノ角ゴ Pro W3" w:hAnsiTheme="majorBidi" w:cstheme="majorBidi"/>
                <w:noProof/>
                <w:color w:val="000000"/>
                <w:szCs w:val="24"/>
              </w:rPr>
              <w:fldChar w:fldCharType="begin" w:fldLock="1"/>
            </w:r>
            <w:r w:rsidR="00D431D7">
              <w:rPr>
                <w:rFonts w:asciiTheme="majorBidi" w:eastAsia="ヒラギノ角ゴ Pro W3" w:hAnsiTheme="majorBidi" w:cstheme="majorBidi"/>
                <w:noProof/>
                <w:color w:val="000000"/>
                <w:szCs w:val="24"/>
              </w:rPr>
              <w:instrText>ADDIN CSL_CITATION {"citationItems":[{"id":"ITEM-1","itemData":{"DOI":"10.3390/s22124539","ISSN":"14248220","PMID":"35746321","abstract":"Recently, the Internet of Things (IoT) has emerged as an important way to connect diverse physical devices to the internet. The IoT paves the way for a slew of new cutting-edge applications. Despite the prospective benefits and many security solutions offered in the literature, the security of IoT networks remains a critical concern, considering the massive amount of data generated and transmitted. The resource-constrained, mobile, and heterogeneous nature of the IoT makes it increasingly challenging to preserve security in routing protocols, such as the routing protocol for low-power and lossy networks (RPL). RPL does not offer good protection against routing attacks, such as rank, Sybil, and sinkhole attacks. Therefore, to augment the security of RPL, this article proposes the energy-efficient multi-mobile agent-based trust framework for RPL (MMTM-RPL). The goal of MMTM-RPL is to mitigate internal attacks in IoT-based wireless sensor networks using fog layer capabilities. MMTM-RPL mitigates rank, Sybil, and sinkhole attacks while minimizing energy and message overheads by 25–30% due to the use of mobile agents and dynamic itineraries. MMTM-RPL enhances the security of RPL and improves network lifetime (by 25–30% or more) and the detection rate (by 10% or more) compared to state-of-the-art approaches, namely, DCTM-RPL, RBAM-IoT, RPL-MRC, and DSH-RPL.","author":[{"dropping-particle":"","family":"Farooq","given":"Umer","non-dropping-particle":"","parse-names":false,"suffix":""},{"dropping-particle":"","family":"Asim","given":"Muhammad","non-dropping-particle":"","parse-names":false,"suffix":""},{"dropping-particle":"","family":"Tariq","given":"Noshina","non-dropping-particle":"","parse-names":false,"suffix":""},{"dropping-particle":"","family":"Baker","given":"Thar","non-dropping-particle":"","parse-names":false,"suffix":""},{"dropping-particle":"","family":"Awad","given":"Ali Ismail","non-dropping-particle":"","parse-names":false,"suffix":""}],"container-title":"Sensors","id":"ITEM-1","issue":"12","issued":{"date-parts":[["2022","6"]]},"publisher":"MDPI","title":"Multi-Mobile Agent Trust Framework for Mitigating Internal Attacks and Augmenting RPL Security","type":"article-journal","volume":"22"},"uris":["http://www.mendeley.com/documents/?uuid=07dcb1dd-4870-4988-8453-8c09fa463e4c"]}],"mendeley":{"formattedCitation":"[17]","plainTextFormattedCitation":"[17]","previouslyFormattedCitation":"[52]"},"properties":{"noteIndex":0},"schema":"https://github.com/citation-style-language/schema/raw/master/csl-citation.json"}</w:instrText>
            </w:r>
            <w:r w:rsidRPr="00F13024">
              <w:rPr>
                <w:rFonts w:asciiTheme="majorBidi" w:eastAsia="ヒラギノ角ゴ Pro W3" w:hAnsiTheme="majorBidi" w:cstheme="majorBidi"/>
                <w:noProof/>
                <w:color w:val="000000"/>
                <w:szCs w:val="24"/>
              </w:rPr>
              <w:fldChar w:fldCharType="separate"/>
            </w:r>
            <w:r w:rsidR="00D431D7" w:rsidRPr="00D431D7">
              <w:rPr>
                <w:rFonts w:asciiTheme="majorBidi" w:eastAsia="ヒラギノ角ゴ Pro W3" w:hAnsiTheme="majorBidi" w:cstheme="majorBidi"/>
                <w:noProof/>
                <w:color w:val="000000"/>
                <w:szCs w:val="24"/>
              </w:rPr>
              <w:t>[17]</w:t>
            </w:r>
            <w:r w:rsidRPr="00F13024">
              <w:rPr>
                <w:rFonts w:asciiTheme="majorBidi" w:eastAsia="ヒラギノ角ゴ Pro W3" w:hAnsiTheme="majorBidi" w:cstheme="majorBidi"/>
                <w:noProof/>
                <w:color w:val="000000"/>
                <w:szCs w:val="24"/>
              </w:rPr>
              <w:fldChar w:fldCharType="end"/>
            </w:r>
            <w:r w:rsidRPr="00F13024">
              <w:rPr>
                <w:rFonts w:asciiTheme="majorBidi" w:hAnsiTheme="majorBidi" w:cstheme="majorBidi"/>
                <w:noProof/>
                <w:szCs w:val="24"/>
              </w:rPr>
              <w:t xml:space="preserve">,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{"citationItems":[{"id":"ITEM-1","itemData":{"DOI":"10.1016/j.comnet.2021.108413","ISSN":"13891286","abstract":"The Internet of Things (IoT) plays a vital role in many application domains like battlefield surveillance, wildlife monitoring, disaster response, medical care, transportation, industry, smart home, smart cities, etc. However, this network is susceptible to various types of attacks due to its special features like sensing, intelligence, large scale, self-configuring, connectivity, heterogeneity, open and dynamic environment. It is significant to ensure security in the IoT network. In the scalable and dynamic IoT environment, conventional security mechanisms such as cryptography techniques, key management, intrusion detection system, anomaly detection, etc cannot be applicable, because it consumes more energy. Therefore, the IoT network requires a lightweight security mechanism for reliable and secure data transmission. A trust-based security solution solves many security-related problems. The proposed RFTrust model provides a trust-based lightweight solution for ensuring security in the IoT network. It is primarily designed to address the sinkhole attack in Routing Protocol for Low power and Lossy networks (RPL) based IoT environments. It enhances the trusted routing in the IoT environment by finding and removing sinkhole nodes in the network. The proposed model uses Random Forest (RF) and Subjective Logic (SL) to improve the network performance by identifying sinkhole attack. The mathematical analysis shows the applicability of the proposed model. The merits of the proposed work are highlighted by comparing performance with the existing similar protocols in terms of delivery ratio, throughput, average delay, energy consumption, false-positive rate, false-negative rate, and detection accuracy.","author":[{"dropping-particle":"","family":"Prathapchandran","given":"K.","non-dropping-particle":"","parse-names":false,"suffix":""},{"dropping-particle":"","family":"Janani","given":"T.","non-dropping-particle":"","parse-names":false,"suffix":""}],"container-title":"Computer Networks","id":"ITEM-1","issued":{"date-parts":[["2021"]]},"title":"A trust aware security mechanism to detect sinkhole attack in RPL-based IoT environment using random forest – RFTRUST","type":"article-journal","volume":"198"},"uris":["http://www.mendeley.com/documents/?uuid=b7127de3-7860-4fd9-a20a-19fb9c32e4e3"]}],"mendeley":{"formattedCitation":"[18]","plainTextFormattedCitation":"[18]","previouslyFormattedCitation":"[54]"},"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[18]</w:t>
            </w:r>
            <w:r w:rsidRPr="00F13024">
              <w:rPr>
                <w:rFonts w:asciiTheme="majorBidi" w:eastAsia="ヒラギノ角ゴ Pro W3" w:hAnsiTheme="majorBidi" w:cstheme="majorBidi"/>
                <w:color w:val="000000"/>
                <w:szCs w:val="24"/>
              </w:rPr>
              <w:fldChar w:fldCharType="end"/>
            </w:r>
            <w:r w:rsidRPr="00F13024">
              <w:rPr>
                <w:rFonts w:asciiTheme="majorBidi" w:hAnsiTheme="majorBidi" w:cstheme="majorBidi"/>
                <w:szCs w:val="24"/>
              </w:rPr>
              <w:t xml:space="preserve">, and </w:t>
            </w:r>
            <w:r w:rsidRPr="00F13024">
              <w:rPr>
                <w:rFonts w:asciiTheme="majorBidi" w:eastAsia="ヒラギノ角ゴ Pro W3" w:hAnsiTheme="majorBidi" w:cstheme="majorBidi"/>
                <w:color w:val="000000"/>
                <w:szCs w:val="24"/>
              </w:rPr>
              <w:fldChar w:fldCharType="begin" w:fldLock="1"/>
            </w:r>
            <w:r w:rsidR="00D431D7">
              <w:rPr>
                <w:rFonts w:asciiTheme="majorBidi" w:eastAsia="ヒラギノ角ゴ Pro W3" w:hAnsiTheme="majorBidi" w:cstheme="majorBidi"/>
                <w:color w:val="000000"/>
                <w:szCs w:val="24"/>
              </w:rPr>
              <w:instrText>ADDIN CSL_CITATION {"citationItems":[{"id":"ITEM-1","itemData":{"DOI":"10.5815/ijcnis.2020.04.02","ISSN":"20749104","abstract":"IoT provides big contribution to healthcare for elderly care at home. There are many attacks in IoT healthcare network which may destroy the entire network. A propose a framework may be produced an efficient treatment for elderly care at home with low power consumption. A framework contains three phases names; medical data collection layer, routing and network layer and medical application layer. It intends to increase security performance through prediction and detection attacks in real time. Cooja simulator is used for generating real-time IoT routing datasets including normal and malicious motes based on different types of power. The generated IoT routing dataset using data augmentation (SMOTE) to increase the size of dataset. The preprocessing of the generating dataset using three methods of feature selection which are weight by rule, Chi-Squared and weight by tree importance using random forest reduce noise and over-fitting. A proposed model uses convolution neural network (CNN) to detect and predict IoT routing attacks to identify suspicious network traffic. A number of studies have been carried out in this area, but the issue of the extent of the impact of attacks on energy consumption is an interesting topic. Attacks can affect the network completely, in particular on the power consumption of smart devices. Therefore; the main target of this research is detecting and predicting different types of IoT routing attacks which have impact on power consumption and destroy the entire network. This work analyzes the impact of IoT routing attacks on different power consumption using CNN to achieve low power consumption by detecting different types of routing attacks. The experimental results show CNN can detect different types of attacks that have a bad impact on power consumption. It achieves high accuracy, precision, recall, correlation and low rate in error and logistic loss and this leads to decrease power consumption.","author":[{"dropping-particle":"","family":"Kamel","given":"Samah Osama M.","non-dropping-particle":"","parse-names":false,"suffix":""},{"dropping-particle":"","family":"Elhamayed","given":"Sanaa Abou","non-dropping-particle":"","parse-names":false,"suffix":""}],"container-title":"International Journal of Computer Network and Information Security","id":"ITEM-1","issue":"4","issued":{"date-parts":[["2020"]]},"page":"11-29","title":"Mitigating the impact of iot routing attacks on power consumption in iot healthcare environment using convolutional neural network","type":"article-journal","volume":"12"},"uris":["http://www.mendeley.com/documents/?uuid=935af4a9-9dfc-4091-b2ff-87ae6feefa2c"]}],"mendeley":{"formattedCitation":"[19]","plainTextFormattedCitation":"[19]","previouslyFormattedCitation":"[61]"},"properties":{"noteIndex":0},"schema":"https://github.com/citation-style-language/schema/raw/master/csl-citation.json"}</w:instrText>
            </w:r>
            <w:r w:rsidRPr="00F13024">
              <w:rPr>
                <w:rFonts w:asciiTheme="majorBidi" w:eastAsia="ヒラギノ角ゴ Pro W3" w:hAnsiTheme="majorBidi" w:cstheme="majorBidi"/>
                <w:color w:val="000000"/>
                <w:szCs w:val="24"/>
              </w:rPr>
              <w:fldChar w:fldCharType="separate"/>
            </w:r>
            <w:r w:rsidR="00D431D7" w:rsidRPr="00D431D7">
              <w:rPr>
                <w:rFonts w:asciiTheme="majorBidi" w:eastAsia="ヒラギノ角ゴ Pro W3" w:hAnsiTheme="majorBidi" w:cstheme="majorBidi"/>
                <w:noProof/>
                <w:color w:val="000000"/>
                <w:szCs w:val="24"/>
              </w:rPr>
              <w:t>[19]</w:t>
            </w:r>
            <w:r w:rsidRPr="00F13024">
              <w:rPr>
                <w:rFonts w:asciiTheme="majorBidi" w:eastAsia="ヒラギノ角ゴ Pro W3" w:hAnsiTheme="majorBidi" w:cstheme="majorBidi"/>
                <w:color w:val="000000"/>
                <w:szCs w:val="24"/>
              </w:rPr>
              <w:fldChar w:fldCharType="end"/>
            </w:r>
          </w:p>
        </w:tc>
      </w:tr>
    </w:tbl>
    <w:p w:rsidR="00F13024" w:rsidRPr="00F13024" w:rsidRDefault="00F13024" w:rsidP="00F13024"/>
    <w:p w:rsidR="00F13024" w:rsidRPr="00F13024" w:rsidRDefault="00F13024" w:rsidP="00D431D7">
      <w:pPr>
        <w:rPr>
          <w:rFonts w:asciiTheme="majorBidi" w:hAnsiTheme="majorBidi" w:cstheme="majorBidi"/>
        </w:rPr>
      </w:pPr>
      <w:r w:rsidRPr="00F13024">
        <w:rPr>
          <w:rFonts w:asciiTheme="majorBidi" w:hAnsiTheme="majorBidi" w:cstheme="majorBidi"/>
        </w:rPr>
        <w:t xml:space="preserve">Accordingly, it was decided to adopt a network size of 12 </w:t>
      </w:r>
      <w:r w:rsidR="00D431D7">
        <w:rPr>
          <w:rFonts w:asciiTheme="majorBidi" w:hAnsiTheme="majorBidi" w:cstheme="majorBidi"/>
        </w:rPr>
        <w:t xml:space="preserve">sensor </w:t>
      </w:r>
      <w:r w:rsidRPr="00F13024">
        <w:rPr>
          <w:rFonts w:asciiTheme="majorBidi" w:hAnsiTheme="majorBidi" w:cstheme="majorBidi"/>
        </w:rPr>
        <w:t xml:space="preserve">nodes (in addition to the root node) to represent a small network and a network size of 24 </w:t>
      </w:r>
      <w:r w:rsidR="00D431D7">
        <w:rPr>
          <w:rFonts w:asciiTheme="majorBidi" w:hAnsiTheme="majorBidi" w:cstheme="majorBidi"/>
        </w:rPr>
        <w:t xml:space="preserve">sensor </w:t>
      </w:r>
      <w:r w:rsidRPr="00F13024">
        <w:rPr>
          <w:rFonts w:asciiTheme="majorBidi" w:hAnsiTheme="majorBidi" w:cstheme="majorBidi"/>
        </w:rPr>
        <w:t>nodes (in addition to one or two root nodes) to represent the medium-sized network.</w:t>
      </w:r>
    </w:p>
    <w:p w:rsidR="00F13024" w:rsidRPr="00F13024" w:rsidRDefault="00F13024" w:rsidP="00D431D7">
      <w:pPr>
        <w:pStyle w:val="Heading1"/>
      </w:pPr>
      <w:bookmarkStart w:id="22" w:name="_Toc162153370"/>
      <w:bookmarkStart w:id="23" w:name="_Toc162789985"/>
      <w:bookmarkStart w:id="24" w:name="_Ref160520576"/>
      <w:r w:rsidRPr="00F13024">
        <w:t>Features Included in the UOS_IOTSH_2024 Dataset</w:t>
      </w:r>
      <w:bookmarkEnd w:id="22"/>
      <w:bookmarkEnd w:id="23"/>
    </w:p>
    <w:p w:rsidR="00F13024" w:rsidRDefault="00F13024" w:rsidP="00D431D7">
      <w:pPr>
        <w:pStyle w:val="BodyText"/>
        <w:ind w:firstLine="0"/>
      </w:pPr>
      <w:r w:rsidRPr="00F13024">
        <w:t>The COOJA simulator allows access to a large number of features and parameters from the RPL packets. However, not all of these features are used during the crucial period of constructing the DODAG. Additionally, most of these features are not affected by the nature of the sinkhole attack. Given that the UOS_IOTSH_2024 dataset is targeted specifically at sinkhole attack scenarios, we chose to include only a small collection of fields in the dataset to keep the number of features manageable and concentrate on the fields that may be affected by the sinkhole attack. We considered the following fields for inclusion:</w:t>
      </w:r>
    </w:p>
    <w:p w:rsidR="00D431D7" w:rsidRPr="00F13024" w:rsidRDefault="00D431D7" w:rsidP="00D431D7">
      <w:pPr>
        <w:pStyle w:val="BodyText"/>
        <w:ind w:firstLine="0"/>
      </w:pPr>
    </w:p>
    <w:p w:rsidR="00F13024" w:rsidRPr="00F13024" w:rsidRDefault="00F13024" w:rsidP="00F13024">
      <w:pPr>
        <w:pStyle w:val="BodyText"/>
        <w:numPr>
          <w:ilvl w:val="0"/>
          <w:numId w:val="9"/>
        </w:numPr>
      </w:pPr>
      <w:r w:rsidRPr="00F13024">
        <w:t>All the fields in the RPL control messages that are used for constructing and maintaining the DODAG and controlling the operation of the network.</w:t>
      </w:r>
    </w:p>
    <w:p w:rsidR="00F13024" w:rsidRPr="00F13024" w:rsidRDefault="00F13024" w:rsidP="00F13024">
      <w:pPr>
        <w:pStyle w:val="BodyText"/>
        <w:numPr>
          <w:ilvl w:val="0"/>
          <w:numId w:val="9"/>
        </w:numPr>
      </w:pPr>
      <w:r w:rsidRPr="00F13024">
        <w:t>The DODAG configuration options which are configured in the root node and distributed to the rest of the DODAG nodes.</w:t>
      </w:r>
    </w:p>
    <w:p w:rsidR="00F13024" w:rsidRPr="00F13024" w:rsidRDefault="00F13024" w:rsidP="00F13024">
      <w:pPr>
        <w:pStyle w:val="BodyText"/>
        <w:numPr>
          <w:ilvl w:val="0"/>
          <w:numId w:val="9"/>
        </w:numPr>
      </w:pPr>
      <w:r w:rsidRPr="00F13024">
        <w:t>Certain details obtained from the IPv6 packet header, such as the source and destination IP addresses.</w:t>
      </w:r>
    </w:p>
    <w:p w:rsidR="00D431D7" w:rsidRDefault="00D431D7" w:rsidP="00D431D7">
      <w:pPr>
        <w:pStyle w:val="BodyText"/>
        <w:ind w:firstLine="0"/>
        <w:rPr>
          <w:rFonts w:asciiTheme="majorBidi" w:hAnsiTheme="majorBidi" w:cstheme="majorBidi"/>
        </w:rPr>
      </w:pPr>
    </w:p>
    <w:p w:rsidR="00F13024" w:rsidRPr="00F13024" w:rsidRDefault="00F13024" w:rsidP="00D431D7">
      <w:pPr>
        <w:pStyle w:val="BodyText"/>
        <w:ind w:firstLine="0"/>
        <w:rPr>
          <w:rFonts w:asciiTheme="majorBidi" w:eastAsia="Calibri" w:hAnsiTheme="majorBidi" w:cstheme="majorBidi"/>
        </w:rPr>
      </w:pPr>
      <w:r w:rsidRPr="00F13024">
        <w:rPr>
          <w:rFonts w:asciiTheme="majorBidi" w:hAnsiTheme="majorBidi" w:cstheme="majorBidi"/>
        </w:rPr>
        <w:lastRenderedPageBreak/>
        <w:t xml:space="preserve">Then, these parameters were </w:t>
      </w:r>
      <w:r w:rsidRPr="00F13024">
        <w:t xml:space="preserve">filtered by assessing the impact of the attack on each specific feature. </w:t>
      </w:r>
      <w:r w:rsidRPr="00F13024">
        <w:rPr>
          <w:rFonts w:asciiTheme="majorBidi" w:eastAsia="Calibri" w:hAnsiTheme="majorBidi" w:cstheme="majorBidi"/>
        </w:rPr>
        <w:t xml:space="preserve">Accordingly, the dataset </w:t>
      </w:r>
      <w:r w:rsidR="00D431D7">
        <w:rPr>
          <w:rFonts w:asciiTheme="majorBidi" w:eastAsia="Calibri" w:hAnsiTheme="majorBidi" w:cstheme="majorBidi"/>
        </w:rPr>
        <w:t xml:space="preserve">was first created with the </w:t>
      </w:r>
      <w:r w:rsidRPr="00F13024">
        <w:rPr>
          <w:rFonts w:asciiTheme="majorBidi" w:eastAsia="Calibri" w:hAnsiTheme="majorBidi" w:cstheme="majorBidi"/>
        </w:rPr>
        <w:t xml:space="preserve">6 features </w:t>
      </w:r>
      <w:r w:rsidRPr="00F13024">
        <w:t xml:space="preserve">shown </w:t>
      </w:r>
      <w:r w:rsidRPr="00F13024">
        <w:rPr>
          <w:rFonts w:asciiTheme="majorBidi" w:hAnsiTheme="majorBidi" w:cstheme="majorBidi"/>
        </w:rPr>
        <w:t xml:space="preserve">in </w:t>
      </w:r>
      <w:r w:rsidRPr="00F13024">
        <w:rPr>
          <w:rFonts w:asciiTheme="majorBidi" w:hAnsiTheme="majorBidi" w:cstheme="majorBidi"/>
        </w:rPr>
        <w:fldChar w:fldCharType="begin"/>
      </w:r>
      <w:r w:rsidRPr="00F13024">
        <w:rPr>
          <w:rFonts w:asciiTheme="majorBidi" w:hAnsiTheme="majorBidi" w:cstheme="majorBidi"/>
        </w:rPr>
        <w:instrText xml:space="preserve"> REF _Ref158668101 \h  \* MERGEFORMAT </w:instrText>
      </w:r>
      <w:r w:rsidRPr="00F13024">
        <w:rPr>
          <w:rFonts w:asciiTheme="majorBidi" w:hAnsiTheme="majorBidi" w:cstheme="majorBidi"/>
        </w:rPr>
      </w:r>
      <w:r w:rsidRPr="00F13024">
        <w:rPr>
          <w:rFonts w:asciiTheme="majorBidi" w:hAnsiTheme="majorBidi" w:cstheme="majorBidi"/>
        </w:rPr>
        <w:fldChar w:fldCharType="separate"/>
      </w:r>
      <w:r w:rsidR="00AA2760" w:rsidRPr="00AA2760">
        <w:rPr>
          <w:rFonts w:asciiTheme="majorBidi" w:eastAsia="Calibri" w:hAnsiTheme="majorBidi" w:cstheme="majorBidi"/>
        </w:rPr>
        <w:t xml:space="preserve">Table </w:t>
      </w:r>
      <w:r w:rsidR="00AA2760" w:rsidRPr="00AA2760">
        <w:rPr>
          <w:rFonts w:asciiTheme="majorBidi" w:eastAsia="Calibri" w:hAnsiTheme="majorBidi" w:cstheme="majorBidi"/>
          <w:noProof/>
        </w:rPr>
        <w:t>2</w:t>
      </w:r>
      <w:r w:rsidRPr="00F13024">
        <w:rPr>
          <w:rFonts w:asciiTheme="majorBidi" w:hAnsiTheme="majorBidi" w:cstheme="majorBidi"/>
        </w:rPr>
        <w:fldChar w:fldCharType="end"/>
      </w:r>
      <w:r w:rsidRPr="00F13024">
        <w:rPr>
          <w:rFonts w:asciiTheme="majorBidi" w:hAnsiTheme="majorBidi" w:cstheme="majorBidi"/>
        </w:rPr>
        <w:t xml:space="preserve"> </w:t>
      </w:r>
      <w:r w:rsidRPr="00F13024">
        <w:rPr>
          <w:rFonts w:asciiTheme="majorBidi" w:eastAsia="Calibri" w:hAnsiTheme="majorBidi" w:cstheme="majorBidi"/>
        </w:rPr>
        <w:t>extracted directly from the raw network traffic collected from the COOJA simulations.</w:t>
      </w:r>
    </w:p>
    <w:p w:rsidR="00F13024" w:rsidRPr="00F13024" w:rsidRDefault="00F13024" w:rsidP="00D431D7">
      <w:pPr>
        <w:pStyle w:val="Caption-Table"/>
        <w:spacing w:line="276" w:lineRule="auto"/>
        <w:rPr>
          <w:color w:val="auto"/>
        </w:rPr>
      </w:pPr>
      <w:bookmarkStart w:id="25" w:name="_Ref158668101"/>
      <w:bookmarkStart w:id="26" w:name="_Toc161655674"/>
      <w:bookmarkStart w:id="27" w:name="_Toc162790055"/>
      <w:r w:rsidRPr="00F13024">
        <w:rPr>
          <w:color w:val="auto"/>
        </w:rPr>
        <w:t xml:space="preserve">Table </w:t>
      </w:r>
      <w:r w:rsidRPr="00F13024">
        <w:rPr>
          <w:color w:val="auto"/>
        </w:rPr>
        <w:fldChar w:fldCharType="begin"/>
      </w:r>
      <w:r w:rsidRPr="00F13024">
        <w:rPr>
          <w:color w:val="auto"/>
        </w:rPr>
        <w:instrText xml:space="preserve"> SEQ Table \* ARABIC </w:instrText>
      </w:r>
      <w:r w:rsidRPr="00F13024">
        <w:rPr>
          <w:color w:val="auto"/>
        </w:rPr>
        <w:fldChar w:fldCharType="separate"/>
      </w:r>
      <w:r w:rsidR="00AA2760">
        <w:rPr>
          <w:noProof/>
          <w:color w:val="auto"/>
        </w:rPr>
        <w:t>2</w:t>
      </w:r>
      <w:r w:rsidRPr="00F13024">
        <w:rPr>
          <w:noProof/>
          <w:color w:val="auto"/>
        </w:rPr>
        <w:fldChar w:fldCharType="end"/>
      </w:r>
      <w:bookmarkEnd w:id="25"/>
      <w:r w:rsidRPr="00F13024">
        <w:rPr>
          <w:color w:val="auto"/>
        </w:rPr>
        <w:t xml:space="preserve"> –</w:t>
      </w:r>
      <w:r w:rsidR="00D431D7">
        <w:rPr>
          <w:color w:val="auto"/>
        </w:rPr>
        <w:t xml:space="preserve"> </w:t>
      </w:r>
      <w:r w:rsidRPr="00F13024">
        <w:rPr>
          <w:color w:val="auto"/>
        </w:rPr>
        <w:t>RPL Fields Include</w:t>
      </w:r>
      <w:r w:rsidR="00D431D7">
        <w:rPr>
          <w:color w:val="auto"/>
        </w:rPr>
        <w:t>d</w:t>
      </w:r>
      <w:r w:rsidRPr="00F13024">
        <w:rPr>
          <w:color w:val="auto"/>
        </w:rPr>
        <w:t xml:space="preserve"> in the UOS_IOTSH_2024 Dataset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2975"/>
        <w:gridCol w:w="1350"/>
        <w:gridCol w:w="3261"/>
      </w:tblGrid>
      <w:tr w:rsidR="00F13024" w:rsidRPr="00F13024" w:rsidTr="00821C96">
        <w:trPr>
          <w:trHeight w:val="144"/>
          <w:tblHeader/>
        </w:trPr>
        <w:tc>
          <w:tcPr>
            <w:tcW w:w="1430" w:type="dxa"/>
            <w:vAlign w:val="center"/>
          </w:tcPr>
          <w:p w:rsidR="00F13024" w:rsidRPr="00F13024" w:rsidRDefault="00F13024" w:rsidP="00F13024">
            <w:pPr>
              <w:pStyle w:val="TableColHead"/>
              <w:rPr>
                <w:rFonts w:asciiTheme="majorBidi" w:hAnsiTheme="majorBidi" w:cstheme="majorBidi"/>
                <w:sz w:val="20"/>
                <w:szCs w:val="20"/>
              </w:rPr>
            </w:pPr>
            <w:r w:rsidRPr="00F13024">
              <w:rPr>
                <w:rFonts w:asciiTheme="majorBidi" w:hAnsiTheme="majorBidi" w:cstheme="majorBidi"/>
                <w:sz w:val="20"/>
                <w:szCs w:val="20"/>
              </w:rPr>
              <w:t>Field</w:t>
            </w:r>
          </w:p>
        </w:tc>
        <w:tc>
          <w:tcPr>
            <w:tcW w:w="2975" w:type="dxa"/>
            <w:vAlign w:val="center"/>
          </w:tcPr>
          <w:p w:rsidR="00F13024" w:rsidRPr="00F13024" w:rsidRDefault="00F13024" w:rsidP="00F13024">
            <w:pPr>
              <w:pStyle w:val="TableColHead"/>
              <w:rPr>
                <w:rFonts w:asciiTheme="majorBidi" w:hAnsiTheme="majorBidi" w:cstheme="majorBidi"/>
                <w:sz w:val="20"/>
                <w:szCs w:val="20"/>
              </w:rPr>
            </w:pPr>
            <w:r w:rsidRPr="00F13024">
              <w:rPr>
                <w:rFonts w:asciiTheme="majorBidi" w:hAnsiTheme="majorBidi" w:cstheme="majorBidi"/>
                <w:sz w:val="20"/>
                <w:szCs w:val="20"/>
              </w:rPr>
              <w:t>Feature Description</w:t>
            </w:r>
          </w:p>
        </w:tc>
        <w:tc>
          <w:tcPr>
            <w:tcW w:w="1350" w:type="dxa"/>
            <w:vAlign w:val="center"/>
          </w:tcPr>
          <w:p w:rsidR="00F13024" w:rsidRPr="00F13024" w:rsidRDefault="00F13024" w:rsidP="00F13024">
            <w:pPr>
              <w:pStyle w:val="TableColHead"/>
              <w:rPr>
                <w:rFonts w:asciiTheme="majorBidi" w:hAnsiTheme="majorBidi" w:cstheme="majorBidi"/>
                <w:sz w:val="20"/>
                <w:szCs w:val="20"/>
              </w:rPr>
            </w:pPr>
            <w:r w:rsidRPr="00F13024">
              <w:rPr>
                <w:rFonts w:asciiTheme="majorBidi" w:hAnsiTheme="majorBidi" w:cstheme="majorBidi"/>
                <w:sz w:val="20"/>
                <w:szCs w:val="20"/>
              </w:rPr>
              <w:t>RPL Control Message</w:t>
            </w:r>
          </w:p>
        </w:tc>
        <w:tc>
          <w:tcPr>
            <w:tcW w:w="3261" w:type="dxa"/>
          </w:tcPr>
          <w:p w:rsidR="00F13024" w:rsidRPr="00F13024" w:rsidRDefault="00F13024" w:rsidP="00F13024">
            <w:pPr>
              <w:pStyle w:val="TableColHead"/>
              <w:rPr>
                <w:rFonts w:asciiTheme="majorBidi" w:hAnsiTheme="majorBidi" w:cstheme="majorBidi"/>
                <w:sz w:val="20"/>
                <w:szCs w:val="20"/>
              </w:rPr>
            </w:pPr>
            <w:r w:rsidRPr="00F13024">
              <w:rPr>
                <w:rFonts w:asciiTheme="majorBidi" w:hAnsiTheme="majorBidi" w:cstheme="majorBidi"/>
                <w:sz w:val="20"/>
                <w:szCs w:val="20"/>
              </w:rPr>
              <w:t>Reason of inclusion or omission</w:t>
            </w: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Source ID</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IPv6 address of the source node</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IPv6 header</w:t>
            </w:r>
          </w:p>
        </w:tc>
        <w:tc>
          <w:tcPr>
            <w:tcW w:w="3261" w:type="dxa"/>
            <w:vMerge w:val="restart"/>
            <w:vAlign w:val="center"/>
          </w:tcPr>
          <w:p w:rsidR="00F13024" w:rsidRPr="00F13024" w:rsidRDefault="00F13024" w:rsidP="00F13024">
            <w:pPr>
              <w:keepNext/>
              <w:keepLines/>
              <w:jc w:val="left"/>
              <w:rPr>
                <w:rFonts w:eastAsia="Times New Roman"/>
                <w:sz w:val="20"/>
                <w:szCs w:val="20"/>
                <w:lang w:eastAsia="en-AE"/>
              </w:rPr>
            </w:pPr>
            <w:r w:rsidRPr="00F13024">
              <w:rPr>
                <w:rFonts w:eastAsia="Times New Roman"/>
                <w:sz w:val="20"/>
                <w:szCs w:val="20"/>
                <w:lang w:eastAsia="en-AE"/>
              </w:rPr>
              <w:t>Used to identify child and parent nodes, which are affected by the sinkhole attack</w:t>
            </w: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Destination ID</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IPv6 address of the destination node</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IPv6 header</w:t>
            </w:r>
          </w:p>
        </w:tc>
        <w:tc>
          <w:tcPr>
            <w:tcW w:w="3261" w:type="dxa"/>
            <w:vMerge/>
            <w:vAlign w:val="center"/>
          </w:tcPr>
          <w:p w:rsidR="00F13024" w:rsidRPr="00F13024" w:rsidRDefault="00F13024" w:rsidP="00F13024">
            <w:pPr>
              <w:keepNext/>
              <w:keepLines/>
              <w:jc w:val="left"/>
              <w:rPr>
                <w:rFonts w:eastAsia="Times New Roman"/>
                <w:sz w:val="20"/>
                <w:szCs w:val="20"/>
                <w:lang w:eastAsia="en-AE"/>
              </w:rPr>
            </w:pP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Rank</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Relative position of node relative to other nodes with respect to a DODAG root.</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DIO</w:t>
            </w:r>
          </w:p>
        </w:tc>
        <w:tc>
          <w:tcPr>
            <w:tcW w:w="3261" w:type="dxa"/>
            <w:vAlign w:val="center"/>
          </w:tcPr>
          <w:p w:rsidR="00F13024" w:rsidRPr="00F13024" w:rsidRDefault="00F13024" w:rsidP="00F13024">
            <w:pPr>
              <w:keepNext/>
              <w:keepLines/>
              <w:jc w:val="left"/>
              <w:rPr>
                <w:rFonts w:eastAsia="Times New Roman"/>
                <w:sz w:val="20"/>
                <w:szCs w:val="20"/>
                <w:lang w:eastAsia="en-AE"/>
              </w:rPr>
            </w:pPr>
            <w:r w:rsidRPr="00F13024">
              <w:rPr>
                <w:rFonts w:eastAsia="Times New Roman"/>
                <w:sz w:val="20"/>
                <w:szCs w:val="20"/>
                <w:lang w:eastAsia="en-AE"/>
              </w:rPr>
              <w:t>This is the exact attack target of sinkhole attack.</w:t>
            </w: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Length</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The length of the RPL control message (64: DIS, 97 or 102: DIO, 76: DAO or 5: DAO ACK).</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DODAG Configuration Option</w:t>
            </w:r>
          </w:p>
        </w:tc>
        <w:tc>
          <w:tcPr>
            <w:tcW w:w="3261" w:type="dxa"/>
            <w:vAlign w:val="center"/>
          </w:tcPr>
          <w:p w:rsidR="00F13024" w:rsidRPr="00F13024" w:rsidRDefault="00F13024" w:rsidP="00F13024">
            <w:pPr>
              <w:keepNext/>
              <w:keepLines/>
              <w:jc w:val="left"/>
              <w:rPr>
                <w:rFonts w:eastAsia="Times New Roman"/>
                <w:sz w:val="20"/>
                <w:szCs w:val="20"/>
                <w:lang w:eastAsia="en-AE"/>
              </w:rPr>
            </w:pPr>
            <w:r w:rsidRPr="00F13024">
              <w:rPr>
                <w:rFonts w:eastAsia="Times New Roman"/>
                <w:sz w:val="20"/>
                <w:szCs w:val="20"/>
                <w:lang w:eastAsia="en-AE"/>
              </w:rPr>
              <w:t>The sequence of the control messages between the nodes is affected by the sinkhole attack.</w:t>
            </w: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Info</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 xml:space="preserve">Indicate the type of the RPL control message </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DODAG Configuration Option</w:t>
            </w:r>
          </w:p>
        </w:tc>
        <w:tc>
          <w:tcPr>
            <w:tcW w:w="3261" w:type="dxa"/>
            <w:vAlign w:val="center"/>
          </w:tcPr>
          <w:p w:rsidR="00F13024" w:rsidRPr="00F13024" w:rsidRDefault="00F13024" w:rsidP="00F13024">
            <w:pPr>
              <w:keepNext/>
              <w:keepLines/>
              <w:jc w:val="left"/>
              <w:rPr>
                <w:rFonts w:eastAsia="Times New Roman"/>
                <w:sz w:val="20"/>
                <w:szCs w:val="20"/>
                <w:lang w:eastAsia="en-AE"/>
              </w:rPr>
            </w:pPr>
            <w:r w:rsidRPr="00F13024">
              <w:rPr>
                <w:rFonts w:eastAsia="Times New Roman"/>
                <w:sz w:val="20"/>
                <w:szCs w:val="20"/>
                <w:lang w:eastAsia="en-AE"/>
              </w:rPr>
              <w:t>To indicate the type of the control message. The attack utilized DIO message to announce the false rank, and the DAO message is affected by the attack existence due to the re-election of the parent.</w:t>
            </w:r>
          </w:p>
        </w:tc>
      </w:tr>
      <w:tr w:rsidR="00F13024" w:rsidRPr="00F13024" w:rsidTr="00821C96">
        <w:trPr>
          <w:cantSplit/>
          <w:trHeight w:val="144"/>
        </w:trPr>
        <w:tc>
          <w:tcPr>
            <w:tcW w:w="143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Protocol</w:t>
            </w:r>
          </w:p>
        </w:tc>
        <w:tc>
          <w:tcPr>
            <w:tcW w:w="2975" w:type="dxa"/>
            <w:vAlign w:val="center"/>
          </w:tcPr>
          <w:p w:rsidR="00F13024" w:rsidRPr="00F13024" w:rsidRDefault="00F13024" w:rsidP="00F13024">
            <w:pPr>
              <w:pStyle w:val="TableEntry"/>
              <w:jc w:val="left"/>
              <w:rPr>
                <w:rFonts w:asciiTheme="majorBidi" w:hAnsiTheme="majorBidi" w:cstheme="majorBidi"/>
                <w:sz w:val="20"/>
                <w:szCs w:val="20"/>
              </w:rPr>
            </w:pPr>
            <w:r w:rsidRPr="00F13024">
              <w:rPr>
                <w:rFonts w:asciiTheme="majorBidi" w:hAnsiTheme="majorBidi" w:cstheme="majorBidi"/>
                <w:sz w:val="20"/>
                <w:szCs w:val="20"/>
              </w:rPr>
              <w:t>The communication protocol (ICMPV6, IEEE802.1 or UDP).</w:t>
            </w:r>
          </w:p>
        </w:tc>
        <w:tc>
          <w:tcPr>
            <w:tcW w:w="1350" w:type="dxa"/>
            <w:vAlign w:val="center"/>
          </w:tcPr>
          <w:p w:rsidR="00F13024" w:rsidRPr="00F13024" w:rsidRDefault="00F13024" w:rsidP="00F13024">
            <w:pPr>
              <w:pStyle w:val="TableEntry"/>
              <w:rPr>
                <w:rFonts w:asciiTheme="majorBidi" w:hAnsiTheme="majorBidi" w:cstheme="majorBidi"/>
                <w:sz w:val="20"/>
                <w:szCs w:val="20"/>
              </w:rPr>
            </w:pPr>
            <w:r w:rsidRPr="00F13024">
              <w:rPr>
                <w:rFonts w:asciiTheme="majorBidi" w:hAnsiTheme="majorBidi" w:cstheme="majorBidi"/>
                <w:sz w:val="20"/>
                <w:szCs w:val="20"/>
              </w:rPr>
              <w:t>DODAG Configuration Option</w:t>
            </w:r>
          </w:p>
        </w:tc>
        <w:tc>
          <w:tcPr>
            <w:tcW w:w="3261" w:type="dxa"/>
            <w:vAlign w:val="center"/>
          </w:tcPr>
          <w:p w:rsidR="00F13024" w:rsidRPr="00F13024" w:rsidRDefault="00F13024" w:rsidP="00F13024">
            <w:pPr>
              <w:keepNext/>
              <w:keepLines/>
              <w:jc w:val="left"/>
              <w:rPr>
                <w:rFonts w:eastAsia="Times New Roman"/>
                <w:sz w:val="20"/>
                <w:szCs w:val="20"/>
                <w:lang w:eastAsia="en-AE"/>
              </w:rPr>
            </w:pPr>
            <w:r w:rsidRPr="00F13024">
              <w:rPr>
                <w:rFonts w:eastAsia="Times New Roman"/>
                <w:sz w:val="20"/>
                <w:szCs w:val="20"/>
                <w:lang w:eastAsia="en-AE"/>
              </w:rPr>
              <w:t xml:space="preserve">To simulate the real network traffic </w:t>
            </w:r>
          </w:p>
        </w:tc>
      </w:tr>
    </w:tbl>
    <w:p w:rsidR="00D431D7" w:rsidRPr="00D431D7" w:rsidRDefault="00D431D7" w:rsidP="00AA2760">
      <w:pPr>
        <w:pStyle w:val="Heading1"/>
      </w:pPr>
      <w:bookmarkStart w:id="28" w:name="_Ref160652779"/>
      <w:bookmarkStart w:id="29" w:name="_Toc162153372"/>
      <w:bookmarkStart w:id="30" w:name="_Toc162789987"/>
      <w:bookmarkStart w:id="31" w:name="_Ref162093444"/>
      <w:bookmarkStart w:id="32" w:name="_Toc162153355"/>
      <w:bookmarkStart w:id="33" w:name="_Toc162789970"/>
      <w:r w:rsidRPr="00D431D7">
        <w:t>Procedure for Simulating the Attack using the COOJA Simulator</w:t>
      </w:r>
      <w:bookmarkEnd w:id="31"/>
      <w:bookmarkEnd w:id="32"/>
      <w:bookmarkEnd w:id="33"/>
    </w:p>
    <w:p w:rsidR="00D431D7" w:rsidRDefault="00D431D7" w:rsidP="0020288F">
      <w:pPr>
        <w:pStyle w:val="BodyText"/>
        <w:ind w:firstLine="0"/>
      </w:pPr>
      <w:r w:rsidRPr="00D431D7">
        <w:t xml:space="preserve">The procedure for simulating the internal sinkhole attack described in the attack scenario of section </w:t>
      </w:r>
      <w:r w:rsidRPr="00D431D7">
        <w:fldChar w:fldCharType="begin"/>
      </w:r>
      <w:r w:rsidRPr="00D431D7">
        <w:instrText xml:space="preserve"> REF _Ref162068088 \r \h  \* MERGEFORMAT </w:instrText>
      </w:r>
      <w:r w:rsidRPr="00D431D7">
        <w:fldChar w:fldCharType="separate"/>
      </w:r>
      <w:r w:rsidR="00AA2760">
        <w:rPr>
          <w:cs/>
        </w:rPr>
        <w:t>‎</w:t>
      </w:r>
      <w:r w:rsidR="00AA2760">
        <w:t>1</w:t>
      </w:r>
      <w:r w:rsidRPr="00D431D7">
        <w:fldChar w:fldCharType="end"/>
      </w:r>
      <w:r w:rsidRPr="00D431D7">
        <w:t xml:space="preserve"> proceed</w:t>
      </w:r>
      <w:r w:rsidR="0020288F">
        <w:t>ed</w:t>
      </w:r>
      <w:r w:rsidRPr="00D431D7">
        <w:t xml:space="preserve"> according to the following steps:</w:t>
      </w:r>
    </w:p>
    <w:p w:rsidR="00D431D7" w:rsidRDefault="0020288F" w:rsidP="00E639B5">
      <w:pPr>
        <w:pStyle w:val="BodyText"/>
        <w:numPr>
          <w:ilvl w:val="0"/>
          <w:numId w:val="7"/>
        </w:numPr>
        <w:spacing w:before="120"/>
      </w:pPr>
      <w:r>
        <w:t xml:space="preserve">The </w:t>
      </w:r>
      <w:r w:rsidR="00D431D7" w:rsidRPr="00D431D7">
        <w:t>chosen attack scenario assumes an internal attack leveraging a node that is already integrated into an existing DODAG. Therefore, after the network is constructed in COOJA, it will be allowed to run normally until the DODAG is constructed successfully and the network starts to transmit UDP data packets. Through preliminary experimentation, we determined that this process typically requires approximately 100 seconds of simulation time. Accordingly, the network will be allowed to run normally for 100 seconds to achieve convergence and stability, then the attack will be launched.</w:t>
      </w:r>
    </w:p>
    <w:p w:rsidR="00D431D7" w:rsidRDefault="00D431D7" w:rsidP="00E639B5">
      <w:pPr>
        <w:pStyle w:val="BodyText"/>
        <w:numPr>
          <w:ilvl w:val="0"/>
          <w:numId w:val="7"/>
        </w:numPr>
        <w:spacing w:before="120"/>
      </w:pPr>
      <w:r w:rsidRPr="00D431D7">
        <w:t>After the conclusion of the 100 seconds, a designated node will alter its behavior and launch the sinkhole attack by broadcasting DIO messages that falsely advertise a rank very close to that of the root node. The location of this compromised node will be varied to investigate the impact of the attacker location on the detection accuracy.</w:t>
      </w:r>
    </w:p>
    <w:p w:rsidR="00D431D7" w:rsidRDefault="00D431D7" w:rsidP="00E639B5">
      <w:pPr>
        <w:pStyle w:val="BodyText"/>
        <w:numPr>
          <w:ilvl w:val="0"/>
          <w:numId w:val="7"/>
        </w:numPr>
        <w:spacing w:before="120"/>
      </w:pPr>
      <w:r w:rsidRPr="00D431D7">
        <w:t>The simulator will proceed to implement normal RPL behavior, where nodes continuously update their adopted parents by choosing nodes within their communication range with the lowest advertised ran</w:t>
      </w:r>
      <w:bookmarkStart w:id="34" w:name="_GoBack"/>
      <w:bookmarkEnd w:id="34"/>
      <w:r w:rsidRPr="00D431D7">
        <w:t>k, assuming they are closer to the root. Since the compromised node advertises a rank very close to that of the root node, neighboring nodes will perceive it as offering a shorter path to the root, gradually adopt it as their preferred parent and reroute their traffic accordingly. This marks a successful launch of the sinkhole attack.</w:t>
      </w:r>
    </w:p>
    <w:p w:rsidR="0020288F" w:rsidRDefault="0020288F" w:rsidP="0020288F">
      <w:pPr>
        <w:pStyle w:val="ListParagraph"/>
      </w:pPr>
    </w:p>
    <w:p w:rsidR="0020288F" w:rsidRDefault="00D431D7" w:rsidP="00AA2760">
      <w:pPr>
        <w:pStyle w:val="BodyText"/>
        <w:numPr>
          <w:ilvl w:val="0"/>
          <w:numId w:val="7"/>
        </w:numPr>
      </w:pPr>
      <w:r w:rsidRPr="00D431D7">
        <w:lastRenderedPageBreak/>
        <w:t xml:space="preserve">Once the network reconstruction process is finished, the network transitions to the data packet transmission phase. Extensive trial and error experiments have demonstrated that approximately 4 minutes of simulation time (counted from the beginning of step 1) are sufficient to reach this stage. Given that the focus is </w:t>
      </w:r>
      <w:r w:rsidR="0020288F">
        <w:t xml:space="preserve">the detection of </w:t>
      </w:r>
      <w:r w:rsidRPr="00D431D7">
        <w:t>the attack using exchanged control packets, further simulation beyond the initiation of data packet transmission is deemed unnecessary. Therefore, it was decided that the simulations would be allowed to run for only 4 minutes.</w:t>
      </w:r>
    </w:p>
    <w:p w:rsidR="00D431D7" w:rsidRPr="00D431D7" w:rsidRDefault="00D431D7" w:rsidP="00AA2760">
      <w:pPr>
        <w:pStyle w:val="BodyText"/>
        <w:numPr>
          <w:ilvl w:val="0"/>
          <w:numId w:val="7"/>
        </w:numPr>
        <w:spacing w:before="120"/>
      </w:pPr>
      <w:r w:rsidRPr="00D431D7">
        <w:t xml:space="preserve">After the conclusion of the 4 minutes, Wireshark will be used to collect all of the exchanged packets </w:t>
      </w:r>
      <w:r w:rsidR="0020288F">
        <w:t>throughout the simulation time. These packets will be recorded in the Dataset</w:t>
      </w:r>
      <w:r w:rsidR="00821C96">
        <w:t>, with their e</w:t>
      </w:r>
      <w:r w:rsidR="00821C96" w:rsidRPr="00F13024">
        <w:t>xact sequencing preserved.</w:t>
      </w:r>
    </w:p>
    <w:p w:rsidR="00F13024" w:rsidRPr="00F13024" w:rsidRDefault="00F13024" w:rsidP="00D431D7">
      <w:pPr>
        <w:pStyle w:val="Heading1"/>
      </w:pPr>
      <w:r w:rsidRPr="00F13024">
        <w:t>Collection of Normal Network Traffic for the UOS_IOTSH_2024 Dataset</w:t>
      </w:r>
      <w:bookmarkEnd w:id="24"/>
      <w:bookmarkEnd w:id="28"/>
      <w:bookmarkEnd w:id="29"/>
      <w:bookmarkEnd w:id="30"/>
    </w:p>
    <w:p w:rsidR="00F13024" w:rsidRDefault="0020288F" w:rsidP="0020288F">
      <w:r>
        <w:t>A</w:t>
      </w:r>
      <w:r w:rsidR="00F13024" w:rsidRPr="00F13024">
        <w:t xml:space="preserve"> number of network configurations were built in COOJA and allowed to operate normally for 4 minutes (as established in section </w:t>
      </w:r>
      <w:r w:rsidR="00F13024" w:rsidRPr="00F13024">
        <w:fldChar w:fldCharType="begin"/>
      </w:r>
      <w:r w:rsidR="00F13024" w:rsidRPr="00F13024">
        <w:instrText xml:space="preserve"> REF _Ref162093444 \r \h  \* MERGEFORMAT </w:instrText>
      </w:r>
      <w:r w:rsidR="00F13024" w:rsidRPr="00F13024">
        <w:fldChar w:fldCharType="separate"/>
      </w:r>
      <w:r w:rsidR="00AA2760">
        <w:rPr>
          <w:cs/>
        </w:rPr>
        <w:t>‎</w:t>
      </w:r>
      <w:r w:rsidR="00AA2760">
        <w:t>7</w:t>
      </w:r>
      <w:r w:rsidR="00F13024" w:rsidRPr="00F13024">
        <w:fldChar w:fldCharType="end"/>
      </w:r>
      <w:r w:rsidR="00F13024" w:rsidRPr="00F13024">
        <w:t xml:space="preserve">) to allow the DODAG construction process to complete and converge. The network traffic under these circumstances forms the baseline </w:t>
      </w:r>
      <w:r w:rsidR="00F13024" w:rsidRPr="00F13024">
        <w:rPr>
          <w:i/>
          <w:iCs/>
        </w:rPr>
        <w:t>normal behavior</w:t>
      </w:r>
      <w:r w:rsidR="00F13024" w:rsidRPr="00F13024">
        <w:t xml:space="preserve"> for the simulated networks. The following subsections will detail the process of collecting the data for each scenario.</w:t>
      </w:r>
    </w:p>
    <w:p w:rsidR="00F13024" w:rsidRPr="00F13024" w:rsidRDefault="00F13024" w:rsidP="003355E1">
      <w:pPr>
        <w:pStyle w:val="Heading2"/>
      </w:pPr>
      <w:bookmarkStart w:id="35" w:name="_Ref160531510"/>
      <w:bookmarkStart w:id="36" w:name="_Toc162153373"/>
      <w:bookmarkStart w:id="37" w:name="_Toc162789988"/>
      <w:r w:rsidRPr="00F13024">
        <w:t>Small Single-DODAG Network</w:t>
      </w:r>
      <w:bookmarkEnd w:id="35"/>
      <w:bookmarkEnd w:id="36"/>
      <w:bookmarkEnd w:id="37"/>
    </w:p>
    <w:p w:rsidR="00F13024" w:rsidRPr="00F13024" w:rsidRDefault="00F13024" w:rsidP="0020288F">
      <w:r w:rsidRPr="00F13024">
        <w:t xml:space="preserve">A network comprised of a single router (representing the root node) and 12 </w:t>
      </w:r>
      <w:proofErr w:type="spellStart"/>
      <w:r w:rsidRPr="00F13024">
        <w:t>Tmote</w:t>
      </w:r>
      <w:proofErr w:type="spellEnd"/>
      <w:r w:rsidRPr="00F13024">
        <w:t xml:space="preserve"> Sky Mote nodes (representing the sensor nodes) was constructed in the COOJA simulator. The sensor nodes were arranged in rows with varying distances from the root (as illustrated in </w:t>
      </w:r>
      <w:r w:rsidRPr="00F13024">
        <w:fldChar w:fldCharType="begin"/>
      </w:r>
      <w:r w:rsidRPr="00F13024">
        <w:instrText xml:space="preserve"> REF _Ref158665119 \h  \* MERGEFORMAT </w:instrText>
      </w:r>
      <w:r w:rsidRPr="00F13024">
        <w:fldChar w:fldCharType="separate"/>
      </w:r>
      <w:r w:rsidR="00AA2760" w:rsidRPr="00F13024">
        <w:t xml:space="preserve">Figure </w:t>
      </w:r>
      <w:r w:rsidR="00AA2760">
        <w:rPr>
          <w:noProof/>
        </w:rPr>
        <w:t>1</w:t>
      </w:r>
      <w:r w:rsidRPr="00F13024">
        <w:fldChar w:fldCharType="end"/>
      </w:r>
      <w:r w:rsidRPr="00F13024">
        <w:t>) to encourage a hierarchical DODAG. To prevent potential data bias, the placement of nodes with respect to their node IDs was deliberately randomized.</w:t>
      </w:r>
    </w:p>
    <w:p w:rsidR="00F13024" w:rsidRPr="00F13024" w:rsidRDefault="00F13024" w:rsidP="00F13024">
      <w:pPr>
        <w:pStyle w:val="Figure"/>
        <w:spacing w:line="276" w:lineRule="auto"/>
      </w:pPr>
      <w:r w:rsidRPr="00F13024">
        <w:drawing>
          <wp:inline distT="0" distB="0" distL="0" distR="0" wp14:anchorId="29B628C3" wp14:editId="4C4679C9">
            <wp:extent cx="1762371" cy="2305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371" cy="2305372"/>
                    </a:xfrm>
                    <a:prstGeom prst="rect">
                      <a:avLst/>
                    </a:prstGeom>
                  </pic:spPr>
                </pic:pic>
              </a:graphicData>
            </a:graphic>
          </wp:inline>
        </w:drawing>
      </w:r>
    </w:p>
    <w:p w:rsidR="00F13024" w:rsidRPr="00F13024" w:rsidRDefault="00F13024" w:rsidP="0020288F">
      <w:pPr>
        <w:pStyle w:val="Caption-Figure"/>
        <w:spacing w:line="276" w:lineRule="auto"/>
      </w:pPr>
      <w:bookmarkStart w:id="38" w:name="_Ref158665119"/>
      <w:bookmarkStart w:id="39" w:name="_Toc161625207"/>
      <w:bookmarkStart w:id="40" w:name="_Toc162790039"/>
      <w:r w:rsidRPr="00F13024">
        <w:t xml:space="preserve">Figure </w:t>
      </w:r>
      <w:r w:rsidRPr="00F13024">
        <w:fldChar w:fldCharType="begin"/>
      </w:r>
      <w:r w:rsidRPr="00F13024">
        <w:instrText xml:space="preserve"> SEQ Figure \* ARABIC </w:instrText>
      </w:r>
      <w:r w:rsidRPr="00F13024">
        <w:fldChar w:fldCharType="separate"/>
      </w:r>
      <w:r w:rsidR="00AA2760">
        <w:rPr>
          <w:noProof/>
        </w:rPr>
        <w:t>1</w:t>
      </w:r>
      <w:r w:rsidRPr="00F13024">
        <w:rPr>
          <w:noProof/>
        </w:rPr>
        <w:fldChar w:fldCharType="end"/>
      </w:r>
      <w:bookmarkEnd w:id="38"/>
      <w:r w:rsidRPr="00F13024">
        <w:t xml:space="preserve"> – Arrangement of Nodes to Create the Small </w:t>
      </w:r>
      <w:r w:rsidR="00E639B5">
        <w:t xml:space="preserve">Single-DODAG </w:t>
      </w:r>
      <w:r w:rsidRPr="00F13024">
        <w:t>Network in COOJA.</w:t>
      </w:r>
      <w:bookmarkEnd w:id="39"/>
      <w:bookmarkEnd w:id="40"/>
    </w:p>
    <w:p w:rsidR="00F13024" w:rsidRDefault="00F13024" w:rsidP="00E639B5">
      <w:r w:rsidRPr="00F13024">
        <w:t xml:space="preserve">The simulator was then operated continuously for a duration of 4 minutes of simulation time. After that, Wireshark was used to capture all ICMP4 and UDP packets exchanged during the simulation period. Careful examination of the information in the collected packets showed that the network assembled appropriately into the DODAG shown in </w:t>
      </w:r>
      <w:r w:rsidRPr="00F13024">
        <w:fldChar w:fldCharType="begin"/>
      </w:r>
      <w:r w:rsidRPr="00F13024">
        <w:instrText xml:space="preserve"> REF _Ref150371877 \h  \* MERGEFORMAT </w:instrText>
      </w:r>
      <w:r w:rsidRPr="00F13024">
        <w:fldChar w:fldCharType="separate"/>
      </w:r>
      <w:r w:rsidR="00AA2760" w:rsidRPr="00DB2B3B">
        <w:t xml:space="preserve">Figure </w:t>
      </w:r>
      <w:r w:rsidR="00AA2760">
        <w:rPr>
          <w:noProof/>
        </w:rPr>
        <w:t>2</w:t>
      </w:r>
      <w:r w:rsidRPr="00F13024">
        <w:fldChar w:fldCharType="end"/>
      </w:r>
      <w:r w:rsidR="00E639B5">
        <w:t>.</w:t>
      </w:r>
      <w:r w:rsidR="00AA2760">
        <w:t xml:space="preserve"> The distribution of the collected packets during the 4-minute simulation time is presented in </w:t>
      </w:r>
      <w:r w:rsidR="00AA2760" w:rsidRPr="00F13024">
        <w:fldChar w:fldCharType="begin"/>
      </w:r>
      <w:r w:rsidR="00AA2760" w:rsidRPr="00F13024">
        <w:instrText xml:space="preserve"> REF _Ref160451457 \h  \* MERGEFORMAT </w:instrText>
      </w:r>
      <w:r w:rsidR="00AA2760" w:rsidRPr="00F13024">
        <w:fldChar w:fldCharType="separate"/>
      </w:r>
      <w:r w:rsidR="00AA2760" w:rsidRPr="00AA2760">
        <w:rPr>
          <w:rFonts w:asciiTheme="majorBidi" w:hAnsiTheme="majorBidi" w:cstheme="majorBidi"/>
          <w:szCs w:val="24"/>
        </w:rPr>
        <w:t xml:space="preserve">Table </w:t>
      </w:r>
      <w:r w:rsidR="00AA2760" w:rsidRPr="00AA2760">
        <w:rPr>
          <w:rFonts w:asciiTheme="majorBidi" w:hAnsiTheme="majorBidi" w:cstheme="majorBidi"/>
          <w:noProof/>
          <w:szCs w:val="24"/>
        </w:rPr>
        <w:t>3</w:t>
      </w:r>
      <w:r w:rsidR="00AA2760" w:rsidRPr="00F13024">
        <w:fldChar w:fldCharType="end"/>
      </w:r>
      <w:r w:rsidR="00AA2760" w:rsidRPr="00F13024">
        <w:t>.</w:t>
      </w:r>
    </w:p>
    <w:p w:rsidR="0020288F" w:rsidRDefault="0020288F" w:rsidP="0020288F">
      <w:pPr>
        <w:pStyle w:val="Figure"/>
      </w:pPr>
      <w:r w:rsidRPr="004C0AD9">
        <w:lastRenderedPageBreak/>
        <w:drawing>
          <wp:inline distT="0" distB="0" distL="0" distR="0" wp14:anchorId="46BAEFA8" wp14:editId="0C88DF7E">
            <wp:extent cx="2039554" cy="2500098"/>
            <wp:effectExtent l="0" t="0" r="0" b="0"/>
            <wp:docPr id="212688636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86365" name="Picture 1" descr="A diagram of a network&#10;&#10;Description automatically generated"/>
                    <pic:cNvPicPr/>
                  </pic:nvPicPr>
                  <pic:blipFill>
                    <a:blip r:embed="rId7"/>
                    <a:stretch>
                      <a:fillRect/>
                    </a:stretch>
                  </pic:blipFill>
                  <pic:spPr>
                    <a:xfrm>
                      <a:off x="0" y="0"/>
                      <a:ext cx="2051661" cy="2514939"/>
                    </a:xfrm>
                    <a:prstGeom prst="rect">
                      <a:avLst/>
                    </a:prstGeom>
                  </pic:spPr>
                </pic:pic>
              </a:graphicData>
            </a:graphic>
          </wp:inline>
        </w:drawing>
      </w:r>
    </w:p>
    <w:p w:rsidR="0020288F" w:rsidRPr="00DB2B3B" w:rsidRDefault="0020288F" w:rsidP="00E639B5">
      <w:pPr>
        <w:pStyle w:val="Caption-Figure"/>
      </w:pPr>
      <w:bookmarkStart w:id="41" w:name="_Ref150371877"/>
      <w:bookmarkStart w:id="42" w:name="_Ref150371855"/>
      <w:bookmarkStart w:id="43" w:name="_Toc161625210"/>
      <w:bookmarkStart w:id="44" w:name="_Toc162790033"/>
      <w:r w:rsidRPr="00DB2B3B">
        <w:t xml:space="preserve">Figure </w:t>
      </w:r>
      <w:r>
        <w:fldChar w:fldCharType="begin"/>
      </w:r>
      <w:r>
        <w:instrText xml:space="preserve"> SEQ Figure \* ARABIC </w:instrText>
      </w:r>
      <w:r>
        <w:fldChar w:fldCharType="separate"/>
      </w:r>
      <w:r w:rsidR="00AA2760">
        <w:rPr>
          <w:noProof/>
        </w:rPr>
        <w:t>2</w:t>
      </w:r>
      <w:r>
        <w:rPr>
          <w:noProof/>
        </w:rPr>
        <w:fldChar w:fldCharType="end"/>
      </w:r>
      <w:bookmarkEnd w:id="41"/>
      <w:r w:rsidRPr="00DB2B3B">
        <w:t xml:space="preserve"> </w:t>
      </w:r>
      <w:r>
        <w:t>–</w:t>
      </w:r>
      <w:bookmarkEnd w:id="42"/>
      <w:r>
        <w:t xml:space="preserve"> DODAG of the Small Network</w:t>
      </w:r>
      <w:bookmarkEnd w:id="43"/>
      <w:bookmarkEnd w:id="44"/>
    </w:p>
    <w:p w:rsidR="00F13024" w:rsidRPr="00F13024" w:rsidRDefault="00F13024" w:rsidP="00821C96">
      <w:pPr>
        <w:pStyle w:val="Caption-Table"/>
        <w:spacing w:line="276" w:lineRule="auto"/>
      </w:pPr>
      <w:bookmarkStart w:id="45" w:name="_Ref160451457"/>
      <w:bookmarkStart w:id="46" w:name="_Toc161655676"/>
      <w:bookmarkStart w:id="47" w:name="_Toc162790056"/>
      <w:r w:rsidRPr="00F13024">
        <w:t xml:space="preserve">Table </w:t>
      </w:r>
      <w:r w:rsidRPr="00F13024">
        <w:fldChar w:fldCharType="begin"/>
      </w:r>
      <w:r w:rsidRPr="00F13024">
        <w:instrText xml:space="preserve"> SEQ Table \* ARABIC </w:instrText>
      </w:r>
      <w:r w:rsidRPr="00F13024">
        <w:fldChar w:fldCharType="separate"/>
      </w:r>
      <w:r w:rsidR="00AA2760">
        <w:rPr>
          <w:noProof/>
        </w:rPr>
        <w:t>3</w:t>
      </w:r>
      <w:r w:rsidRPr="00F13024">
        <w:rPr>
          <w:noProof/>
        </w:rPr>
        <w:fldChar w:fldCharType="end"/>
      </w:r>
      <w:bookmarkEnd w:id="45"/>
      <w:r w:rsidRPr="00F13024">
        <w:t xml:space="preserve"> –Packet Distribution in the Small Single-DODAG Network under Normal Behavior.</w:t>
      </w:r>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1735"/>
        <w:gridCol w:w="1710"/>
      </w:tblGrid>
      <w:tr w:rsidR="00F13024" w:rsidRPr="00F13024" w:rsidTr="005C539B">
        <w:trPr>
          <w:trHeight w:val="20"/>
          <w:jc w:val="center"/>
        </w:trPr>
        <w:tc>
          <w:tcPr>
            <w:tcW w:w="2490" w:type="dxa"/>
          </w:tcPr>
          <w:p w:rsidR="00F13024" w:rsidRPr="00F13024" w:rsidRDefault="00F13024" w:rsidP="00F13024">
            <w:pPr>
              <w:pStyle w:val="TableColHead"/>
            </w:pPr>
            <w:r w:rsidRPr="00F13024">
              <w:t>Packet Type</w:t>
            </w:r>
          </w:p>
        </w:tc>
        <w:tc>
          <w:tcPr>
            <w:tcW w:w="1735" w:type="dxa"/>
            <w:vAlign w:val="center"/>
          </w:tcPr>
          <w:p w:rsidR="00F13024" w:rsidRPr="00F13024" w:rsidRDefault="00F13024" w:rsidP="00F13024">
            <w:pPr>
              <w:pStyle w:val="TableColHead"/>
              <w:jc w:val="center"/>
            </w:pPr>
            <w:r w:rsidRPr="00F13024">
              <w:t>Count</w:t>
            </w:r>
          </w:p>
        </w:tc>
        <w:tc>
          <w:tcPr>
            <w:tcW w:w="1710" w:type="dxa"/>
            <w:vAlign w:val="center"/>
          </w:tcPr>
          <w:p w:rsidR="00F13024" w:rsidRPr="00F13024" w:rsidRDefault="00F13024" w:rsidP="00F13024">
            <w:pPr>
              <w:pStyle w:val="TableColHead"/>
              <w:jc w:val="center"/>
            </w:pPr>
            <w:r w:rsidRPr="00F13024">
              <w:t>Percentage</w:t>
            </w:r>
          </w:p>
        </w:tc>
      </w:tr>
      <w:tr w:rsidR="00F13024" w:rsidRPr="00F13024" w:rsidTr="005C539B">
        <w:trPr>
          <w:trHeight w:val="20"/>
          <w:jc w:val="center"/>
        </w:trPr>
        <w:tc>
          <w:tcPr>
            <w:tcW w:w="2490" w:type="dxa"/>
          </w:tcPr>
          <w:p w:rsidR="00F13024" w:rsidRPr="00F13024" w:rsidRDefault="00F13024" w:rsidP="00F13024">
            <w:pPr>
              <w:pStyle w:val="TableEntry"/>
              <w:rPr>
                <w:color w:val="FF0000"/>
              </w:rPr>
            </w:pPr>
            <w:r w:rsidRPr="00F13024">
              <w:t>ICMPv6 – DIS</w:t>
            </w:r>
          </w:p>
        </w:tc>
        <w:tc>
          <w:tcPr>
            <w:tcW w:w="1735" w:type="dxa"/>
            <w:vAlign w:val="center"/>
          </w:tcPr>
          <w:p w:rsidR="00F13024" w:rsidRPr="00821C96" w:rsidRDefault="00F13024" w:rsidP="00F13024">
            <w:pPr>
              <w:pStyle w:val="TableEntry"/>
              <w:jc w:val="center"/>
              <w:rPr>
                <w:highlight w:val="yellow"/>
              </w:rPr>
            </w:pPr>
            <w:r w:rsidRPr="00821C96">
              <w:rPr>
                <w:highlight w:val="yellow"/>
              </w:rPr>
              <w:t>228</w:t>
            </w:r>
          </w:p>
        </w:tc>
        <w:tc>
          <w:tcPr>
            <w:tcW w:w="1710" w:type="dxa"/>
            <w:vAlign w:val="center"/>
          </w:tcPr>
          <w:p w:rsidR="00F13024" w:rsidRPr="00821C96" w:rsidRDefault="00F13024" w:rsidP="00F13024">
            <w:pPr>
              <w:pStyle w:val="TableEntry"/>
              <w:jc w:val="center"/>
              <w:rPr>
                <w:highlight w:val="yellow"/>
              </w:rPr>
            </w:pPr>
            <w:r w:rsidRPr="00821C96">
              <w:rPr>
                <w:highlight w:val="yellow"/>
              </w:rPr>
              <w:t>4%</w:t>
            </w:r>
          </w:p>
        </w:tc>
      </w:tr>
      <w:tr w:rsidR="00F13024" w:rsidRPr="00F13024" w:rsidTr="005C539B">
        <w:trPr>
          <w:trHeight w:val="20"/>
          <w:jc w:val="center"/>
        </w:trPr>
        <w:tc>
          <w:tcPr>
            <w:tcW w:w="2490" w:type="dxa"/>
          </w:tcPr>
          <w:p w:rsidR="00F13024" w:rsidRPr="00F13024" w:rsidRDefault="00F13024" w:rsidP="00F13024">
            <w:pPr>
              <w:pStyle w:val="TableEntry"/>
              <w:rPr>
                <w:color w:val="FF0000"/>
              </w:rPr>
            </w:pPr>
            <w:r w:rsidRPr="00F13024">
              <w:t>ICMPv6 – DIO</w:t>
            </w:r>
          </w:p>
        </w:tc>
        <w:tc>
          <w:tcPr>
            <w:tcW w:w="1735" w:type="dxa"/>
            <w:vAlign w:val="center"/>
          </w:tcPr>
          <w:p w:rsidR="00F13024" w:rsidRPr="00821C96" w:rsidRDefault="00F13024" w:rsidP="00F13024">
            <w:pPr>
              <w:pStyle w:val="TableEntry"/>
              <w:jc w:val="center"/>
              <w:rPr>
                <w:highlight w:val="yellow"/>
              </w:rPr>
            </w:pPr>
            <w:r w:rsidRPr="00821C96">
              <w:rPr>
                <w:highlight w:val="yellow"/>
              </w:rPr>
              <w:t>2,662</w:t>
            </w:r>
          </w:p>
        </w:tc>
        <w:tc>
          <w:tcPr>
            <w:tcW w:w="1710" w:type="dxa"/>
            <w:vAlign w:val="center"/>
          </w:tcPr>
          <w:p w:rsidR="00F13024" w:rsidRPr="00821C96" w:rsidRDefault="00F13024" w:rsidP="00F13024">
            <w:pPr>
              <w:pStyle w:val="TableEntry"/>
              <w:jc w:val="center"/>
              <w:rPr>
                <w:highlight w:val="yellow"/>
              </w:rPr>
            </w:pPr>
            <w:r w:rsidRPr="00821C96">
              <w:rPr>
                <w:highlight w:val="yellow"/>
              </w:rPr>
              <w:t>45%</w:t>
            </w:r>
          </w:p>
        </w:tc>
      </w:tr>
      <w:tr w:rsidR="00F13024" w:rsidRPr="00F13024" w:rsidTr="005C539B">
        <w:trPr>
          <w:trHeight w:val="20"/>
          <w:jc w:val="center"/>
        </w:trPr>
        <w:tc>
          <w:tcPr>
            <w:tcW w:w="2490" w:type="dxa"/>
          </w:tcPr>
          <w:p w:rsidR="00F13024" w:rsidRPr="00F13024" w:rsidRDefault="00F13024" w:rsidP="00F13024">
            <w:pPr>
              <w:pStyle w:val="TableEntry"/>
              <w:rPr>
                <w:color w:val="FF0000"/>
              </w:rPr>
            </w:pPr>
            <w:r w:rsidRPr="00F13024">
              <w:t>ICMPv6 – DAO</w:t>
            </w:r>
          </w:p>
        </w:tc>
        <w:tc>
          <w:tcPr>
            <w:tcW w:w="1735" w:type="dxa"/>
            <w:vAlign w:val="center"/>
          </w:tcPr>
          <w:p w:rsidR="00F13024" w:rsidRPr="00821C96" w:rsidRDefault="00F13024" w:rsidP="00F13024">
            <w:pPr>
              <w:pStyle w:val="TableEntry"/>
              <w:jc w:val="center"/>
              <w:rPr>
                <w:highlight w:val="yellow"/>
              </w:rPr>
            </w:pPr>
            <w:r w:rsidRPr="00821C96">
              <w:rPr>
                <w:highlight w:val="yellow"/>
              </w:rPr>
              <w:t>2,089</w:t>
            </w:r>
          </w:p>
        </w:tc>
        <w:tc>
          <w:tcPr>
            <w:tcW w:w="1710" w:type="dxa"/>
            <w:vAlign w:val="center"/>
          </w:tcPr>
          <w:p w:rsidR="00F13024" w:rsidRPr="00821C96" w:rsidRDefault="00F13024" w:rsidP="00F13024">
            <w:pPr>
              <w:pStyle w:val="TableEntry"/>
              <w:jc w:val="center"/>
              <w:rPr>
                <w:highlight w:val="yellow"/>
              </w:rPr>
            </w:pPr>
            <w:r w:rsidRPr="00821C96">
              <w:rPr>
                <w:highlight w:val="yellow"/>
              </w:rPr>
              <w:t>35%</w:t>
            </w:r>
          </w:p>
        </w:tc>
      </w:tr>
      <w:tr w:rsidR="00F13024" w:rsidRPr="00F13024" w:rsidTr="005C539B">
        <w:trPr>
          <w:trHeight w:val="20"/>
          <w:jc w:val="center"/>
        </w:trPr>
        <w:tc>
          <w:tcPr>
            <w:tcW w:w="2490" w:type="dxa"/>
          </w:tcPr>
          <w:p w:rsidR="00F13024" w:rsidRPr="00F13024" w:rsidRDefault="00F13024" w:rsidP="00F13024">
            <w:pPr>
              <w:pStyle w:val="TableEntry"/>
              <w:rPr>
                <w:color w:val="FF0000"/>
              </w:rPr>
            </w:pPr>
            <w:r w:rsidRPr="00F13024">
              <w:t>ICMPv6 – DAO ACK</w:t>
            </w:r>
          </w:p>
        </w:tc>
        <w:tc>
          <w:tcPr>
            <w:tcW w:w="1735" w:type="dxa"/>
            <w:vAlign w:val="center"/>
          </w:tcPr>
          <w:p w:rsidR="00F13024" w:rsidRPr="00821C96" w:rsidRDefault="00F13024" w:rsidP="00F13024">
            <w:pPr>
              <w:pStyle w:val="TableEntry"/>
              <w:jc w:val="center"/>
              <w:rPr>
                <w:highlight w:val="yellow"/>
              </w:rPr>
            </w:pPr>
            <w:r w:rsidRPr="00821C96">
              <w:rPr>
                <w:highlight w:val="yellow"/>
              </w:rPr>
              <w:t>239</w:t>
            </w:r>
          </w:p>
        </w:tc>
        <w:tc>
          <w:tcPr>
            <w:tcW w:w="1710" w:type="dxa"/>
            <w:vAlign w:val="center"/>
          </w:tcPr>
          <w:p w:rsidR="00F13024" w:rsidRPr="00821C96" w:rsidRDefault="00F13024" w:rsidP="00F13024">
            <w:pPr>
              <w:pStyle w:val="TableEntry"/>
              <w:jc w:val="center"/>
              <w:rPr>
                <w:highlight w:val="yellow"/>
              </w:rPr>
            </w:pPr>
            <w:r w:rsidRPr="00821C96">
              <w:rPr>
                <w:highlight w:val="yellow"/>
              </w:rPr>
              <w:t>4%</w:t>
            </w:r>
          </w:p>
        </w:tc>
      </w:tr>
      <w:tr w:rsidR="00F13024" w:rsidRPr="00F13024" w:rsidTr="005C539B">
        <w:trPr>
          <w:trHeight w:val="20"/>
          <w:jc w:val="center"/>
        </w:trPr>
        <w:tc>
          <w:tcPr>
            <w:tcW w:w="2490" w:type="dxa"/>
          </w:tcPr>
          <w:p w:rsidR="00F13024" w:rsidRPr="00F13024" w:rsidRDefault="00F13024" w:rsidP="00F13024">
            <w:pPr>
              <w:pStyle w:val="TableEntry"/>
              <w:rPr>
                <w:color w:val="FF0000"/>
              </w:rPr>
            </w:pPr>
            <w:r w:rsidRPr="00F13024">
              <w:t>UDP</w:t>
            </w:r>
          </w:p>
        </w:tc>
        <w:tc>
          <w:tcPr>
            <w:tcW w:w="1735" w:type="dxa"/>
            <w:vAlign w:val="center"/>
          </w:tcPr>
          <w:p w:rsidR="00F13024" w:rsidRPr="00821C96" w:rsidRDefault="00F13024" w:rsidP="00F13024">
            <w:pPr>
              <w:pStyle w:val="TableEntry"/>
              <w:jc w:val="center"/>
              <w:rPr>
                <w:highlight w:val="yellow"/>
              </w:rPr>
            </w:pPr>
            <w:r w:rsidRPr="00821C96">
              <w:rPr>
                <w:highlight w:val="yellow"/>
              </w:rPr>
              <w:t>705</w:t>
            </w:r>
          </w:p>
        </w:tc>
        <w:tc>
          <w:tcPr>
            <w:tcW w:w="1710" w:type="dxa"/>
            <w:vAlign w:val="center"/>
          </w:tcPr>
          <w:p w:rsidR="00F13024" w:rsidRPr="00821C96" w:rsidRDefault="00F13024" w:rsidP="00F13024">
            <w:pPr>
              <w:pStyle w:val="TableEntry"/>
              <w:jc w:val="center"/>
              <w:rPr>
                <w:highlight w:val="yellow"/>
              </w:rPr>
            </w:pPr>
            <w:r w:rsidRPr="00821C96">
              <w:rPr>
                <w:highlight w:val="yellow"/>
              </w:rPr>
              <w:t>12%</w:t>
            </w:r>
          </w:p>
        </w:tc>
      </w:tr>
      <w:tr w:rsidR="00F13024" w:rsidRPr="00F13024" w:rsidTr="005C539B">
        <w:trPr>
          <w:trHeight w:val="20"/>
          <w:jc w:val="center"/>
        </w:trPr>
        <w:tc>
          <w:tcPr>
            <w:tcW w:w="2490" w:type="dxa"/>
          </w:tcPr>
          <w:p w:rsidR="00F13024" w:rsidRPr="00F13024" w:rsidRDefault="00F13024" w:rsidP="00F13024">
            <w:pPr>
              <w:pStyle w:val="TableEntry"/>
              <w:rPr>
                <w:b/>
                <w:bCs/>
              </w:rPr>
            </w:pPr>
            <w:r w:rsidRPr="00F13024">
              <w:rPr>
                <w:b/>
                <w:bCs/>
              </w:rPr>
              <w:t>Totals</w:t>
            </w:r>
          </w:p>
        </w:tc>
        <w:tc>
          <w:tcPr>
            <w:tcW w:w="1735" w:type="dxa"/>
            <w:vAlign w:val="center"/>
          </w:tcPr>
          <w:p w:rsidR="00F13024" w:rsidRPr="00821C96" w:rsidRDefault="00F13024" w:rsidP="00F13024">
            <w:pPr>
              <w:pStyle w:val="TableEntry"/>
              <w:jc w:val="center"/>
              <w:rPr>
                <w:b/>
                <w:bCs/>
                <w:highlight w:val="yellow"/>
              </w:rPr>
            </w:pPr>
            <w:r w:rsidRPr="00821C96">
              <w:rPr>
                <w:b/>
                <w:bCs/>
                <w:highlight w:val="yellow"/>
              </w:rPr>
              <w:fldChar w:fldCharType="begin"/>
            </w:r>
            <w:r w:rsidRPr="00821C96">
              <w:rPr>
                <w:b/>
                <w:bCs/>
                <w:highlight w:val="yellow"/>
              </w:rPr>
              <w:instrText xml:space="preserve"> =SUM(ABOVE) </w:instrText>
            </w:r>
            <w:r w:rsidRPr="00821C96">
              <w:rPr>
                <w:b/>
                <w:bCs/>
                <w:highlight w:val="yellow"/>
              </w:rPr>
              <w:fldChar w:fldCharType="separate"/>
            </w:r>
            <w:r w:rsidR="00AA2760">
              <w:rPr>
                <w:b/>
                <w:bCs/>
                <w:noProof/>
                <w:highlight w:val="yellow"/>
              </w:rPr>
              <w:t>5,923</w:t>
            </w:r>
            <w:r w:rsidRPr="00821C96">
              <w:rPr>
                <w:b/>
                <w:bCs/>
                <w:highlight w:val="yellow"/>
              </w:rPr>
              <w:fldChar w:fldCharType="end"/>
            </w:r>
          </w:p>
        </w:tc>
        <w:tc>
          <w:tcPr>
            <w:tcW w:w="1710" w:type="dxa"/>
            <w:vAlign w:val="center"/>
          </w:tcPr>
          <w:p w:rsidR="00F13024" w:rsidRPr="00821C96" w:rsidRDefault="00F13024" w:rsidP="00F13024">
            <w:pPr>
              <w:pStyle w:val="TableEntry"/>
              <w:jc w:val="center"/>
              <w:rPr>
                <w:b/>
                <w:bCs/>
                <w:highlight w:val="yellow"/>
              </w:rPr>
            </w:pPr>
            <w:r w:rsidRPr="00821C96">
              <w:rPr>
                <w:b/>
                <w:bCs/>
                <w:highlight w:val="yellow"/>
              </w:rPr>
              <w:fldChar w:fldCharType="begin"/>
            </w:r>
            <w:r w:rsidRPr="00821C96">
              <w:rPr>
                <w:b/>
                <w:bCs/>
                <w:highlight w:val="yellow"/>
              </w:rPr>
              <w:instrText xml:space="preserve"> =SUM(ABOVE)*100 \# "0.00%" </w:instrText>
            </w:r>
            <w:r w:rsidRPr="00821C96">
              <w:rPr>
                <w:b/>
                <w:bCs/>
                <w:highlight w:val="yellow"/>
              </w:rPr>
              <w:fldChar w:fldCharType="separate"/>
            </w:r>
            <w:r w:rsidR="00AA2760">
              <w:rPr>
                <w:b/>
                <w:bCs/>
                <w:noProof/>
                <w:highlight w:val="yellow"/>
              </w:rPr>
              <w:t>100.00</w:t>
            </w:r>
            <w:r w:rsidR="00AA2760" w:rsidRPr="00821C96">
              <w:rPr>
                <w:b/>
                <w:bCs/>
                <w:noProof/>
                <w:highlight w:val="yellow"/>
              </w:rPr>
              <w:t>%</w:t>
            </w:r>
            <w:r w:rsidRPr="00821C96">
              <w:rPr>
                <w:b/>
                <w:bCs/>
                <w:highlight w:val="yellow"/>
              </w:rPr>
              <w:fldChar w:fldCharType="end"/>
            </w:r>
          </w:p>
        </w:tc>
      </w:tr>
    </w:tbl>
    <w:p w:rsidR="00F13024" w:rsidRPr="00F13024" w:rsidRDefault="00F13024" w:rsidP="003355E1">
      <w:pPr>
        <w:pStyle w:val="Heading2"/>
      </w:pPr>
      <w:bookmarkStart w:id="48" w:name="_Toc162153374"/>
      <w:bookmarkStart w:id="49" w:name="_Toc162789989"/>
      <w:r w:rsidRPr="00F13024">
        <w:t>Medium-sized Single-DODAG Network</w:t>
      </w:r>
      <w:bookmarkEnd w:id="48"/>
      <w:bookmarkEnd w:id="49"/>
    </w:p>
    <w:p w:rsidR="00821C96" w:rsidRPr="00821C96" w:rsidRDefault="00F13024" w:rsidP="00821C96">
      <w:r w:rsidRPr="00F13024">
        <w:t xml:space="preserve">A medium-sized network comprised of a single root node and 24 </w:t>
      </w:r>
      <w:proofErr w:type="spellStart"/>
      <w:r w:rsidRPr="00F13024">
        <w:t>Tmote</w:t>
      </w:r>
      <w:proofErr w:type="spellEnd"/>
      <w:r w:rsidRPr="00F13024">
        <w:t xml:space="preserve"> Sky Mote nodes was constructed in COOJA. The sensor nodes were distributed in a manner similar to the previous network to encourage a hierarchical construction of the DODAG (as demonstrated in the diagram of </w:t>
      </w:r>
      <w:r w:rsidRPr="00F13024">
        <w:fldChar w:fldCharType="begin"/>
      </w:r>
      <w:r w:rsidRPr="00F13024">
        <w:instrText xml:space="preserve"> REF _Ref158665850 \h  \* MERGEFORMAT </w:instrText>
      </w:r>
      <w:r w:rsidRPr="00F13024">
        <w:fldChar w:fldCharType="separate"/>
      </w:r>
      <w:r w:rsidR="00AA2760" w:rsidRPr="00AA2760">
        <w:rPr>
          <w:rFonts w:asciiTheme="majorBidi" w:hAnsiTheme="majorBidi" w:cstheme="majorBidi"/>
          <w:szCs w:val="24"/>
        </w:rPr>
        <w:t xml:space="preserve">Figure </w:t>
      </w:r>
      <w:r w:rsidR="00AA2760" w:rsidRPr="00AA2760">
        <w:rPr>
          <w:rFonts w:asciiTheme="majorBidi" w:hAnsiTheme="majorBidi" w:cstheme="majorBidi"/>
          <w:noProof/>
          <w:szCs w:val="24"/>
        </w:rPr>
        <w:t>3</w:t>
      </w:r>
      <w:r w:rsidRPr="00F13024">
        <w:fldChar w:fldCharType="end"/>
      </w:r>
      <w:r w:rsidRPr="00F13024">
        <w:t>). Then, the same steps were followed for collecting the network traffic from the COOJA simulator.</w:t>
      </w:r>
      <w:r w:rsidR="00821C96">
        <w:t xml:space="preserve"> </w:t>
      </w:r>
      <w:r w:rsidR="00821C96" w:rsidRPr="00F13024">
        <w:t xml:space="preserve">The statistics about the collected data is summarized in </w:t>
      </w:r>
      <w:r w:rsidR="00821C96" w:rsidRPr="00F13024">
        <w:fldChar w:fldCharType="begin"/>
      </w:r>
      <w:r w:rsidR="00821C96" w:rsidRPr="00F13024">
        <w:instrText xml:space="preserve"> REF _Ref160452474 \h  \* MERGEFORMAT </w:instrText>
      </w:r>
      <w:r w:rsidR="00821C96" w:rsidRPr="00F13024">
        <w:fldChar w:fldCharType="separate"/>
      </w:r>
      <w:r w:rsidR="00AA2760" w:rsidRPr="00AA2760">
        <w:rPr>
          <w:rFonts w:asciiTheme="majorBidi" w:hAnsiTheme="majorBidi" w:cstheme="majorBidi"/>
          <w:szCs w:val="24"/>
        </w:rPr>
        <w:t xml:space="preserve">Table </w:t>
      </w:r>
      <w:r w:rsidR="00AA2760" w:rsidRPr="00AA2760">
        <w:rPr>
          <w:rFonts w:asciiTheme="majorBidi" w:hAnsiTheme="majorBidi" w:cstheme="majorBidi"/>
          <w:noProof/>
          <w:szCs w:val="24"/>
        </w:rPr>
        <w:t>4</w:t>
      </w:r>
      <w:r w:rsidR="00821C96" w:rsidRPr="00F13024">
        <w:fldChar w:fldCharType="end"/>
      </w:r>
      <w:r w:rsidR="00821C96">
        <w:t>.</w:t>
      </w:r>
    </w:p>
    <w:p w:rsidR="00F13024" w:rsidRPr="00F13024" w:rsidRDefault="00F13024" w:rsidP="00F13024">
      <w:pPr>
        <w:pStyle w:val="Figure"/>
        <w:spacing w:line="276" w:lineRule="auto"/>
      </w:pPr>
      <w:r w:rsidRPr="00F13024">
        <w:drawing>
          <wp:inline distT="0" distB="0" distL="0" distR="0" wp14:anchorId="79F2A7FB" wp14:editId="6D2345C3">
            <wp:extent cx="3916680" cy="2363292"/>
            <wp:effectExtent l="0" t="0" r="7620" b="0"/>
            <wp:docPr id="1754374867" name="Picture 1" descr="A group of yellow circles with green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4867" name="Picture 1" descr="A group of yellow circles with green and black numbers&#10;&#10;Description automatically generated"/>
                    <pic:cNvPicPr/>
                  </pic:nvPicPr>
                  <pic:blipFill rotWithShape="1">
                    <a:blip r:embed="rId8"/>
                    <a:srcRect t="8644"/>
                    <a:stretch/>
                  </pic:blipFill>
                  <pic:spPr bwMode="auto">
                    <a:xfrm>
                      <a:off x="0" y="0"/>
                      <a:ext cx="3929129" cy="2370803"/>
                    </a:xfrm>
                    <a:prstGeom prst="rect">
                      <a:avLst/>
                    </a:prstGeom>
                    <a:ln>
                      <a:noFill/>
                    </a:ln>
                    <a:extLst>
                      <a:ext uri="{53640926-AAD7-44D8-BBD7-CCE9431645EC}">
                        <a14:shadowObscured xmlns:a14="http://schemas.microsoft.com/office/drawing/2010/main"/>
                      </a:ext>
                    </a:extLst>
                  </pic:spPr>
                </pic:pic>
              </a:graphicData>
            </a:graphic>
          </wp:inline>
        </w:drawing>
      </w:r>
    </w:p>
    <w:p w:rsidR="00F13024" w:rsidRDefault="00F13024" w:rsidP="00AA2760">
      <w:pPr>
        <w:pStyle w:val="Caption-Figure"/>
        <w:spacing w:line="276" w:lineRule="auto"/>
      </w:pPr>
      <w:bookmarkStart w:id="50" w:name="_Ref158665850"/>
      <w:bookmarkStart w:id="51" w:name="_Toc161625211"/>
      <w:bookmarkStart w:id="52" w:name="_Toc162790040"/>
      <w:r w:rsidRPr="00F13024">
        <w:t xml:space="preserve">Figure </w:t>
      </w:r>
      <w:r w:rsidRPr="00F13024">
        <w:fldChar w:fldCharType="begin"/>
      </w:r>
      <w:r w:rsidRPr="00F13024">
        <w:instrText xml:space="preserve"> SEQ Figure \* ARABIC </w:instrText>
      </w:r>
      <w:r w:rsidRPr="00F13024">
        <w:fldChar w:fldCharType="separate"/>
      </w:r>
      <w:r w:rsidR="00AA2760">
        <w:rPr>
          <w:noProof/>
        </w:rPr>
        <w:t>3</w:t>
      </w:r>
      <w:r w:rsidRPr="00F13024">
        <w:rPr>
          <w:noProof/>
        </w:rPr>
        <w:fldChar w:fldCharType="end"/>
      </w:r>
      <w:bookmarkEnd w:id="50"/>
      <w:r w:rsidRPr="00F13024">
        <w:t xml:space="preserve"> – Arrangement of Nodes to Create the Medium-sized Single-DODAG Network.</w:t>
      </w:r>
      <w:bookmarkEnd w:id="51"/>
      <w:bookmarkEnd w:id="52"/>
    </w:p>
    <w:p w:rsidR="00F13024" w:rsidRPr="00F13024" w:rsidRDefault="00F13024" w:rsidP="00821C96">
      <w:pPr>
        <w:pStyle w:val="Caption-Table"/>
        <w:spacing w:line="276" w:lineRule="auto"/>
      </w:pPr>
      <w:bookmarkStart w:id="53" w:name="_Ref160452474"/>
      <w:bookmarkStart w:id="54" w:name="_Toc161655677"/>
      <w:bookmarkStart w:id="55" w:name="_Toc162790057"/>
      <w:r w:rsidRPr="00F13024">
        <w:lastRenderedPageBreak/>
        <w:t xml:space="preserve">Table </w:t>
      </w:r>
      <w:r w:rsidRPr="00F13024">
        <w:fldChar w:fldCharType="begin"/>
      </w:r>
      <w:r w:rsidRPr="00F13024">
        <w:instrText xml:space="preserve"> SEQ Table \* ARABIC </w:instrText>
      </w:r>
      <w:r w:rsidRPr="00F13024">
        <w:fldChar w:fldCharType="separate"/>
      </w:r>
      <w:r w:rsidR="00AA2760">
        <w:rPr>
          <w:noProof/>
        </w:rPr>
        <w:t>4</w:t>
      </w:r>
      <w:r w:rsidRPr="00F13024">
        <w:rPr>
          <w:noProof/>
        </w:rPr>
        <w:fldChar w:fldCharType="end"/>
      </w:r>
      <w:bookmarkEnd w:id="53"/>
      <w:r w:rsidRPr="00F13024">
        <w:t xml:space="preserve"> –</w:t>
      </w:r>
      <w:r w:rsidR="00821C96">
        <w:t xml:space="preserve">Packet </w:t>
      </w:r>
      <w:r w:rsidRPr="00F13024">
        <w:t xml:space="preserve">Distribution </w:t>
      </w:r>
      <w:r w:rsidR="00821C96">
        <w:t xml:space="preserve">in </w:t>
      </w:r>
      <w:r w:rsidRPr="00F13024">
        <w:t>the Medium-sized Single-DODAG Network under Normal Behavior.</w:t>
      </w:r>
      <w:bookmarkEnd w:id="54"/>
      <w:bookmarkEnd w:id="55"/>
    </w:p>
    <w:tbl>
      <w:tblPr>
        <w:tblStyle w:val="TableGrid"/>
        <w:tblW w:w="0" w:type="auto"/>
        <w:jc w:val="center"/>
        <w:tblLook w:val="04A0" w:firstRow="1" w:lastRow="0" w:firstColumn="1" w:lastColumn="0" w:noHBand="0" w:noVBand="1"/>
      </w:tblPr>
      <w:tblGrid>
        <w:gridCol w:w="2490"/>
        <w:gridCol w:w="1825"/>
        <w:gridCol w:w="1710"/>
      </w:tblGrid>
      <w:tr w:rsidR="00F13024" w:rsidRPr="00F13024" w:rsidTr="005C539B">
        <w:trPr>
          <w:trHeight w:val="20"/>
          <w:jc w:val="center"/>
        </w:trPr>
        <w:tc>
          <w:tcPr>
            <w:tcW w:w="2490" w:type="dxa"/>
          </w:tcPr>
          <w:p w:rsidR="00F13024" w:rsidRPr="00F13024" w:rsidRDefault="00F13024" w:rsidP="00F13024">
            <w:pPr>
              <w:pStyle w:val="TableColHead"/>
            </w:pPr>
            <w:r w:rsidRPr="00F13024">
              <w:t>Packet Type</w:t>
            </w:r>
          </w:p>
        </w:tc>
        <w:tc>
          <w:tcPr>
            <w:tcW w:w="1825" w:type="dxa"/>
            <w:vAlign w:val="center"/>
          </w:tcPr>
          <w:p w:rsidR="00F13024" w:rsidRPr="00F13024" w:rsidRDefault="00F13024" w:rsidP="00F13024">
            <w:pPr>
              <w:pStyle w:val="TableColHead"/>
              <w:jc w:val="center"/>
            </w:pPr>
            <w:r w:rsidRPr="00F13024">
              <w:t>Count</w:t>
            </w:r>
          </w:p>
        </w:tc>
        <w:tc>
          <w:tcPr>
            <w:tcW w:w="1710" w:type="dxa"/>
            <w:vAlign w:val="center"/>
          </w:tcPr>
          <w:p w:rsidR="00F13024" w:rsidRPr="00F13024" w:rsidRDefault="00F13024" w:rsidP="00F13024">
            <w:pPr>
              <w:pStyle w:val="TableColHead"/>
              <w:jc w:val="center"/>
            </w:pPr>
            <w:r w:rsidRPr="00F13024">
              <w:t>Percentage</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DIS</w:t>
            </w:r>
          </w:p>
        </w:tc>
        <w:tc>
          <w:tcPr>
            <w:tcW w:w="1825" w:type="dxa"/>
            <w:vAlign w:val="center"/>
          </w:tcPr>
          <w:p w:rsidR="00F13024" w:rsidRPr="004F731C" w:rsidRDefault="00F13024" w:rsidP="00F13024">
            <w:pPr>
              <w:pStyle w:val="TableEntry"/>
              <w:jc w:val="center"/>
              <w:rPr>
                <w:highlight w:val="yellow"/>
              </w:rPr>
            </w:pPr>
            <w:r w:rsidRPr="004F731C">
              <w:rPr>
                <w:highlight w:val="yellow"/>
              </w:rPr>
              <w:t>456</w:t>
            </w:r>
          </w:p>
        </w:tc>
        <w:tc>
          <w:tcPr>
            <w:tcW w:w="1710" w:type="dxa"/>
            <w:vAlign w:val="center"/>
          </w:tcPr>
          <w:p w:rsidR="00F13024" w:rsidRPr="004F731C" w:rsidRDefault="00F13024" w:rsidP="00F13024">
            <w:pPr>
              <w:pStyle w:val="TableEntry"/>
              <w:jc w:val="center"/>
              <w:rPr>
                <w:highlight w:val="yellow"/>
              </w:rPr>
            </w:pPr>
            <w:r w:rsidRPr="004F731C">
              <w:rPr>
                <w:highlight w:val="yellow"/>
              </w:rPr>
              <w:t>1%</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DIO</w:t>
            </w:r>
          </w:p>
        </w:tc>
        <w:tc>
          <w:tcPr>
            <w:tcW w:w="1825" w:type="dxa"/>
            <w:vAlign w:val="center"/>
          </w:tcPr>
          <w:p w:rsidR="00F13024" w:rsidRPr="004F731C" w:rsidRDefault="00F13024" w:rsidP="00F13024">
            <w:pPr>
              <w:pStyle w:val="TableEntry"/>
              <w:jc w:val="center"/>
              <w:rPr>
                <w:highlight w:val="yellow"/>
              </w:rPr>
            </w:pPr>
            <w:r w:rsidRPr="004F731C">
              <w:rPr>
                <w:highlight w:val="yellow"/>
              </w:rPr>
              <w:t>6,998</w:t>
            </w:r>
          </w:p>
        </w:tc>
        <w:tc>
          <w:tcPr>
            <w:tcW w:w="1710" w:type="dxa"/>
            <w:vAlign w:val="center"/>
          </w:tcPr>
          <w:p w:rsidR="00F13024" w:rsidRPr="004F731C" w:rsidRDefault="00F13024" w:rsidP="00F13024">
            <w:pPr>
              <w:pStyle w:val="TableEntry"/>
              <w:jc w:val="center"/>
              <w:rPr>
                <w:highlight w:val="yellow"/>
              </w:rPr>
            </w:pPr>
            <w:r w:rsidRPr="004F731C">
              <w:rPr>
                <w:highlight w:val="yellow"/>
              </w:rPr>
              <w:t>19%</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DAO</w:t>
            </w:r>
          </w:p>
        </w:tc>
        <w:tc>
          <w:tcPr>
            <w:tcW w:w="1825" w:type="dxa"/>
            <w:vAlign w:val="center"/>
          </w:tcPr>
          <w:p w:rsidR="00F13024" w:rsidRPr="004F731C" w:rsidRDefault="00F13024" w:rsidP="00F13024">
            <w:pPr>
              <w:pStyle w:val="TableEntry"/>
              <w:jc w:val="center"/>
              <w:rPr>
                <w:highlight w:val="yellow"/>
              </w:rPr>
            </w:pPr>
            <w:r w:rsidRPr="004F731C">
              <w:rPr>
                <w:highlight w:val="yellow"/>
              </w:rPr>
              <w:t>24,571</w:t>
            </w:r>
          </w:p>
        </w:tc>
        <w:tc>
          <w:tcPr>
            <w:tcW w:w="1710" w:type="dxa"/>
            <w:vAlign w:val="center"/>
          </w:tcPr>
          <w:p w:rsidR="00F13024" w:rsidRPr="004F731C" w:rsidRDefault="00F13024" w:rsidP="00F13024">
            <w:pPr>
              <w:pStyle w:val="TableEntry"/>
              <w:jc w:val="center"/>
              <w:rPr>
                <w:highlight w:val="yellow"/>
              </w:rPr>
            </w:pPr>
            <w:r w:rsidRPr="004F731C">
              <w:rPr>
                <w:highlight w:val="yellow"/>
              </w:rPr>
              <w:t>67%</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DAO ACK</w:t>
            </w:r>
          </w:p>
        </w:tc>
        <w:tc>
          <w:tcPr>
            <w:tcW w:w="1825" w:type="dxa"/>
            <w:vAlign w:val="center"/>
          </w:tcPr>
          <w:p w:rsidR="00F13024" w:rsidRPr="004F731C" w:rsidRDefault="00F13024" w:rsidP="00F13024">
            <w:pPr>
              <w:pStyle w:val="TableEntry"/>
              <w:jc w:val="center"/>
              <w:rPr>
                <w:highlight w:val="yellow"/>
              </w:rPr>
            </w:pPr>
            <w:r w:rsidRPr="004F731C">
              <w:rPr>
                <w:highlight w:val="yellow"/>
              </w:rPr>
              <w:t>819</w:t>
            </w:r>
          </w:p>
        </w:tc>
        <w:tc>
          <w:tcPr>
            <w:tcW w:w="1710" w:type="dxa"/>
            <w:vAlign w:val="center"/>
          </w:tcPr>
          <w:p w:rsidR="00F13024" w:rsidRPr="004F731C" w:rsidRDefault="00F13024" w:rsidP="00F13024">
            <w:pPr>
              <w:pStyle w:val="TableEntry"/>
              <w:jc w:val="center"/>
              <w:rPr>
                <w:highlight w:val="yellow"/>
              </w:rPr>
            </w:pPr>
            <w:r w:rsidRPr="004F731C">
              <w:rPr>
                <w:highlight w:val="yellow"/>
              </w:rPr>
              <w:t>2%</w:t>
            </w:r>
          </w:p>
        </w:tc>
      </w:tr>
      <w:tr w:rsidR="00F13024" w:rsidRPr="00F13024" w:rsidTr="005C539B">
        <w:trPr>
          <w:trHeight w:val="20"/>
          <w:jc w:val="center"/>
        </w:trPr>
        <w:tc>
          <w:tcPr>
            <w:tcW w:w="2490" w:type="dxa"/>
          </w:tcPr>
          <w:p w:rsidR="00F13024" w:rsidRPr="00F13024" w:rsidRDefault="00F13024" w:rsidP="00F13024">
            <w:pPr>
              <w:pStyle w:val="TableEntry"/>
            </w:pPr>
            <w:r w:rsidRPr="00F13024">
              <w:t>UDP</w:t>
            </w:r>
          </w:p>
        </w:tc>
        <w:tc>
          <w:tcPr>
            <w:tcW w:w="1825" w:type="dxa"/>
            <w:vAlign w:val="center"/>
          </w:tcPr>
          <w:p w:rsidR="00F13024" w:rsidRPr="004F731C" w:rsidRDefault="00F13024" w:rsidP="00F13024">
            <w:pPr>
              <w:pStyle w:val="TableEntry"/>
              <w:jc w:val="center"/>
              <w:rPr>
                <w:highlight w:val="yellow"/>
              </w:rPr>
            </w:pPr>
            <w:r w:rsidRPr="004F731C">
              <w:rPr>
                <w:highlight w:val="yellow"/>
              </w:rPr>
              <w:t>3,915</w:t>
            </w:r>
          </w:p>
        </w:tc>
        <w:tc>
          <w:tcPr>
            <w:tcW w:w="1710" w:type="dxa"/>
            <w:vAlign w:val="center"/>
          </w:tcPr>
          <w:p w:rsidR="00F13024" w:rsidRPr="004F731C" w:rsidRDefault="00F13024" w:rsidP="00F13024">
            <w:pPr>
              <w:pStyle w:val="TableEntry"/>
              <w:jc w:val="center"/>
              <w:rPr>
                <w:highlight w:val="yellow"/>
              </w:rPr>
            </w:pPr>
            <w:r w:rsidRPr="004F731C">
              <w:rPr>
                <w:highlight w:val="yellow"/>
              </w:rPr>
              <w:t>11%</w:t>
            </w:r>
          </w:p>
        </w:tc>
      </w:tr>
      <w:tr w:rsidR="00F13024" w:rsidRPr="00F13024" w:rsidTr="005C539B">
        <w:trPr>
          <w:trHeight w:val="20"/>
          <w:jc w:val="center"/>
        </w:trPr>
        <w:tc>
          <w:tcPr>
            <w:tcW w:w="2490" w:type="dxa"/>
          </w:tcPr>
          <w:p w:rsidR="00F13024" w:rsidRPr="00F13024" w:rsidRDefault="00F13024" w:rsidP="003355E1">
            <w:pPr>
              <w:pStyle w:val="TableEntry"/>
              <w:keepNext w:val="0"/>
              <w:rPr>
                <w:b/>
                <w:bCs/>
              </w:rPr>
            </w:pPr>
            <w:r w:rsidRPr="00F13024">
              <w:rPr>
                <w:b/>
                <w:bCs/>
              </w:rPr>
              <w:t>Totals</w:t>
            </w:r>
          </w:p>
        </w:tc>
        <w:tc>
          <w:tcPr>
            <w:tcW w:w="1825" w:type="dxa"/>
            <w:vAlign w:val="center"/>
          </w:tcPr>
          <w:p w:rsidR="00F13024" w:rsidRPr="004F731C" w:rsidRDefault="00F13024" w:rsidP="003355E1">
            <w:pPr>
              <w:pStyle w:val="TableEntry"/>
              <w:keepNext w:val="0"/>
              <w:jc w:val="center"/>
              <w:rPr>
                <w:b/>
                <w:bCs/>
                <w:highlight w:val="yellow"/>
              </w:rPr>
            </w:pPr>
            <w:r w:rsidRPr="004F731C">
              <w:rPr>
                <w:b/>
                <w:bCs/>
                <w:highlight w:val="yellow"/>
              </w:rPr>
              <w:fldChar w:fldCharType="begin"/>
            </w:r>
            <w:r w:rsidRPr="004F731C">
              <w:rPr>
                <w:b/>
                <w:bCs/>
                <w:highlight w:val="yellow"/>
              </w:rPr>
              <w:instrText xml:space="preserve"> =SUM(ABOVE) </w:instrText>
            </w:r>
            <w:r w:rsidRPr="004F731C">
              <w:rPr>
                <w:b/>
                <w:bCs/>
                <w:highlight w:val="yellow"/>
              </w:rPr>
              <w:fldChar w:fldCharType="separate"/>
            </w:r>
            <w:r w:rsidR="00AA2760">
              <w:rPr>
                <w:b/>
                <w:bCs/>
                <w:noProof/>
                <w:highlight w:val="yellow"/>
              </w:rPr>
              <w:t>36,759</w:t>
            </w:r>
            <w:r w:rsidRPr="004F731C">
              <w:rPr>
                <w:b/>
                <w:bCs/>
                <w:highlight w:val="yellow"/>
              </w:rPr>
              <w:fldChar w:fldCharType="end"/>
            </w:r>
          </w:p>
        </w:tc>
        <w:tc>
          <w:tcPr>
            <w:tcW w:w="1710" w:type="dxa"/>
            <w:vAlign w:val="center"/>
          </w:tcPr>
          <w:p w:rsidR="00F13024" w:rsidRPr="004F731C" w:rsidRDefault="00F13024" w:rsidP="003355E1">
            <w:pPr>
              <w:pStyle w:val="TableEntry"/>
              <w:keepNext w:val="0"/>
              <w:jc w:val="center"/>
              <w:rPr>
                <w:b/>
                <w:bCs/>
                <w:highlight w:val="yellow"/>
              </w:rPr>
            </w:pPr>
            <w:r w:rsidRPr="004F731C">
              <w:rPr>
                <w:b/>
                <w:bCs/>
                <w:highlight w:val="yellow"/>
              </w:rPr>
              <w:fldChar w:fldCharType="begin"/>
            </w:r>
            <w:r w:rsidRPr="004F731C">
              <w:rPr>
                <w:b/>
                <w:bCs/>
                <w:highlight w:val="yellow"/>
              </w:rPr>
              <w:instrText xml:space="preserve"> =SUM(ABOVE)*100 \# "0.00%" </w:instrText>
            </w:r>
            <w:r w:rsidRPr="004F731C">
              <w:rPr>
                <w:b/>
                <w:bCs/>
                <w:highlight w:val="yellow"/>
              </w:rPr>
              <w:fldChar w:fldCharType="separate"/>
            </w:r>
            <w:r w:rsidR="00AA2760">
              <w:rPr>
                <w:b/>
                <w:bCs/>
                <w:noProof/>
                <w:highlight w:val="yellow"/>
              </w:rPr>
              <w:t>100.00</w:t>
            </w:r>
            <w:r w:rsidR="00AA2760" w:rsidRPr="004F731C">
              <w:rPr>
                <w:b/>
                <w:bCs/>
                <w:noProof/>
                <w:highlight w:val="yellow"/>
              </w:rPr>
              <w:t>%</w:t>
            </w:r>
            <w:r w:rsidRPr="004F731C">
              <w:rPr>
                <w:b/>
                <w:bCs/>
                <w:highlight w:val="yellow"/>
              </w:rPr>
              <w:fldChar w:fldCharType="end"/>
            </w:r>
          </w:p>
        </w:tc>
      </w:tr>
    </w:tbl>
    <w:p w:rsidR="00F13024" w:rsidRPr="00F13024" w:rsidRDefault="00F13024" w:rsidP="003355E1">
      <w:pPr>
        <w:pStyle w:val="Heading2"/>
      </w:pPr>
      <w:bookmarkStart w:id="56" w:name="_Toc162153375"/>
      <w:bookmarkStart w:id="57" w:name="_Toc162789990"/>
      <w:r w:rsidRPr="00F13024">
        <w:t>Medium-sized Dual-DODAG Network under Normal Operation</w:t>
      </w:r>
      <w:bookmarkEnd w:id="56"/>
      <w:bookmarkEnd w:id="57"/>
    </w:p>
    <w:p w:rsidR="004F731C" w:rsidRDefault="00F13024" w:rsidP="004F731C">
      <w:r w:rsidRPr="00F13024">
        <w:t xml:space="preserve">In order to facilitate investigating the </w:t>
      </w:r>
      <w:r w:rsidR="004F731C">
        <w:t xml:space="preserve">behavior of a sinkhole attack on a network with </w:t>
      </w:r>
      <w:r w:rsidRPr="00F13024">
        <w:t xml:space="preserve">multiple DODAGs, we chose to incorporate samples from a dual-DODAG network into </w:t>
      </w:r>
      <w:r w:rsidR="004F731C">
        <w:t xml:space="preserve">the </w:t>
      </w:r>
      <w:r w:rsidRPr="00F13024">
        <w:t xml:space="preserve">dataset. Accordingly, a medium-sized network comprised of two routers (representing two root nodes) and 24 </w:t>
      </w:r>
      <w:proofErr w:type="spellStart"/>
      <w:r w:rsidRPr="00F13024">
        <w:t>Tmote</w:t>
      </w:r>
      <w:proofErr w:type="spellEnd"/>
      <w:r w:rsidRPr="00F13024">
        <w:t xml:space="preserve"> Sky Mote nodes </w:t>
      </w:r>
      <w:r w:rsidR="004F731C">
        <w:t xml:space="preserve">was built </w:t>
      </w:r>
      <w:r w:rsidRPr="00F13024">
        <w:t>in COOJA. The nodes were distributed in a manner to encourage the establishment of two DODAGs.</w:t>
      </w:r>
    </w:p>
    <w:p w:rsidR="00F13024" w:rsidRPr="00F13024" w:rsidRDefault="00F13024" w:rsidP="004F731C">
      <w:r w:rsidRPr="00F13024">
        <w:t xml:space="preserve"> </w:t>
      </w:r>
    </w:p>
    <w:p w:rsidR="00F13024" w:rsidRPr="00F13024" w:rsidRDefault="00F13024" w:rsidP="00E639B5">
      <w:r w:rsidRPr="00F13024">
        <w:t xml:space="preserve">The simulator was allowed to run normally for the 4 minutes, resulting in the nodes automatically organizing into the two DODAGs illustrated in </w:t>
      </w:r>
      <w:r w:rsidRPr="00F13024">
        <w:fldChar w:fldCharType="begin"/>
      </w:r>
      <w:r w:rsidRPr="00F13024">
        <w:instrText xml:space="preserve"> REF _Ref160652565 \h  \* MERGEFORMAT </w:instrText>
      </w:r>
      <w:r w:rsidRPr="00F13024">
        <w:fldChar w:fldCharType="separate"/>
      </w:r>
      <w:r w:rsidR="00AA2760" w:rsidRPr="00F13024">
        <w:t xml:space="preserve">Figure </w:t>
      </w:r>
      <w:r w:rsidR="00AA2760">
        <w:rPr>
          <w:noProof/>
        </w:rPr>
        <w:t>4</w:t>
      </w:r>
      <w:r w:rsidRPr="00F13024">
        <w:fldChar w:fldCharType="end"/>
      </w:r>
      <w:r w:rsidRPr="00F13024">
        <w:t xml:space="preserve">. Each DODAG contained a single root node (node 1 and 14 respectively) and 12 sensor nodes. </w:t>
      </w:r>
      <w:r w:rsidR="004F731C">
        <w:t xml:space="preserve">Statistics about the collected traffic is presented in </w:t>
      </w:r>
      <w:r w:rsidRPr="00F13024">
        <w:fldChar w:fldCharType="begin"/>
      </w:r>
      <w:r w:rsidRPr="00F13024">
        <w:instrText xml:space="preserve"> REF _Ref160459269 \h  \* MERGEFORMAT </w:instrText>
      </w:r>
      <w:r w:rsidRPr="00F13024">
        <w:fldChar w:fldCharType="separate"/>
      </w:r>
      <w:r w:rsidR="00AA2760" w:rsidRPr="00AA2760">
        <w:rPr>
          <w:rFonts w:asciiTheme="majorBidi" w:hAnsiTheme="majorBidi" w:cstheme="majorBidi"/>
          <w:szCs w:val="24"/>
        </w:rPr>
        <w:t xml:space="preserve">Table </w:t>
      </w:r>
      <w:r w:rsidR="00AA2760" w:rsidRPr="00AA2760">
        <w:rPr>
          <w:rFonts w:asciiTheme="majorBidi" w:hAnsiTheme="majorBidi" w:cstheme="majorBidi"/>
          <w:noProof/>
          <w:szCs w:val="24"/>
        </w:rPr>
        <w:t>5</w:t>
      </w:r>
      <w:r w:rsidRPr="00F13024">
        <w:fldChar w:fldCharType="end"/>
      </w:r>
      <w:r w:rsidRPr="00F13024">
        <w:t>.</w:t>
      </w:r>
    </w:p>
    <w:p w:rsidR="00F13024" w:rsidRPr="00F13024" w:rsidRDefault="00F13024" w:rsidP="00F13024">
      <w:pPr>
        <w:pStyle w:val="Figure"/>
        <w:spacing w:line="276" w:lineRule="auto"/>
      </w:pPr>
      <w:r w:rsidRPr="00F13024">
        <w:drawing>
          <wp:inline distT="0" distB="0" distL="0" distR="0" wp14:anchorId="7D383429" wp14:editId="7035FF81">
            <wp:extent cx="5029200" cy="2560292"/>
            <wp:effectExtent l="0" t="0" r="0" b="0"/>
            <wp:docPr id="695302887"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2887" name="Picture 1" descr="A diagram of a network&#10;&#10;Description automatically generated with medium confidence"/>
                    <pic:cNvPicPr/>
                  </pic:nvPicPr>
                  <pic:blipFill rotWithShape="1">
                    <a:blip r:embed="rId9"/>
                    <a:srcRect t="5684" b="2982"/>
                    <a:stretch/>
                  </pic:blipFill>
                  <pic:spPr bwMode="auto">
                    <a:xfrm>
                      <a:off x="0" y="0"/>
                      <a:ext cx="5039128" cy="2565346"/>
                    </a:xfrm>
                    <a:prstGeom prst="rect">
                      <a:avLst/>
                    </a:prstGeom>
                    <a:ln>
                      <a:noFill/>
                    </a:ln>
                    <a:extLst>
                      <a:ext uri="{53640926-AAD7-44D8-BBD7-CCE9431645EC}">
                        <a14:shadowObscured xmlns:a14="http://schemas.microsoft.com/office/drawing/2010/main"/>
                      </a:ext>
                    </a:extLst>
                  </pic:spPr>
                </pic:pic>
              </a:graphicData>
            </a:graphic>
          </wp:inline>
        </w:drawing>
      </w:r>
    </w:p>
    <w:p w:rsidR="00F13024" w:rsidRPr="00F13024" w:rsidRDefault="00F13024" w:rsidP="00F13024">
      <w:pPr>
        <w:pStyle w:val="Caption-Figure"/>
        <w:spacing w:line="276" w:lineRule="auto"/>
      </w:pPr>
      <w:bookmarkStart w:id="58" w:name="_Ref160652565"/>
      <w:bookmarkStart w:id="59" w:name="_Toc161625212"/>
      <w:bookmarkStart w:id="60" w:name="_Toc162790041"/>
      <w:bookmarkStart w:id="61" w:name="_Ref158668675"/>
      <w:r w:rsidRPr="00F13024">
        <w:t xml:space="preserve">Figure </w:t>
      </w:r>
      <w:r w:rsidRPr="00F13024">
        <w:fldChar w:fldCharType="begin"/>
      </w:r>
      <w:r w:rsidRPr="00F13024">
        <w:instrText xml:space="preserve"> SEQ Figure \* ARABIC </w:instrText>
      </w:r>
      <w:r w:rsidRPr="00F13024">
        <w:fldChar w:fldCharType="separate"/>
      </w:r>
      <w:r w:rsidR="00AA2760">
        <w:rPr>
          <w:noProof/>
        </w:rPr>
        <w:t>4</w:t>
      </w:r>
      <w:r w:rsidRPr="00F13024">
        <w:rPr>
          <w:noProof/>
        </w:rPr>
        <w:fldChar w:fldCharType="end"/>
      </w:r>
      <w:bookmarkEnd w:id="58"/>
      <w:r w:rsidRPr="00F13024">
        <w:t xml:space="preserve"> – Topology of a Medium-sized Dual-DODAG Network</w:t>
      </w:r>
      <w:bookmarkEnd w:id="59"/>
      <w:bookmarkEnd w:id="60"/>
    </w:p>
    <w:p w:rsidR="00F13024" w:rsidRPr="00F13024" w:rsidRDefault="00F13024" w:rsidP="004F731C">
      <w:pPr>
        <w:pStyle w:val="Caption-Table"/>
        <w:spacing w:line="276" w:lineRule="auto"/>
      </w:pPr>
      <w:bookmarkStart w:id="62" w:name="_Ref160459269"/>
      <w:bookmarkStart w:id="63" w:name="_Toc161655679"/>
      <w:bookmarkStart w:id="64" w:name="_Toc162790059"/>
      <w:bookmarkEnd w:id="61"/>
      <w:r w:rsidRPr="00F13024">
        <w:lastRenderedPageBreak/>
        <w:t xml:space="preserve">Table </w:t>
      </w:r>
      <w:r w:rsidRPr="00F13024">
        <w:fldChar w:fldCharType="begin"/>
      </w:r>
      <w:r w:rsidRPr="00F13024">
        <w:instrText xml:space="preserve"> SEQ Table \* ARABIC </w:instrText>
      </w:r>
      <w:r w:rsidRPr="00F13024">
        <w:fldChar w:fldCharType="separate"/>
      </w:r>
      <w:r w:rsidR="00AA2760">
        <w:rPr>
          <w:noProof/>
        </w:rPr>
        <w:t>5</w:t>
      </w:r>
      <w:r w:rsidRPr="00F13024">
        <w:rPr>
          <w:noProof/>
        </w:rPr>
        <w:fldChar w:fldCharType="end"/>
      </w:r>
      <w:bookmarkEnd w:id="62"/>
      <w:r w:rsidRPr="00F13024">
        <w:t xml:space="preserve"> –</w:t>
      </w:r>
      <w:r w:rsidR="004F731C">
        <w:t xml:space="preserve">Packet </w:t>
      </w:r>
      <w:r w:rsidRPr="00F13024">
        <w:t xml:space="preserve">Distribution </w:t>
      </w:r>
      <w:r w:rsidR="004F731C">
        <w:t>in the</w:t>
      </w:r>
      <w:r w:rsidRPr="00F13024">
        <w:t xml:space="preserve"> Medium-sized Dual-DODAG Network under Normal Behavior.</w:t>
      </w:r>
      <w:bookmarkEnd w:id="63"/>
      <w:bookmarkEnd w:id="64"/>
    </w:p>
    <w:tbl>
      <w:tblPr>
        <w:tblStyle w:val="TableGrid"/>
        <w:tblW w:w="0" w:type="auto"/>
        <w:jc w:val="center"/>
        <w:tblLook w:val="04A0" w:firstRow="1" w:lastRow="0" w:firstColumn="1" w:lastColumn="0" w:noHBand="0" w:noVBand="1"/>
      </w:tblPr>
      <w:tblGrid>
        <w:gridCol w:w="2490"/>
        <w:gridCol w:w="1825"/>
        <w:gridCol w:w="1530"/>
      </w:tblGrid>
      <w:tr w:rsidR="00F13024" w:rsidRPr="00F13024" w:rsidTr="005C539B">
        <w:trPr>
          <w:trHeight w:val="20"/>
          <w:jc w:val="center"/>
        </w:trPr>
        <w:tc>
          <w:tcPr>
            <w:tcW w:w="2490" w:type="dxa"/>
          </w:tcPr>
          <w:p w:rsidR="00F13024" w:rsidRPr="00F13024" w:rsidRDefault="00F13024" w:rsidP="00F13024">
            <w:pPr>
              <w:pStyle w:val="TableColHead"/>
            </w:pPr>
            <w:r w:rsidRPr="00F13024">
              <w:t>Packet Type</w:t>
            </w:r>
          </w:p>
        </w:tc>
        <w:tc>
          <w:tcPr>
            <w:tcW w:w="1825" w:type="dxa"/>
            <w:vAlign w:val="center"/>
          </w:tcPr>
          <w:p w:rsidR="00F13024" w:rsidRPr="00F13024" w:rsidRDefault="00F13024" w:rsidP="00F13024">
            <w:pPr>
              <w:pStyle w:val="TableColHead"/>
              <w:jc w:val="center"/>
            </w:pPr>
            <w:r w:rsidRPr="00F13024">
              <w:t>Count</w:t>
            </w:r>
          </w:p>
        </w:tc>
        <w:tc>
          <w:tcPr>
            <w:tcW w:w="1530" w:type="dxa"/>
            <w:vAlign w:val="center"/>
          </w:tcPr>
          <w:p w:rsidR="00F13024" w:rsidRPr="00F13024" w:rsidRDefault="00F13024" w:rsidP="00F13024">
            <w:pPr>
              <w:pStyle w:val="TableColHead"/>
              <w:jc w:val="center"/>
            </w:pPr>
            <w:r w:rsidRPr="00F13024">
              <w:t>Percentage</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DIS</w:t>
            </w:r>
          </w:p>
        </w:tc>
        <w:tc>
          <w:tcPr>
            <w:tcW w:w="1825" w:type="dxa"/>
            <w:vAlign w:val="center"/>
          </w:tcPr>
          <w:p w:rsidR="00F13024" w:rsidRPr="004F731C" w:rsidRDefault="00F13024" w:rsidP="00F13024">
            <w:pPr>
              <w:pStyle w:val="TableEntry"/>
              <w:jc w:val="center"/>
              <w:rPr>
                <w:highlight w:val="yellow"/>
              </w:rPr>
            </w:pPr>
            <w:r w:rsidRPr="004F731C">
              <w:rPr>
                <w:highlight w:val="yellow"/>
              </w:rPr>
              <w:t>450</w:t>
            </w:r>
          </w:p>
        </w:tc>
        <w:tc>
          <w:tcPr>
            <w:tcW w:w="1530" w:type="dxa"/>
            <w:vAlign w:val="center"/>
          </w:tcPr>
          <w:p w:rsidR="00F13024" w:rsidRPr="004F731C" w:rsidRDefault="00F13024" w:rsidP="00F13024">
            <w:pPr>
              <w:pStyle w:val="TableEntry"/>
              <w:jc w:val="center"/>
              <w:rPr>
                <w:highlight w:val="yellow"/>
              </w:rPr>
            </w:pPr>
            <w:r w:rsidRPr="004F731C">
              <w:rPr>
                <w:highlight w:val="yellow"/>
              </w:rPr>
              <w:t>3%</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DIO</w:t>
            </w:r>
          </w:p>
        </w:tc>
        <w:tc>
          <w:tcPr>
            <w:tcW w:w="1825" w:type="dxa"/>
            <w:vAlign w:val="center"/>
          </w:tcPr>
          <w:p w:rsidR="00F13024" w:rsidRPr="004F731C" w:rsidRDefault="00F13024" w:rsidP="00F13024">
            <w:pPr>
              <w:pStyle w:val="TableEntry"/>
              <w:jc w:val="center"/>
              <w:rPr>
                <w:highlight w:val="yellow"/>
              </w:rPr>
            </w:pPr>
            <w:r w:rsidRPr="004F731C">
              <w:rPr>
                <w:highlight w:val="yellow"/>
              </w:rPr>
              <w:t>6,076</w:t>
            </w:r>
          </w:p>
        </w:tc>
        <w:tc>
          <w:tcPr>
            <w:tcW w:w="1530" w:type="dxa"/>
            <w:vAlign w:val="center"/>
          </w:tcPr>
          <w:p w:rsidR="00F13024" w:rsidRPr="004F731C" w:rsidRDefault="00F13024" w:rsidP="00F13024">
            <w:pPr>
              <w:pStyle w:val="TableEntry"/>
              <w:jc w:val="center"/>
              <w:rPr>
                <w:highlight w:val="yellow"/>
              </w:rPr>
            </w:pPr>
            <w:r w:rsidRPr="004F731C">
              <w:rPr>
                <w:highlight w:val="yellow"/>
              </w:rPr>
              <w:t>36%</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DAO</w:t>
            </w:r>
          </w:p>
        </w:tc>
        <w:tc>
          <w:tcPr>
            <w:tcW w:w="1825" w:type="dxa"/>
            <w:vAlign w:val="center"/>
          </w:tcPr>
          <w:p w:rsidR="00F13024" w:rsidRPr="004F731C" w:rsidRDefault="00F13024" w:rsidP="00F13024">
            <w:pPr>
              <w:pStyle w:val="TableEntry"/>
              <w:jc w:val="center"/>
              <w:rPr>
                <w:highlight w:val="yellow"/>
              </w:rPr>
            </w:pPr>
            <w:r w:rsidRPr="004F731C">
              <w:rPr>
                <w:highlight w:val="yellow"/>
              </w:rPr>
              <w:t>7,588</w:t>
            </w:r>
          </w:p>
        </w:tc>
        <w:tc>
          <w:tcPr>
            <w:tcW w:w="1530" w:type="dxa"/>
            <w:vAlign w:val="center"/>
          </w:tcPr>
          <w:p w:rsidR="00F13024" w:rsidRPr="004F731C" w:rsidRDefault="00F13024" w:rsidP="00F13024">
            <w:pPr>
              <w:pStyle w:val="TableEntry"/>
              <w:jc w:val="center"/>
              <w:rPr>
                <w:highlight w:val="yellow"/>
              </w:rPr>
            </w:pPr>
            <w:r w:rsidRPr="004F731C">
              <w:rPr>
                <w:highlight w:val="yellow"/>
              </w:rPr>
              <w:t>45%</w:t>
            </w:r>
          </w:p>
        </w:tc>
      </w:tr>
      <w:tr w:rsidR="00F13024" w:rsidRPr="00F13024" w:rsidTr="005C539B">
        <w:trPr>
          <w:trHeight w:val="20"/>
          <w:jc w:val="center"/>
        </w:trPr>
        <w:tc>
          <w:tcPr>
            <w:tcW w:w="2490" w:type="dxa"/>
          </w:tcPr>
          <w:p w:rsidR="00F13024" w:rsidRPr="00F13024" w:rsidRDefault="00F13024" w:rsidP="00F13024">
            <w:pPr>
              <w:pStyle w:val="TableEntry"/>
            </w:pPr>
            <w:r w:rsidRPr="00F13024">
              <w:t>ICMPv6 – DAO ACK</w:t>
            </w:r>
          </w:p>
        </w:tc>
        <w:tc>
          <w:tcPr>
            <w:tcW w:w="1825" w:type="dxa"/>
            <w:vAlign w:val="center"/>
          </w:tcPr>
          <w:p w:rsidR="00F13024" w:rsidRPr="004F731C" w:rsidRDefault="00F13024" w:rsidP="00F13024">
            <w:pPr>
              <w:pStyle w:val="TableEntry"/>
              <w:jc w:val="center"/>
              <w:rPr>
                <w:highlight w:val="yellow"/>
              </w:rPr>
            </w:pPr>
            <w:r w:rsidRPr="004F731C">
              <w:rPr>
                <w:highlight w:val="yellow"/>
              </w:rPr>
              <w:t>544</w:t>
            </w:r>
          </w:p>
        </w:tc>
        <w:tc>
          <w:tcPr>
            <w:tcW w:w="1530" w:type="dxa"/>
            <w:vAlign w:val="center"/>
          </w:tcPr>
          <w:p w:rsidR="00F13024" w:rsidRPr="004F731C" w:rsidRDefault="00F13024" w:rsidP="00F13024">
            <w:pPr>
              <w:pStyle w:val="TableEntry"/>
              <w:jc w:val="center"/>
              <w:rPr>
                <w:highlight w:val="yellow"/>
              </w:rPr>
            </w:pPr>
            <w:r w:rsidRPr="004F731C">
              <w:rPr>
                <w:highlight w:val="yellow"/>
              </w:rPr>
              <w:t>3%</w:t>
            </w:r>
          </w:p>
        </w:tc>
      </w:tr>
      <w:tr w:rsidR="00F13024" w:rsidRPr="00F13024" w:rsidTr="005C539B">
        <w:trPr>
          <w:trHeight w:val="20"/>
          <w:jc w:val="center"/>
        </w:trPr>
        <w:tc>
          <w:tcPr>
            <w:tcW w:w="2490" w:type="dxa"/>
          </w:tcPr>
          <w:p w:rsidR="00F13024" w:rsidRPr="00F13024" w:rsidRDefault="00F13024" w:rsidP="00F13024">
            <w:pPr>
              <w:pStyle w:val="TableEntry"/>
            </w:pPr>
            <w:r w:rsidRPr="00F13024">
              <w:t>UDP</w:t>
            </w:r>
          </w:p>
        </w:tc>
        <w:tc>
          <w:tcPr>
            <w:tcW w:w="1825" w:type="dxa"/>
            <w:vAlign w:val="center"/>
          </w:tcPr>
          <w:p w:rsidR="00F13024" w:rsidRPr="004F731C" w:rsidRDefault="00F13024" w:rsidP="00F13024">
            <w:pPr>
              <w:pStyle w:val="TableEntry"/>
              <w:jc w:val="center"/>
              <w:rPr>
                <w:highlight w:val="yellow"/>
              </w:rPr>
            </w:pPr>
            <w:r w:rsidRPr="004F731C">
              <w:rPr>
                <w:highlight w:val="yellow"/>
              </w:rPr>
              <w:t>2,041</w:t>
            </w:r>
          </w:p>
        </w:tc>
        <w:tc>
          <w:tcPr>
            <w:tcW w:w="1530" w:type="dxa"/>
            <w:vAlign w:val="center"/>
          </w:tcPr>
          <w:p w:rsidR="00F13024" w:rsidRPr="004F731C" w:rsidRDefault="00F13024" w:rsidP="00F13024">
            <w:pPr>
              <w:pStyle w:val="TableEntry"/>
              <w:jc w:val="center"/>
              <w:rPr>
                <w:highlight w:val="yellow"/>
              </w:rPr>
            </w:pPr>
            <w:r w:rsidRPr="004F731C">
              <w:rPr>
                <w:highlight w:val="yellow"/>
              </w:rPr>
              <w:t>12%</w:t>
            </w:r>
          </w:p>
        </w:tc>
      </w:tr>
      <w:tr w:rsidR="00F13024" w:rsidRPr="00F13024" w:rsidTr="005C539B">
        <w:trPr>
          <w:trHeight w:val="20"/>
          <w:jc w:val="center"/>
        </w:trPr>
        <w:tc>
          <w:tcPr>
            <w:tcW w:w="2490" w:type="dxa"/>
          </w:tcPr>
          <w:p w:rsidR="00F13024" w:rsidRPr="00F13024" w:rsidRDefault="00F13024" w:rsidP="00F13024">
            <w:pPr>
              <w:pStyle w:val="TableEntry"/>
              <w:keepNext w:val="0"/>
              <w:rPr>
                <w:b/>
                <w:bCs/>
              </w:rPr>
            </w:pPr>
            <w:r w:rsidRPr="00F13024">
              <w:rPr>
                <w:b/>
                <w:bCs/>
              </w:rPr>
              <w:t>Totals</w:t>
            </w:r>
          </w:p>
        </w:tc>
        <w:tc>
          <w:tcPr>
            <w:tcW w:w="1825" w:type="dxa"/>
            <w:vAlign w:val="center"/>
          </w:tcPr>
          <w:p w:rsidR="00F13024" w:rsidRPr="004F731C" w:rsidRDefault="00F13024" w:rsidP="00F13024">
            <w:pPr>
              <w:pStyle w:val="TableEntry"/>
              <w:keepNext w:val="0"/>
              <w:jc w:val="center"/>
              <w:rPr>
                <w:b/>
                <w:bCs/>
                <w:highlight w:val="yellow"/>
              </w:rPr>
            </w:pPr>
            <w:r w:rsidRPr="004F731C">
              <w:rPr>
                <w:b/>
                <w:bCs/>
                <w:highlight w:val="yellow"/>
              </w:rPr>
              <w:fldChar w:fldCharType="begin"/>
            </w:r>
            <w:r w:rsidRPr="004F731C">
              <w:rPr>
                <w:b/>
                <w:bCs/>
                <w:highlight w:val="yellow"/>
              </w:rPr>
              <w:instrText xml:space="preserve"> =SUM(ABOVE) </w:instrText>
            </w:r>
            <w:r w:rsidRPr="004F731C">
              <w:rPr>
                <w:b/>
                <w:bCs/>
                <w:highlight w:val="yellow"/>
              </w:rPr>
              <w:fldChar w:fldCharType="separate"/>
            </w:r>
            <w:r w:rsidR="00AA2760">
              <w:rPr>
                <w:b/>
                <w:bCs/>
                <w:noProof/>
                <w:highlight w:val="yellow"/>
              </w:rPr>
              <w:t>16,699</w:t>
            </w:r>
            <w:r w:rsidRPr="004F731C">
              <w:rPr>
                <w:b/>
                <w:bCs/>
                <w:highlight w:val="yellow"/>
              </w:rPr>
              <w:fldChar w:fldCharType="end"/>
            </w:r>
          </w:p>
        </w:tc>
        <w:tc>
          <w:tcPr>
            <w:tcW w:w="1530" w:type="dxa"/>
            <w:vAlign w:val="center"/>
          </w:tcPr>
          <w:p w:rsidR="00F13024" w:rsidRPr="004F731C" w:rsidRDefault="00F13024" w:rsidP="00F13024">
            <w:pPr>
              <w:pStyle w:val="TableEntry"/>
              <w:keepNext w:val="0"/>
              <w:jc w:val="center"/>
              <w:rPr>
                <w:b/>
                <w:bCs/>
                <w:highlight w:val="yellow"/>
              </w:rPr>
            </w:pPr>
            <w:r w:rsidRPr="004F731C">
              <w:rPr>
                <w:b/>
                <w:bCs/>
                <w:highlight w:val="yellow"/>
              </w:rPr>
              <w:t>100%</w:t>
            </w:r>
          </w:p>
        </w:tc>
      </w:tr>
    </w:tbl>
    <w:p w:rsidR="00F13024" w:rsidRPr="00F13024" w:rsidRDefault="00F13024" w:rsidP="004F731C">
      <w:pPr>
        <w:pStyle w:val="Heading1"/>
      </w:pPr>
      <w:bookmarkStart w:id="65" w:name="_Toc162153376"/>
      <w:bookmarkStart w:id="66" w:name="_Toc162789991"/>
      <w:r w:rsidRPr="00F13024">
        <w:t>Collection of Traffic from Networks Subjected to a Single Attacker</w:t>
      </w:r>
      <w:bookmarkEnd w:id="65"/>
      <w:bookmarkEnd w:id="66"/>
    </w:p>
    <w:p w:rsidR="00F13024" w:rsidRPr="00F13024" w:rsidRDefault="004F731C" w:rsidP="004F731C">
      <w:pPr>
        <w:pStyle w:val="BodyText"/>
        <w:ind w:firstLine="0"/>
        <w:rPr>
          <w:rFonts w:asciiTheme="majorBidi" w:eastAsia="Calibri" w:hAnsiTheme="majorBidi" w:cstheme="majorBidi"/>
        </w:rPr>
      </w:pPr>
      <w:r>
        <w:rPr>
          <w:rFonts w:asciiTheme="majorBidi" w:eastAsia="Calibri" w:hAnsiTheme="majorBidi" w:cstheme="majorBidi"/>
        </w:rPr>
        <w:t xml:space="preserve">The same three </w:t>
      </w:r>
      <w:r w:rsidR="00F13024" w:rsidRPr="00F13024">
        <w:rPr>
          <w:rFonts w:asciiTheme="majorBidi" w:eastAsia="Calibri" w:hAnsiTheme="majorBidi" w:cstheme="majorBidi"/>
        </w:rPr>
        <w:t xml:space="preserve">combinations of network sizes and structures </w:t>
      </w:r>
      <w:r>
        <w:rPr>
          <w:rFonts w:asciiTheme="majorBidi" w:eastAsia="Calibri" w:hAnsiTheme="majorBidi" w:cstheme="majorBidi"/>
        </w:rPr>
        <w:t xml:space="preserve">from </w:t>
      </w:r>
      <w:r w:rsidR="00F13024" w:rsidRPr="00F13024">
        <w:rPr>
          <w:rFonts w:asciiTheme="majorBidi" w:eastAsia="Calibri" w:hAnsiTheme="majorBidi" w:cstheme="majorBidi"/>
        </w:rPr>
        <w:t>the previous section were subjected to a single sinkhole attack to enable the extraction of representative traffic from networks under attack.</w:t>
      </w:r>
    </w:p>
    <w:p w:rsidR="00F13024" w:rsidRPr="00F13024" w:rsidRDefault="00F13024" w:rsidP="003355E1">
      <w:pPr>
        <w:pStyle w:val="Heading2"/>
      </w:pPr>
      <w:bookmarkStart w:id="67" w:name="_Ref160695289"/>
      <w:bookmarkStart w:id="68" w:name="_Ref160695300"/>
      <w:bookmarkStart w:id="69" w:name="_Toc162153377"/>
      <w:bookmarkStart w:id="70" w:name="_Toc162789992"/>
      <w:r w:rsidRPr="00F13024">
        <w:t>Small Single-DODAG Network under a Single Sinkhole Attack</w:t>
      </w:r>
      <w:bookmarkEnd w:id="67"/>
      <w:bookmarkEnd w:id="68"/>
      <w:bookmarkEnd w:id="69"/>
      <w:bookmarkEnd w:id="70"/>
    </w:p>
    <w:p w:rsidR="00F13024" w:rsidRPr="00F13024" w:rsidRDefault="00F13024" w:rsidP="004F731C">
      <w:r w:rsidRPr="00F13024">
        <w:t xml:space="preserve">The network of </w:t>
      </w:r>
      <w:r w:rsidRPr="00F13024">
        <w:fldChar w:fldCharType="begin"/>
      </w:r>
      <w:r w:rsidRPr="00F13024">
        <w:instrText xml:space="preserve"> REF _Ref158665119 \h  \* MERGEFORMAT </w:instrText>
      </w:r>
      <w:r w:rsidRPr="00F13024">
        <w:fldChar w:fldCharType="separate"/>
      </w:r>
      <w:r w:rsidR="00AA2760" w:rsidRPr="00F13024">
        <w:t xml:space="preserve">Figure </w:t>
      </w:r>
      <w:r w:rsidR="00AA2760">
        <w:rPr>
          <w:noProof/>
        </w:rPr>
        <w:t>1</w:t>
      </w:r>
      <w:r w:rsidRPr="00F13024">
        <w:fldChar w:fldCharType="end"/>
      </w:r>
      <w:r w:rsidRPr="00F13024">
        <w:t xml:space="preserve"> was recreated exactly. Then, the procedure described in section </w:t>
      </w:r>
      <w:r w:rsidRPr="00F13024">
        <w:fldChar w:fldCharType="begin"/>
      </w:r>
      <w:r w:rsidRPr="00F13024">
        <w:instrText xml:space="preserve"> REF _Ref162093444 \r \h  \* MERGEFORMAT </w:instrText>
      </w:r>
      <w:r w:rsidRPr="00F13024">
        <w:fldChar w:fldCharType="separate"/>
      </w:r>
      <w:r w:rsidR="00AA2760">
        <w:rPr>
          <w:cs/>
        </w:rPr>
        <w:t>‎</w:t>
      </w:r>
      <w:r w:rsidR="00AA2760">
        <w:t>7</w:t>
      </w:r>
      <w:r w:rsidRPr="00F13024">
        <w:fldChar w:fldCharType="end"/>
      </w:r>
      <w:r w:rsidRPr="00F13024">
        <w:t xml:space="preserve"> was followed to simulate compromising node number 2 to launch an internal sinkhole attack on the network at the 100 second mark.</w:t>
      </w:r>
      <w:r w:rsidR="004F731C">
        <w:t xml:space="preserve"> </w:t>
      </w:r>
      <w:r w:rsidRPr="00F13024">
        <w:t xml:space="preserve">Examination of the collected messages reveals that the nodes initially established the same DODAG as in section </w:t>
      </w:r>
      <w:r w:rsidRPr="00F13024">
        <w:fldChar w:fldCharType="begin"/>
      </w:r>
      <w:r w:rsidRPr="00F13024">
        <w:instrText xml:space="preserve"> REF _Ref160531510 \r \h  \* MERGEFORMAT </w:instrText>
      </w:r>
      <w:r w:rsidRPr="00F13024">
        <w:fldChar w:fldCharType="separate"/>
      </w:r>
      <w:r w:rsidR="00AA2760">
        <w:rPr>
          <w:cs/>
        </w:rPr>
        <w:t>‎</w:t>
      </w:r>
      <w:r w:rsidR="00AA2760">
        <w:t>8.1</w:t>
      </w:r>
      <w:r w:rsidRPr="00F13024">
        <w:fldChar w:fldCharType="end"/>
      </w:r>
      <w:r w:rsidRPr="00F13024">
        <w:t xml:space="preserve"> (depicted in the “before” diagram of </w:t>
      </w:r>
      <w:r w:rsidRPr="00F13024">
        <w:fldChar w:fldCharType="begin"/>
      </w:r>
      <w:r w:rsidRPr="00F13024">
        <w:instrText xml:space="preserve"> REF _Ref160531936 \h  \* MERGEFORMAT </w:instrText>
      </w:r>
      <w:r w:rsidRPr="00F13024">
        <w:fldChar w:fldCharType="separate"/>
      </w:r>
      <w:r w:rsidR="00AA2760" w:rsidRPr="00F13024">
        <w:t xml:space="preserve">Figure </w:t>
      </w:r>
      <w:r w:rsidR="00AA2760">
        <w:rPr>
          <w:noProof/>
        </w:rPr>
        <w:t>5</w:t>
      </w:r>
      <w:r w:rsidRPr="00F13024">
        <w:fldChar w:fldCharType="end"/>
      </w:r>
      <w:r w:rsidRPr="00F13024">
        <w:t>). However, following the launch of the attack, the DODAG structure underwent significant modification, as depicted in the</w:t>
      </w:r>
      <w:r w:rsidR="00E639B5">
        <w:t xml:space="preserve"> “after” diagram in the figure.</w:t>
      </w:r>
    </w:p>
    <w:tbl>
      <w:tblPr>
        <w:tblW w:w="0" w:type="auto"/>
        <w:tblBorders>
          <w:insideV w:val="single" w:sz="4" w:space="0" w:color="auto"/>
        </w:tblBorders>
        <w:tblLook w:val="04A0" w:firstRow="1" w:lastRow="0" w:firstColumn="1" w:lastColumn="0" w:noHBand="0" w:noVBand="1"/>
      </w:tblPr>
      <w:tblGrid>
        <w:gridCol w:w="4521"/>
        <w:gridCol w:w="4499"/>
      </w:tblGrid>
      <w:tr w:rsidR="00F13024" w:rsidRPr="00F13024" w:rsidTr="00F13024">
        <w:tc>
          <w:tcPr>
            <w:tcW w:w="4521" w:type="dxa"/>
          </w:tcPr>
          <w:p w:rsidR="00F13024" w:rsidRPr="00F13024" w:rsidRDefault="00F13024" w:rsidP="00F13024">
            <w:pPr>
              <w:pStyle w:val="Figure"/>
              <w:spacing w:line="276" w:lineRule="auto"/>
            </w:pPr>
            <w:r w:rsidRPr="00F13024">
              <w:drawing>
                <wp:inline distT="0" distB="0" distL="0" distR="0" wp14:anchorId="6297E661" wp14:editId="786E1471">
                  <wp:extent cx="2049132" cy="2511839"/>
                  <wp:effectExtent l="0" t="0" r="8890" b="3175"/>
                  <wp:docPr id="43787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75465" name=""/>
                          <pic:cNvPicPr/>
                        </pic:nvPicPr>
                        <pic:blipFill>
                          <a:blip r:embed="rId7"/>
                          <a:stretch>
                            <a:fillRect/>
                          </a:stretch>
                        </pic:blipFill>
                        <pic:spPr>
                          <a:xfrm>
                            <a:off x="0" y="0"/>
                            <a:ext cx="2059757" cy="2524863"/>
                          </a:xfrm>
                          <a:prstGeom prst="rect">
                            <a:avLst/>
                          </a:prstGeom>
                        </pic:spPr>
                      </pic:pic>
                    </a:graphicData>
                  </a:graphic>
                </wp:inline>
              </w:drawing>
            </w:r>
          </w:p>
        </w:tc>
        <w:tc>
          <w:tcPr>
            <w:tcW w:w="4499" w:type="dxa"/>
          </w:tcPr>
          <w:p w:rsidR="00F13024" w:rsidRPr="00F13024" w:rsidRDefault="00F13024" w:rsidP="00F13024">
            <w:pPr>
              <w:pStyle w:val="Figure"/>
              <w:spacing w:line="276" w:lineRule="auto"/>
            </w:pPr>
            <w:r w:rsidRPr="00F13024">
              <w:drawing>
                <wp:inline distT="0" distB="0" distL="0" distR="0" wp14:anchorId="321320E6" wp14:editId="22E1D61F">
                  <wp:extent cx="1899142" cy="2326352"/>
                  <wp:effectExtent l="0" t="0" r="6350" b="0"/>
                  <wp:docPr id="107138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9505" name=""/>
                          <pic:cNvPicPr/>
                        </pic:nvPicPr>
                        <pic:blipFill>
                          <a:blip r:embed="rId10"/>
                          <a:stretch>
                            <a:fillRect/>
                          </a:stretch>
                        </pic:blipFill>
                        <pic:spPr>
                          <a:xfrm>
                            <a:off x="0" y="0"/>
                            <a:ext cx="1910760" cy="2340583"/>
                          </a:xfrm>
                          <a:prstGeom prst="rect">
                            <a:avLst/>
                          </a:prstGeom>
                        </pic:spPr>
                      </pic:pic>
                    </a:graphicData>
                  </a:graphic>
                </wp:inline>
              </w:drawing>
            </w:r>
          </w:p>
        </w:tc>
      </w:tr>
      <w:tr w:rsidR="00F13024" w:rsidRPr="00F13024" w:rsidTr="00F13024">
        <w:tc>
          <w:tcPr>
            <w:tcW w:w="4521" w:type="dxa"/>
          </w:tcPr>
          <w:p w:rsidR="00F13024" w:rsidRPr="00F13024" w:rsidRDefault="00F13024" w:rsidP="00F13024">
            <w:pPr>
              <w:pStyle w:val="Figure"/>
              <w:spacing w:line="276" w:lineRule="auto"/>
            </w:pPr>
            <w:r w:rsidRPr="00F13024">
              <w:t>Before</w:t>
            </w:r>
          </w:p>
        </w:tc>
        <w:tc>
          <w:tcPr>
            <w:tcW w:w="4499" w:type="dxa"/>
          </w:tcPr>
          <w:p w:rsidR="00F13024" w:rsidRPr="00F13024" w:rsidRDefault="00F13024" w:rsidP="00F13024">
            <w:pPr>
              <w:pStyle w:val="Figure"/>
              <w:spacing w:line="276" w:lineRule="auto"/>
            </w:pPr>
            <w:r w:rsidRPr="00F13024">
              <w:t>after</w:t>
            </w:r>
          </w:p>
        </w:tc>
      </w:tr>
    </w:tbl>
    <w:p w:rsidR="00F13024" w:rsidRPr="00F13024" w:rsidRDefault="00F13024" w:rsidP="00F13024">
      <w:pPr>
        <w:pStyle w:val="Caption-Figure"/>
        <w:spacing w:line="276" w:lineRule="auto"/>
      </w:pPr>
      <w:bookmarkStart w:id="71" w:name="_Ref160531936"/>
      <w:bookmarkStart w:id="72" w:name="_Toc161625213"/>
      <w:bookmarkStart w:id="73" w:name="_Toc162790042"/>
      <w:r w:rsidRPr="00F13024">
        <w:t xml:space="preserve">Figure </w:t>
      </w:r>
      <w:r w:rsidRPr="00F13024">
        <w:fldChar w:fldCharType="begin"/>
      </w:r>
      <w:r w:rsidRPr="00F13024">
        <w:instrText xml:space="preserve"> SEQ Figure \* ARABIC </w:instrText>
      </w:r>
      <w:r w:rsidRPr="00F13024">
        <w:fldChar w:fldCharType="separate"/>
      </w:r>
      <w:r w:rsidR="00AA2760">
        <w:rPr>
          <w:noProof/>
        </w:rPr>
        <w:t>5</w:t>
      </w:r>
      <w:r w:rsidRPr="00F13024">
        <w:rPr>
          <w:noProof/>
        </w:rPr>
        <w:fldChar w:fldCharType="end"/>
      </w:r>
      <w:bookmarkEnd w:id="71"/>
      <w:r w:rsidRPr="00F13024">
        <w:t xml:space="preserve"> – A Small Single-DODAG Network before and after a Sinkhole Attack at Node 2</w:t>
      </w:r>
      <w:bookmarkEnd w:id="72"/>
      <w:bookmarkEnd w:id="73"/>
    </w:p>
    <w:p w:rsidR="00F13024" w:rsidRPr="00F13024" w:rsidRDefault="00F13024" w:rsidP="004F731C">
      <w:r w:rsidRPr="00F13024">
        <w:t xml:space="preserve">To ensure the dataset encompasses a broad range of scenarios with attackers originating from various points within the network, we conducted an exhaustive simulation where a different node was selected as the compromised node for each iteration. As a result, 12 different instances of the </w:t>
      </w:r>
      <w:r w:rsidRPr="00F13024">
        <w:rPr>
          <w:i/>
          <w:iCs/>
        </w:rPr>
        <w:t>Small Single-DODAG Network</w:t>
      </w:r>
      <w:r w:rsidRPr="00F13024">
        <w:t xml:space="preserve"> segment were added under the </w:t>
      </w:r>
      <w:r w:rsidRPr="00F13024">
        <w:rPr>
          <w:i/>
          <w:iCs/>
        </w:rPr>
        <w:t>Single Attacker</w:t>
      </w:r>
      <w:r w:rsidRPr="00F13024">
        <w:t xml:space="preserve"> category of the dataset.</w:t>
      </w:r>
      <w:r w:rsidR="004F731C">
        <w:t xml:space="preserve"> </w:t>
      </w:r>
      <w:r w:rsidRPr="00F13024">
        <w:t xml:space="preserve">The statistics </w:t>
      </w:r>
      <w:r w:rsidR="004F731C">
        <w:t xml:space="preserve">for the network traffic collected during the 4-minute </w:t>
      </w:r>
      <w:r w:rsidR="004F731C">
        <w:lastRenderedPageBreak/>
        <w:t xml:space="preserve">simulation time are </w:t>
      </w:r>
      <w:r w:rsidRPr="00F13024">
        <w:t xml:space="preserve">presented in </w:t>
      </w:r>
      <w:r w:rsidRPr="00F13024">
        <w:fldChar w:fldCharType="begin"/>
      </w:r>
      <w:r w:rsidRPr="00F13024">
        <w:instrText xml:space="preserve"> REF _Ref160532793 \h  \* MERGEFORMAT </w:instrText>
      </w:r>
      <w:r w:rsidRPr="00F13024">
        <w:fldChar w:fldCharType="separate"/>
      </w:r>
      <w:r w:rsidR="00AA2760" w:rsidRPr="00F13024">
        <w:t xml:space="preserve">Table </w:t>
      </w:r>
      <w:r w:rsidR="00AA2760">
        <w:rPr>
          <w:noProof/>
        </w:rPr>
        <w:t>6</w:t>
      </w:r>
      <w:r w:rsidRPr="00F13024">
        <w:fldChar w:fldCharType="end"/>
      </w:r>
      <w:r w:rsidR="004F731C">
        <w:t>. The values in the table show the counts for one representative instance out of the 12.</w:t>
      </w:r>
    </w:p>
    <w:p w:rsidR="00F13024" w:rsidRPr="00F13024" w:rsidRDefault="00F13024" w:rsidP="004F731C">
      <w:pPr>
        <w:pStyle w:val="Caption-Table"/>
        <w:spacing w:line="276" w:lineRule="auto"/>
      </w:pPr>
      <w:bookmarkStart w:id="74" w:name="_Ref160532793"/>
      <w:bookmarkStart w:id="75" w:name="_Toc161655681"/>
      <w:bookmarkStart w:id="76" w:name="_Toc162790061"/>
      <w:r w:rsidRPr="00F13024">
        <w:t xml:space="preserve">Table </w:t>
      </w:r>
      <w:r w:rsidRPr="00F13024">
        <w:fldChar w:fldCharType="begin"/>
      </w:r>
      <w:r w:rsidRPr="00F13024">
        <w:instrText xml:space="preserve"> SEQ Table \* ARABIC </w:instrText>
      </w:r>
      <w:r w:rsidRPr="00F13024">
        <w:fldChar w:fldCharType="separate"/>
      </w:r>
      <w:r w:rsidR="00AA2760">
        <w:rPr>
          <w:noProof/>
        </w:rPr>
        <w:t>6</w:t>
      </w:r>
      <w:r w:rsidRPr="00F13024">
        <w:rPr>
          <w:noProof/>
        </w:rPr>
        <w:fldChar w:fldCharType="end"/>
      </w:r>
      <w:bookmarkEnd w:id="74"/>
      <w:r w:rsidRPr="00F13024">
        <w:t xml:space="preserve"> – </w:t>
      </w:r>
      <w:r w:rsidR="004F731C">
        <w:t>Packet</w:t>
      </w:r>
      <w:r w:rsidRPr="00F13024">
        <w:t xml:space="preserve"> Distribution </w:t>
      </w:r>
      <w:r w:rsidR="004F731C">
        <w:t xml:space="preserve">in </w:t>
      </w:r>
      <w:r w:rsidRPr="00F13024">
        <w:t>the Small Single-DODAG Network under a Single Sinkhole Attack.</w:t>
      </w:r>
      <w:bookmarkEnd w:id="75"/>
      <w:bookmarkEnd w:id="76"/>
      <w:r w:rsidRPr="00F13024">
        <w:rPr>
          <w:noProof/>
        </w:rPr>
        <w:t xml:space="preserve"> </w:t>
      </w:r>
    </w:p>
    <w:tbl>
      <w:tblPr>
        <w:tblStyle w:val="TableGrid"/>
        <w:tblW w:w="0" w:type="auto"/>
        <w:jc w:val="center"/>
        <w:tblLook w:val="04A0" w:firstRow="1" w:lastRow="0" w:firstColumn="1" w:lastColumn="0" w:noHBand="0" w:noVBand="1"/>
      </w:tblPr>
      <w:tblGrid>
        <w:gridCol w:w="2490"/>
        <w:gridCol w:w="1825"/>
        <w:gridCol w:w="1800"/>
      </w:tblGrid>
      <w:tr w:rsidR="00F13024" w:rsidRPr="00F13024" w:rsidTr="00F13024">
        <w:trPr>
          <w:jc w:val="center"/>
        </w:trPr>
        <w:tc>
          <w:tcPr>
            <w:tcW w:w="2490" w:type="dxa"/>
            <w:shd w:val="clear" w:color="auto" w:fill="auto"/>
          </w:tcPr>
          <w:p w:rsidR="00F13024" w:rsidRPr="00F13024" w:rsidRDefault="00F13024" w:rsidP="00F13024">
            <w:pPr>
              <w:pStyle w:val="TableColHead"/>
            </w:pPr>
            <w:r w:rsidRPr="00F13024">
              <w:t>Packet Type</w:t>
            </w:r>
          </w:p>
        </w:tc>
        <w:tc>
          <w:tcPr>
            <w:tcW w:w="1825" w:type="dxa"/>
            <w:shd w:val="clear" w:color="auto" w:fill="auto"/>
            <w:vAlign w:val="center"/>
          </w:tcPr>
          <w:p w:rsidR="00F13024" w:rsidRPr="00F13024" w:rsidRDefault="00F13024" w:rsidP="00F13024">
            <w:pPr>
              <w:pStyle w:val="TableColHead"/>
              <w:jc w:val="center"/>
            </w:pPr>
            <w:r w:rsidRPr="00F13024">
              <w:t>Count</w:t>
            </w:r>
          </w:p>
        </w:tc>
        <w:tc>
          <w:tcPr>
            <w:tcW w:w="1800" w:type="dxa"/>
            <w:shd w:val="clear" w:color="auto" w:fill="auto"/>
            <w:vAlign w:val="center"/>
          </w:tcPr>
          <w:p w:rsidR="00F13024" w:rsidRPr="00F13024" w:rsidRDefault="00F13024" w:rsidP="00F13024">
            <w:pPr>
              <w:pStyle w:val="TableColHead"/>
              <w:jc w:val="center"/>
            </w:pPr>
            <w:r w:rsidRPr="00F13024">
              <w:t>Percentage</w:t>
            </w:r>
          </w:p>
        </w:tc>
      </w:tr>
      <w:tr w:rsidR="00F13024" w:rsidRPr="00F13024" w:rsidTr="00F13024">
        <w:trPr>
          <w:jc w:val="center"/>
        </w:trPr>
        <w:tc>
          <w:tcPr>
            <w:tcW w:w="2490" w:type="dxa"/>
            <w:shd w:val="clear" w:color="auto" w:fill="auto"/>
          </w:tcPr>
          <w:p w:rsidR="00F13024" w:rsidRPr="00F13024" w:rsidRDefault="00F13024" w:rsidP="00F13024">
            <w:pPr>
              <w:pStyle w:val="TableEntry"/>
            </w:pPr>
            <w:r w:rsidRPr="00F13024">
              <w:t>ICMPv6 – DIS</w:t>
            </w:r>
          </w:p>
        </w:tc>
        <w:tc>
          <w:tcPr>
            <w:tcW w:w="1825" w:type="dxa"/>
            <w:shd w:val="clear" w:color="auto" w:fill="auto"/>
            <w:vAlign w:val="center"/>
          </w:tcPr>
          <w:p w:rsidR="00F13024" w:rsidRPr="004F731C" w:rsidRDefault="00F13024" w:rsidP="00F13024">
            <w:pPr>
              <w:pStyle w:val="TableEntry"/>
              <w:jc w:val="center"/>
              <w:rPr>
                <w:highlight w:val="yellow"/>
              </w:rPr>
            </w:pPr>
            <w:r w:rsidRPr="004F731C">
              <w:rPr>
                <w:highlight w:val="yellow"/>
              </w:rPr>
              <w:t>228</w:t>
            </w:r>
          </w:p>
        </w:tc>
        <w:tc>
          <w:tcPr>
            <w:tcW w:w="1800" w:type="dxa"/>
            <w:shd w:val="clear" w:color="auto" w:fill="auto"/>
            <w:vAlign w:val="center"/>
          </w:tcPr>
          <w:p w:rsidR="00F13024" w:rsidRPr="004F731C" w:rsidRDefault="00F13024" w:rsidP="00F13024">
            <w:pPr>
              <w:pStyle w:val="TableEntry"/>
              <w:jc w:val="center"/>
              <w:rPr>
                <w:highlight w:val="yellow"/>
              </w:rPr>
            </w:pPr>
            <w:r w:rsidRPr="004F731C">
              <w:rPr>
                <w:highlight w:val="yellow"/>
              </w:rPr>
              <w:t>4%</w:t>
            </w:r>
          </w:p>
        </w:tc>
      </w:tr>
      <w:tr w:rsidR="00F13024" w:rsidRPr="00F13024" w:rsidTr="00F13024">
        <w:trPr>
          <w:jc w:val="center"/>
        </w:trPr>
        <w:tc>
          <w:tcPr>
            <w:tcW w:w="2490" w:type="dxa"/>
            <w:shd w:val="clear" w:color="auto" w:fill="auto"/>
          </w:tcPr>
          <w:p w:rsidR="00F13024" w:rsidRPr="00F13024" w:rsidRDefault="00F13024" w:rsidP="00F13024">
            <w:pPr>
              <w:pStyle w:val="TableEntry"/>
            </w:pPr>
            <w:r w:rsidRPr="00F13024">
              <w:t>ICMPv6 – DIO</w:t>
            </w:r>
          </w:p>
        </w:tc>
        <w:tc>
          <w:tcPr>
            <w:tcW w:w="1825" w:type="dxa"/>
            <w:shd w:val="clear" w:color="auto" w:fill="auto"/>
            <w:vAlign w:val="center"/>
          </w:tcPr>
          <w:p w:rsidR="00F13024" w:rsidRPr="004F731C" w:rsidRDefault="00F13024" w:rsidP="00F13024">
            <w:pPr>
              <w:pStyle w:val="TableEntry"/>
              <w:jc w:val="center"/>
              <w:rPr>
                <w:highlight w:val="yellow"/>
              </w:rPr>
            </w:pPr>
            <w:r w:rsidRPr="004F731C">
              <w:rPr>
                <w:highlight w:val="yellow"/>
              </w:rPr>
              <w:t>2,583</w:t>
            </w:r>
          </w:p>
        </w:tc>
        <w:tc>
          <w:tcPr>
            <w:tcW w:w="1800" w:type="dxa"/>
            <w:shd w:val="clear" w:color="auto" w:fill="auto"/>
            <w:vAlign w:val="center"/>
          </w:tcPr>
          <w:p w:rsidR="00F13024" w:rsidRPr="004F731C" w:rsidRDefault="00F13024" w:rsidP="00F13024">
            <w:pPr>
              <w:pStyle w:val="TableEntry"/>
              <w:jc w:val="center"/>
              <w:rPr>
                <w:highlight w:val="yellow"/>
              </w:rPr>
            </w:pPr>
            <w:r w:rsidRPr="004F731C">
              <w:rPr>
                <w:highlight w:val="yellow"/>
              </w:rPr>
              <w:t>46%</w:t>
            </w:r>
          </w:p>
        </w:tc>
      </w:tr>
      <w:tr w:rsidR="00F13024" w:rsidRPr="00F13024" w:rsidTr="00F13024">
        <w:trPr>
          <w:jc w:val="center"/>
        </w:trPr>
        <w:tc>
          <w:tcPr>
            <w:tcW w:w="2490" w:type="dxa"/>
            <w:shd w:val="clear" w:color="auto" w:fill="auto"/>
          </w:tcPr>
          <w:p w:rsidR="00F13024" w:rsidRPr="00F13024" w:rsidRDefault="00F13024" w:rsidP="00F13024">
            <w:pPr>
              <w:pStyle w:val="TableEntry"/>
            </w:pPr>
            <w:r w:rsidRPr="00F13024">
              <w:t>ICMPv6 – DAO</w:t>
            </w:r>
          </w:p>
        </w:tc>
        <w:tc>
          <w:tcPr>
            <w:tcW w:w="1825" w:type="dxa"/>
            <w:shd w:val="clear" w:color="auto" w:fill="auto"/>
            <w:vAlign w:val="center"/>
          </w:tcPr>
          <w:p w:rsidR="00F13024" w:rsidRPr="004F731C" w:rsidRDefault="00F13024" w:rsidP="00F13024">
            <w:pPr>
              <w:pStyle w:val="TableEntry"/>
              <w:jc w:val="center"/>
              <w:rPr>
                <w:highlight w:val="yellow"/>
              </w:rPr>
            </w:pPr>
            <w:r w:rsidRPr="004F731C">
              <w:rPr>
                <w:highlight w:val="yellow"/>
              </w:rPr>
              <w:t>1,884</w:t>
            </w:r>
          </w:p>
        </w:tc>
        <w:tc>
          <w:tcPr>
            <w:tcW w:w="1800" w:type="dxa"/>
            <w:shd w:val="clear" w:color="auto" w:fill="auto"/>
            <w:vAlign w:val="center"/>
          </w:tcPr>
          <w:p w:rsidR="00F13024" w:rsidRPr="004F731C" w:rsidRDefault="00F13024" w:rsidP="00F13024">
            <w:pPr>
              <w:pStyle w:val="TableEntry"/>
              <w:jc w:val="center"/>
              <w:rPr>
                <w:highlight w:val="yellow"/>
              </w:rPr>
            </w:pPr>
            <w:r w:rsidRPr="004F731C">
              <w:rPr>
                <w:highlight w:val="yellow"/>
              </w:rPr>
              <w:t>34%</w:t>
            </w:r>
          </w:p>
        </w:tc>
      </w:tr>
      <w:tr w:rsidR="00F13024" w:rsidRPr="00F13024" w:rsidTr="00F13024">
        <w:trPr>
          <w:jc w:val="center"/>
        </w:trPr>
        <w:tc>
          <w:tcPr>
            <w:tcW w:w="2490" w:type="dxa"/>
            <w:shd w:val="clear" w:color="auto" w:fill="auto"/>
          </w:tcPr>
          <w:p w:rsidR="00F13024" w:rsidRPr="00F13024" w:rsidRDefault="00F13024" w:rsidP="00F13024">
            <w:pPr>
              <w:pStyle w:val="TableEntry"/>
            </w:pPr>
            <w:r w:rsidRPr="00F13024">
              <w:t>ICMPv6 – DAO ACK</w:t>
            </w:r>
          </w:p>
        </w:tc>
        <w:tc>
          <w:tcPr>
            <w:tcW w:w="1825" w:type="dxa"/>
            <w:shd w:val="clear" w:color="auto" w:fill="auto"/>
            <w:vAlign w:val="center"/>
          </w:tcPr>
          <w:p w:rsidR="00F13024" w:rsidRPr="004F731C" w:rsidRDefault="00F13024" w:rsidP="00F13024">
            <w:pPr>
              <w:pStyle w:val="TableEntry"/>
              <w:jc w:val="center"/>
              <w:rPr>
                <w:highlight w:val="yellow"/>
              </w:rPr>
            </w:pPr>
            <w:r w:rsidRPr="004F731C">
              <w:rPr>
                <w:highlight w:val="yellow"/>
              </w:rPr>
              <w:t>235</w:t>
            </w:r>
          </w:p>
        </w:tc>
        <w:tc>
          <w:tcPr>
            <w:tcW w:w="1800" w:type="dxa"/>
            <w:shd w:val="clear" w:color="auto" w:fill="auto"/>
            <w:vAlign w:val="center"/>
          </w:tcPr>
          <w:p w:rsidR="00F13024" w:rsidRPr="004F731C" w:rsidRDefault="00F13024" w:rsidP="00F13024">
            <w:pPr>
              <w:pStyle w:val="TableEntry"/>
              <w:jc w:val="center"/>
              <w:rPr>
                <w:highlight w:val="yellow"/>
              </w:rPr>
            </w:pPr>
            <w:r w:rsidRPr="004F731C">
              <w:rPr>
                <w:highlight w:val="yellow"/>
              </w:rPr>
              <w:t>4%</w:t>
            </w:r>
          </w:p>
        </w:tc>
      </w:tr>
      <w:tr w:rsidR="00F13024" w:rsidRPr="00F13024" w:rsidTr="00F13024">
        <w:trPr>
          <w:jc w:val="center"/>
        </w:trPr>
        <w:tc>
          <w:tcPr>
            <w:tcW w:w="2490" w:type="dxa"/>
            <w:shd w:val="clear" w:color="auto" w:fill="auto"/>
          </w:tcPr>
          <w:p w:rsidR="00F13024" w:rsidRPr="00F13024" w:rsidRDefault="00F13024" w:rsidP="00F13024">
            <w:pPr>
              <w:pStyle w:val="TableEntry"/>
            </w:pPr>
            <w:r w:rsidRPr="00F13024">
              <w:t>UDP</w:t>
            </w:r>
          </w:p>
        </w:tc>
        <w:tc>
          <w:tcPr>
            <w:tcW w:w="1825" w:type="dxa"/>
            <w:shd w:val="clear" w:color="auto" w:fill="auto"/>
            <w:vAlign w:val="center"/>
          </w:tcPr>
          <w:p w:rsidR="00F13024" w:rsidRPr="004F731C" w:rsidRDefault="00F13024" w:rsidP="00F13024">
            <w:pPr>
              <w:pStyle w:val="TableEntry"/>
              <w:jc w:val="center"/>
              <w:rPr>
                <w:highlight w:val="yellow"/>
              </w:rPr>
            </w:pPr>
            <w:r w:rsidRPr="004F731C">
              <w:rPr>
                <w:highlight w:val="yellow"/>
              </w:rPr>
              <w:t>652</w:t>
            </w:r>
          </w:p>
        </w:tc>
        <w:tc>
          <w:tcPr>
            <w:tcW w:w="1800" w:type="dxa"/>
            <w:shd w:val="clear" w:color="auto" w:fill="auto"/>
            <w:vAlign w:val="center"/>
          </w:tcPr>
          <w:p w:rsidR="00F13024" w:rsidRPr="004F731C" w:rsidRDefault="00F13024" w:rsidP="00F13024">
            <w:pPr>
              <w:pStyle w:val="TableEntry"/>
              <w:jc w:val="center"/>
              <w:rPr>
                <w:highlight w:val="yellow"/>
              </w:rPr>
            </w:pPr>
            <w:r w:rsidRPr="004F731C">
              <w:rPr>
                <w:highlight w:val="yellow"/>
              </w:rPr>
              <w:t>12%</w:t>
            </w:r>
          </w:p>
        </w:tc>
      </w:tr>
      <w:tr w:rsidR="00F13024" w:rsidRPr="00F13024" w:rsidTr="00F13024">
        <w:trPr>
          <w:jc w:val="center"/>
        </w:trPr>
        <w:tc>
          <w:tcPr>
            <w:tcW w:w="2490" w:type="dxa"/>
            <w:shd w:val="clear" w:color="auto" w:fill="auto"/>
          </w:tcPr>
          <w:p w:rsidR="00F13024" w:rsidRPr="00F13024" w:rsidRDefault="00F13024" w:rsidP="00E639B5">
            <w:pPr>
              <w:pStyle w:val="TableEntry"/>
              <w:keepNext w:val="0"/>
              <w:rPr>
                <w:b/>
                <w:bCs/>
              </w:rPr>
            </w:pPr>
            <w:r w:rsidRPr="00F13024">
              <w:rPr>
                <w:b/>
                <w:bCs/>
              </w:rPr>
              <w:t>Totals</w:t>
            </w:r>
          </w:p>
        </w:tc>
        <w:tc>
          <w:tcPr>
            <w:tcW w:w="1825" w:type="dxa"/>
            <w:shd w:val="clear" w:color="auto" w:fill="auto"/>
            <w:vAlign w:val="center"/>
          </w:tcPr>
          <w:p w:rsidR="00F13024" w:rsidRPr="004F731C" w:rsidRDefault="00F13024" w:rsidP="00E639B5">
            <w:pPr>
              <w:pStyle w:val="TableEntry"/>
              <w:keepNext w:val="0"/>
              <w:jc w:val="center"/>
              <w:rPr>
                <w:b/>
                <w:bCs/>
                <w:highlight w:val="yellow"/>
              </w:rPr>
            </w:pPr>
            <w:r w:rsidRPr="004F731C">
              <w:rPr>
                <w:b/>
                <w:bCs/>
                <w:highlight w:val="yellow"/>
              </w:rPr>
              <w:t>5,582</w:t>
            </w:r>
          </w:p>
        </w:tc>
        <w:tc>
          <w:tcPr>
            <w:tcW w:w="1800" w:type="dxa"/>
            <w:shd w:val="clear" w:color="auto" w:fill="auto"/>
            <w:vAlign w:val="center"/>
          </w:tcPr>
          <w:p w:rsidR="00F13024" w:rsidRPr="004F731C" w:rsidRDefault="00F13024" w:rsidP="00E639B5">
            <w:pPr>
              <w:pStyle w:val="TableEntry"/>
              <w:keepNext w:val="0"/>
              <w:jc w:val="center"/>
              <w:rPr>
                <w:b/>
                <w:bCs/>
                <w:highlight w:val="yellow"/>
              </w:rPr>
            </w:pPr>
            <w:r w:rsidRPr="004F731C">
              <w:rPr>
                <w:b/>
                <w:bCs/>
                <w:highlight w:val="yellow"/>
              </w:rPr>
              <w:t>100%</w:t>
            </w:r>
          </w:p>
        </w:tc>
      </w:tr>
    </w:tbl>
    <w:p w:rsidR="00F13024" w:rsidRPr="00F13024" w:rsidRDefault="00F13024" w:rsidP="003355E1">
      <w:pPr>
        <w:pStyle w:val="Heading2"/>
      </w:pPr>
      <w:bookmarkStart w:id="77" w:name="_Toc162153378"/>
      <w:bookmarkStart w:id="78" w:name="_Toc162789993"/>
      <w:r w:rsidRPr="00F13024">
        <w:t>Medium-sized Single-DODAG Network under a Single Sinkhole Attack</w:t>
      </w:r>
      <w:bookmarkEnd w:id="77"/>
      <w:bookmarkEnd w:id="78"/>
    </w:p>
    <w:p w:rsidR="00F13024" w:rsidRPr="00F13024" w:rsidRDefault="00F13024" w:rsidP="003355E1">
      <w:r w:rsidRPr="00F13024">
        <w:t xml:space="preserve">The medium-sized single-DODAG network of </w:t>
      </w:r>
      <w:r w:rsidRPr="00F13024">
        <w:fldChar w:fldCharType="begin"/>
      </w:r>
      <w:r w:rsidRPr="00F13024">
        <w:instrText xml:space="preserve"> REF _Ref158665850 \h  \* MERGEFORMAT </w:instrText>
      </w:r>
      <w:r w:rsidRPr="00F13024">
        <w:fldChar w:fldCharType="separate"/>
      </w:r>
      <w:r w:rsidR="00AA2760" w:rsidRPr="00F13024">
        <w:t xml:space="preserve">Figure </w:t>
      </w:r>
      <w:r w:rsidR="00AA2760">
        <w:rPr>
          <w:noProof/>
        </w:rPr>
        <w:t>3</w:t>
      </w:r>
      <w:r w:rsidRPr="00F13024">
        <w:fldChar w:fldCharType="end"/>
      </w:r>
      <w:r w:rsidRPr="00F13024">
        <w:t xml:space="preserve"> was recreated and simulated with one of the nodes launching a sinkhole attack after 100 seconds of simulation time. Similarly, the simulation was run exhaustively with a different node being selected as the attacking node for each iteration. Twenty-four different instances representing the attack being launched from each of the 24 nodes were added to the dataset. The distribution of </w:t>
      </w:r>
      <w:r w:rsidR="003355E1">
        <w:t xml:space="preserve">packets collected during the 4-minute simulation time is presented </w:t>
      </w:r>
      <w:r w:rsidRPr="00F13024">
        <w:t xml:space="preserve">in </w:t>
      </w:r>
      <w:r w:rsidRPr="00F13024">
        <w:fldChar w:fldCharType="begin"/>
      </w:r>
      <w:r w:rsidRPr="00F13024">
        <w:instrText xml:space="preserve"> REF _Ref160543429 \h  \* MERGEFORMAT </w:instrText>
      </w:r>
      <w:r w:rsidRPr="00F13024">
        <w:fldChar w:fldCharType="separate"/>
      </w:r>
      <w:r w:rsidR="00AA2760" w:rsidRPr="00F13024">
        <w:t xml:space="preserve">Table </w:t>
      </w:r>
      <w:r w:rsidR="00AA2760">
        <w:rPr>
          <w:noProof/>
        </w:rPr>
        <w:t>7</w:t>
      </w:r>
      <w:r w:rsidRPr="00F13024">
        <w:fldChar w:fldCharType="end"/>
      </w:r>
      <w:r w:rsidRPr="00F13024">
        <w:t>.</w:t>
      </w:r>
      <w:r w:rsidR="003355E1">
        <w:t xml:space="preserve"> The values in the table show the counts for one representative instance out of the 24.</w:t>
      </w:r>
    </w:p>
    <w:p w:rsidR="00F13024" w:rsidRPr="00F13024" w:rsidRDefault="00F13024" w:rsidP="003355E1">
      <w:pPr>
        <w:pStyle w:val="Caption-Table"/>
        <w:spacing w:line="276" w:lineRule="auto"/>
      </w:pPr>
      <w:bookmarkStart w:id="79" w:name="_Ref160543429"/>
      <w:bookmarkStart w:id="80" w:name="_Toc161655682"/>
      <w:bookmarkStart w:id="81" w:name="_Toc162790062"/>
      <w:r w:rsidRPr="00F13024">
        <w:t xml:space="preserve">Table </w:t>
      </w:r>
      <w:r w:rsidRPr="00F13024">
        <w:fldChar w:fldCharType="begin"/>
      </w:r>
      <w:r w:rsidRPr="00F13024">
        <w:instrText xml:space="preserve"> SEQ Table \* ARABIC </w:instrText>
      </w:r>
      <w:r w:rsidRPr="00F13024">
        <w:fldChar w:fldCharType="separate"/>
      </w:r>
      <w:r w:rsidR="00AA2760">
        <w:rPr>
          <w:noProof/>
        </w:rPr>
        <w:t>7</w:t>
      </w:r>
      <w:r w:rsidRPr="00F13024">
        <w:rPr>
          <w:noProof/>
        </w:rPr>
        <w:fldChar w:fldCharType="end"/>
      </w:r>
      <w:bookmarkEnd w:id="79"/>
      <w:r w:rsidRPr="00F13024">
        <w:t xml:space="preserve"> – </w:t>
      </w:r>
      <w:r w:rsidR="003355E1">
        <w:t>Packet</w:t>
      </w:r>
      <w:r w:rsidRPr="00F13024">
        <w:t xml:space="preserve"> Distribution </w:t>
      </w:r>
      <w:r w:rsidR="003355E1">
        <w:t xml:space="preserve">in </w:t>
      </w:r>
      <w:r w:rsidRPr="00F13024">
        <w:t>the Medium-sized Single-DODAG Network under a Single Sinkhole Attack.</w:t>
      </w:r>
      <w:bookmarkEnd w:id="80"/>
      <w:bookmarkEnd w:id="81"/>
    </w:p>
    <w:tbl>
      <w:tblPr>
        <w:tblStyle w:val="TableGrid"/>
        <w:tblW w:w="0" w:type="auto"/>
        <w:jc w:val="center"/>
        <w:tblLook w:val="04A0" w:firstRow="1" w:lastRow="0" w:firstColumn="1" w:lastColumn="0" w:noHBand="0" w:noVBand="1"/>
      </w:tblPr>
      <w:tblGrid>
        <w:gridCol w:w="2490"/>
        <w:gridCol w:w="2095"/>
        <w:gridCol w:w="1980"/>
      </w:tblGrid>
      <w:tr w:rsidR="00F13024" w:rsidRPr="00F13024" w:rsidTr="00F13024">
        <w:trPr>
          <w:jc w:val="center"/>
        </w:trPr>
        <w:tc>
          <w:tcPr>
            <w:tcW w:w="2490" w:type="dxa"/>
          </w:tcPr>
          <w:p w:rsidR="00F13024" w:rsidRPr="00F13024" w:rsidRDefault="00F13024" w:rsidP="00F13024">
            <w:pPr>
              <w:pStyle w:val="TableColHead"/>
            </w:pPr>
            <w:r w:rsidRPr="00F13024">
              <w:t>Packet Type</w:t>
            </w:r>
          </w:p>
        </w:tc>
        <w:tc>
          <w:tcPr>
            <w:tcW w:w="2095" w:type="dxa"/>
            <w:vAlign w:val="center"/>
          </w:tcPr>
          <w:p w:rsidR="00F13024" w:rsidRPr="00F13024" w:rsidRDefault="00F13024" w:rsidP="00F13024">
            <w:pPr>
              <w:pStyle w:val="TableColHead"/>
              <w:jc w:val="center"/>
            </w:pPr>
            <w:r w:rsidRPr="00F13024">
              <w:t>Count</w:t>
            </w:r>
          </w:p>
        </w:tc>
        <w:tc>
          <w:tcPr>
            <w:tcW w:w="1980" w:type="dxa"/>
            <w:vAlign w:val="center"/>
          </w:tcPr>
          <w:p w:rsidR="00F13024" w:rsidRPr="00F13024" w:rsidRDefault="00F13024" w:rsidP="00F13024">
            <w:pPr>
              <w:pStyle w:val="TableColHead"/>
              <w:jc w:val="center"/>
            </w:pPr>
            <w:r w:rsidRPr="00F13024">
              <w:t>Percentage</w:t>
            </w:r>
          </w:p>
        </w:tc>
      </w:tr>
      <w:tr w:rsidR="00F13024" w:rsidRPr="00F13024" w:rsidTr="00F13024">
        <w:trPr>
          <w:jc w:val="center"/>
        </w:trPr>
        <w:tc>
          <w:tcPr>
            <w:tcW w:w="2490" w:type="dxa"/>
          </w:tcPr>
          <w:p w:rsidR="00F13024" w:rsidRPr="00F13024" w:rsidRDefault="00F13024" w:rsidP="00F13024">
            <w:pPr>
              <w:pStyle w:val="TableEntry"/>
            </w:pPr>
            <w:r w:rsidRPr="00F13024">
              <w:t>ICMPv6 – DIS</w:t>
            </w:r>
          </w:p>
        </w:tc>
        <w:tc>
          <w:tcPr>
            <w:tcW w:w="2095"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532</w:t>
            </w:r>
          </w:p>
        </w:tc>
        <w:tc>
          <w:tcPr>
            <w:tcW w:w="1980"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1%</w:t>
            </w:r>
          </w:p>
        </w:tc>
      </w:tr>
      <w:tr w:rsidR="00F13024" w:rsidRPr="00F13024" w:rsidTr="00F13024">
        <w:trPr>
          <w:jc w:val="center"/>
        </w:trPr>
        <w:tc>
          <w:tcPr>
            <w:tcW w:w="2490" w:type="dxa"/>
          </w:tcPr>
          <w:p w:rsidR="00F13024" w:rsidRPr="00F13024" w:rsidRDefault="00F13024" w:rsidP="00F13024">
            <w:pPr>
              <w:pStyle w:val="TableEntry"/>
            </w:pPr>
            <w:r w:rsidRPr="00F13024">
              <w:t>ICMPv6 – DIO</w:t>
            </w:r>
          </w:p>
        </w:tc>
        <w:tc>
          <w:tcPr>
            <w:tcW w:w="2095"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8566</w:t>
            </w:r>
          </w:p>
        </w:tc>
        <w:tc>
          <w:tcPr>
            <w:tcW w:w="1980"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23%</w:t>
            </w:r>
          </w:p>
        </w:tc>
      </w:tr>
      <w:tr w:rsidR="00F13024" w:rsidRPr="00F13024" w:rsidTr="00F13024">
        <w:trPr>
          <w:jc w:val="center"/>
        </w:trPr>
        <w:tc>
          <w:tcPr>
            <w:tcW w:w="2490" w:type="dxa"/>
          </w:tcPr>
          <w:p w:rsidR="00F13024" w:rsidRPr="00F13024" w:rsidRDefault="00F13024" w:rsidP="00F13024">
            <w:pPr>
              <w:pStyle w:val="TableEntry"/>
            </w:pPr>
            <w:r w:rsidRPr="00F13024">
              <w:t>ICMPv6 – DAO</w:t>
            </w:r>
          </w:p>
        </w:tc>
        <w:tc>
          <w:tcPr>
            <w:tcW w:w="2095"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23005</w:t>
            </w:r>
          </w:p>
        </w:tc>
        <w:tc>
          <w:tcPr>
            <w:tcW w:w="1980"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62%</w:t>
            </w:r>
          </w:p>
        </w:tc>
      </w:tr>
      <w:tr w:rsidR="00F13024" w:rsidRPr="00F13024" w:rsidTr="00F13024">
        <w:trPr>
          <w:jc w:val="center"/>
        </w:trPr>
        <w:tc>
          <w:tcPr>
            <w:tcW w:w="2490" w:type="dxa"/>
          </w:tcPr>
          <w:p w:rsidR="00F13024" w:rsidRPr="00F13024" w:rsidRDefault="00F13024" w:rsidP="00F13024">
            <w:pPr>
              <w:pStyle w:val="TableEntry"/>
            </w:pPr>
            <w:r w:rsidRPr="00F13024">
              <w:t>ICMPv6 – DAO ACK</w:t>
            </w:r>
          </w:p>
        </w:tc>
        <w:tc>
          <w:tcPr>
            <w:tcW w:w="2095"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1002</w:t>
            </w:r>
          </w:p>
        </w:tc>
        <w:tc>
          <w:tcPr>
            <w:tcW w:w="1980"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3%</w:t>
            </w:r>
          </w:p>
        </w:tc>
      </w:tr>
      <w:tr w:rsidR="00F13024" w:rsidRPr="00F13024" w:rsidTr="00F13024">
        <w:trPr>
          <w:jc w:val="center"/>
        </w:trPr>
        <w:tc>
          <w:tcPr>
            <w:tcW w:w="2490" w:type="dxa"/>
          </w:tcPr>
          <w:p w:rsidR="00F13024" w:rsidRPr="00F13024" w:rsidRDefault="00F13024" w:rsidP="00F13024">
            <w:pPr>
              <w:pStyle w:val="TableEntry"/>
            </w:pPr>
            <w:r w:rsidRPr="00F13024">
              <w:t>UDP</w:t>
            </w:r>
          </w:p>
        </w:tc>
        <w:tc>
          <w:tcPr>
            <w:tcW w:w="2095"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4237</w:t>
            </w:r>
          </w:p>
        </w:tc>
        <w:tc>
          <w:tcPr>
            <w:tcW w:w="1980" w:type="dxa"/>
            <w:vAlign w:val="bottom"/>
          </w:tcPr>
          <w:p w:rsidR="00F13024" w:rsidRPr="003355E1" w:rsidRDefault="00F13024" w:rsidP="00F13024">
            <w:pPr>
              <w:pStyle w:val="TableEntry"/>
              <w:jc w:val="center"/>
              <w:rPr>
                <w:highlight w:val="yellow"/>
              </w:rPr>
            </w:pPr>
            <w:r w:rsidRPr="003355E1">
              <w:rPr>
                <w:rFonts w:ascii="Aptos Narrow" w:hAnsi="Aptos Narrow"/>
                <w:color w:val="000000"/>
                <w:sz w:val="22"/>
                <w:highlight w:val="yellow"/>
              </w:rPr>
              <w:t>11%</w:t>
            </w:r>
          </w:p>
        </w:tc>
      </w:tr>
      <w:tr w:rsidR="00F13024" w:rsidRPr="00F13024" w:rsidTr="00F13024">
        <w:trPr>
          <w:jc w:val="center"/>
        </w:trPr>
        <w:tc>
          <w:tcPr>
            <w:tcW w:w="2490" w:type="dxa"/>
          </w:tcPr>
          <w:p w:rsidR="00F13024" w:rsidRPr="00F13024" w:rsidRDefault="00F13024" w:rsidP="00F13024">
            <w:pPr>
              <w:pStyle w:val="TableEntry"/>
              <w:keepNext w:val="0"/>
              <w:rPr>
                <w:b/>
                <w:bCs/>
              </w:rPr>
            </w:pPr>
            <w:r w:rsidRPr="00F13024">
              <w:rPr>
                <w:b/>
                <w:bCs/>
              </w:rPr>
              <w:t>Totals</w:t>
            </w:r>
          </w:p>
        </w:tc>
        <w:tc>
          <w:tcPr>
            <w:tcW w:w="2095" w:type="dxa"/>
            <w:vAlign w:val="center"/>
          </w:tcPr>
          <w:p w:rsidR="00F13024" w:rsidRPr="003355E1" w:rsidRDefault="00F13024" w:rsidP="00F13024">
            <w:pPr>
              <w:pStyle w:val="TableEntry"/>
              <w:keepNext w:val="0"/>
              <w:jc w:val="center"/>
              <w:rPr>
                <w:b/>
                <w:bCs/>
                <w:highlight w:val="yellow"/>
              </w:rPr>
            </w:pPr>
            <w:r w:rsidRPr="003355E1">
              <w:rPr>
                <w:rFonts w:ascii="Aptos Narrow" w:hAnsi="Aptos Narrow"/>
                <w:b/>
                <w:bCs/>
                <w:color w:val="000000"/>
                <w:sz w:val="22"/>
                <w:highlight w:val="yellow"/>
              </w:rPr>
              <w:t>37,342</w:t>
            </w:r>
          </w:p>
        </w:tc>
        <w:tc>
          <w:tcPr>
            <w:tcW w:w="1980" w:type="dxa"/>
            <w:vAlign w:val="center"/>
          </w:tcPr>
          <w:p w:rsidR="00F13024" w:rsidRPr="003355E1" w:rsidRDefault="00F13024" w:rsidP="00F13024">
            <w:pPr>
              <w:pStyle w:val="TableEntry"/>
              <w:keepNext w:val="0"/>
              <w:jc w:val="center"/>
              <w:rPr>
                <w:b/>
                <w:bCs/>
                <w:highlight w:val="yellow"/>
              </w:rPr>
            </w:pPr>
            <w:r w:rsidRPr="003355E1">
              <w:rPr>
                <w:b/>
                <w:bCs/>
                <w:highlight w:val="yellow"/>
              </w:rPr>
              <w:t>100%</w:t>
            </w:r>
          </w:p>
        </w:tc>
      </w:tr>
    </w:tbl>
    <w:p w:rsidR="00F13024" w:rsidRPr="00F13024" w:rsidRDefault="00F13024" w:rsidP="003355E1">
      <w:pPr>
        <w:pStyle w:val="Heading2"/>
      </w:pPr>
      <w:bookmarkStart w:id="82" w:name="_Toc162153379"/>
      <w:bookmarkStart w:id="83" w:name="_Toc162789994"/>
      <w:r w:rsidRPr="00F13024">
        <w:t>Medium-sized Dual-DODAG Network under a Single Sinkhole Attack</w:t>
      </w:r>
      <w:bookmarkEnd w:id="82"/>
      <w:bookmarkEnd w:id="83"/>
    </w:p>
    <w:p w:rsidR="00F13024" w:rsidRPr="00F13024" w:rsidRDefault="00F13024" w:rsidP="003355E1">
      <w:r w:rsidRPr="00F13024">
        <w:t xml:space="preserve">A dual-DODAG network essentially consists of two independent small single-DODAG sub-networks. When a single attack is launched on such a network, one DODAG will continue to operate normally, similar to the scenario discussed in section </w:t>
      </w:r>
      <w:r w:rsidRPr="00F13024">
        <w:fldChar w:fldCharType="begin"/>
      </w:r>
      <w:r w:rsidRPr="00F13024">
        <w:instrText xml:space="preserve"> REF _Ref160531510 \r \h  \* MERGEFORMAT </w:instrText>
      </w:r>
      <w:r w:rsidRPr="00F13024">
        <w:fldChar w:fldCharType="separate"/>
      </w:r>
      <w:r w:rsidR="00AA2760">
        <w:rPr>
          <w:cs/>
        </w:rPr>
        <w:t>‎</w:t>
      </w:r>
      <w:r w:rsidR="00AA2760">
        <w:t>8.1</w:t>
      </w:r>
      <w:r w:rsidRPr="00F13024">
        <w:fldChar w:fldCharType="end"/>
      </w:r>
      <w:r w:rsidRPr="00F13024">
        <w:t xml:space="preserve">, while the other DODAG behaves as described in section </w:t>
      </w:r>
      <w:r w:rsidRPr="00F13024">
        <w:fldChar w:fldCharType="begin"/>
      </w:r>
      <w:r w:rsidRPr="00F13024">
        <w:instrText xml:space="preserve"> REF _Ref160695289 \r \h  \* MERGEFORMAT </w:instrText>
      </w:r>
      <w:r w:rsidRPr="00F13024">
        <w:fldChar w:fldCharType="separate"/>
      </w:r>
      <w:r w:rsidR="00AA2760">
        <w:rPr>
          <w:cs/>
        </w:rPr>
        <w:t>‎</w:t>
      </w:r>
      <w:r w:rsidR="00AA2760">
        <w:t>9.1</w:t>
      </w:r>
      <w:r w:rsidRPr="00F13024">
        <w:fldChar w:fldCharType="end"/>
      </w:r>
      <w:r w:rsidRPr="00F13024">
        <w:t>. In such cases, there is nothing particularly noteworthy about the samples extracted under these conditions.</w:t>
      </w:r>
    </w:p>
    <w:p w:rsidR="003355E1" w:rsidRDefault="003355E1" w:rsidP="003355E1"/>
    <w:p w:rsidR="00F13024" w:rsidRPr="00F13024" w:rsidRDefault="00F13024" w:rsidP="003355E1">
      <w:r w:rsidRPr="00F13024">
        <w:t xml:space="preserve">On the other hand, if the attack is initiated from a node on the border between the two DODAGs, significant variation may occur in the traffic patterns. Here the attack may alter the distribution of the nodes between the two DODAGs and attract traffic from nodes that were previously in the other DODAG, as illustrated in </w:t>
      </w:r>
      <w:r w:rsidRPr="00F13024">
        <w:fldChar w:fldCharType="begin"/>
      </w:r>
      <w:r w:rsidRPr="00F13024">
        <w:instrText xml:space="preserve"> REF _Ref160277461 \h  \* MERGEFORMAT </w:instrText>
      </w:r>
      <w:r w:rsidRPr="00F13024">
        <w:fldChar w:fldCharType="separate"/>
      </w:r>
      <w:r w:rsidR="00AA2760" w:rsidRPr="00AA2760">
        <w:rPr>
          <w:rFonts w:asciiTheme="majorBidi" w:hAnsiTheme="majorBidi" w:cstheme="majorBidi"/>
        </w:rPr>
        <w:t xml:space="preserve">Figure </w:t>
      </w:r>
      <w:r w:rsidR="00AA2760" w:rsidRPr="00AA2760">
        <w:rPr>
          <w:rFonts w:asciiTheme="majorBidi" w:hAnsiTheme="majorBidi" w:cstheme="majorBidi"/>
          <w:noProof/>
        </w:rPr>
        <w:t>6</w:t>
      </w:r>
      <w:r w:rsidRPr="00F13024">
        <w:fldChar w:fldCharType="end"/>
      </w:r>
      <w:r w:rsidRPr="00F130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5"/>
        <w:gridCol w:w="4505"/>
      </w:tblGrid>
      <w:tr w:rsidR="00F13024" w:rsidRPr="00F13024" w:rsidTr="00F13024">
        <w:tc>
          <w:tcPr>
            <w:tcW w:w="4505" w:type="dxa"/>
          </w:tcPr>
          <w:p w:rsidR="00F13024" w:rsidRPr="00F13024" w:rsidRDefault="00F13024" w:rsidP="00F13024">
            <w:pPr>
              <w:pStyle w:val="Figure"/>
              <w:spacing w:line="276" w:lineRule="auto"/>
            </w:pPr>
            <w:r w:rsidRPr="00F13024">
              <w:lastRenderedPageBreak/>
              <w:drawing>
                <wp:inline distT="0" distB="0" distL="0" distR="0" wp14:anchorId="4CE03070" wp14:editId="4FAF15F9">
                  <wp:extent cx="2489673" cy="1485900"/>
                  <wp:effectExtent l="0" t="0" r="6350" b="0"/>
                  <wp:docPr id="16059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827" name=""/>
                          <pic:cNvPicPr/>
                        </pic:nvPicPr>
                        <pic:blipFill rotWithShape="1">
                          <a:blip r:embed="rId11"/>
                          <a:srcRect t="10117" r="51577" b="13811"/>
                          <a:stretch/>
                        </pic:blipFill>
                        <pic:spPr bwMode="auto">
                          <a:xfrm>
                            <a:off x="0" y="0"/>
                            <a:ext cx="2502783" cy="1493725"/>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rsidR="00F13024" w:rsidRPr="00F13024" w:rsidRDefault="00F13024" w:rsidP="00F13024">
            <w:pPr>
              <w:pStyle w:val="Figure"/>
              <w:spacing w:line="276" w:lineRule="auto"/>
            </w:pPr>
            <w:r w:rsidRPr="00F13024">
              <w:drawing>
                <wp:inline distT="0" distB="0" distL="0" distR="0" wp14:anchorId="0AEAD0C5" wp14:editId="6D57CAD7">
                  <wp:extent cx="2505846" cy="1491354"/>
                  <wp:effectExtent l="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827" name=""/>
                          <pic:cNvPicPr/>
                        </pic:nvPicPr>
                        <pic:blipFill rotWithShape="1">
                          <a:blip r:embed="rId11"/>
                          <a:srcRect l="51959" t="12141" b="12598"/>
                          <a:stretch/>
                        </pic:blipFill>
                        <pic:spPr bwMode="auto">
                          <a:xfrm>
                            <a:off x="0" y="0"/>
                            <a:ext cx="2524322" cy="1502350"/>
                          </a:xfrm>
                          <a:prstGeom prst="rect">
                            <a:avLst/>
                          </a:prstGeom>
                          <a:ln>
                            <a:noFill/>
                          </a:ln>
                          <a:extLst>
                            <a:ext uri="{53640926-AAD7-44D8-BBD7-CCE9431645EC}">
                              <a14:shadowObscured xmlns:a14="http://schemas.microsoft.com/office/drawing/2010/main"/>
                            </a:ext>
                          </a:extLst>
                        </pic:spPr>
                      </pic:pic>
                    </a:graphicData>
                  </a:graphic>
                </wp:inline>
              </w:drawing>
            </w:r>
          </w:p>
        </w:tc>
      </w:tr>
      <w:tr w:rsidR="00F13024" w:rsidRPr="00F13024" w:rsidTr="00F13024">
        <w:tc>
          <w:tcPr>
            <w:tcW w:w="4505" w:type="dxa"/>
          </w:tcPr>
          <w:p w:rsidR="00F13024" w:rsidRPr="00F13024" w:rsidRDefault="00F13024" w:rsidP="00F13024">
            <w:pPr>
              <w:pStyle w:val="Figure"/>
              <w:spacing w:line="276" w:lineRule="auto"/>
            </w:pPr>
            <w:r w:rsidRPr="00F13024">
              <w:t>DODAG Structures under Normal Behavior</w:t>
            </w:r>
          </w:p>
        </w:tc>
        <w:tc>
          <w:tcPr>
            <w:tcW w:w="4505" w:type="dxa"/>
          </w:tcPr>
          <w:p w:rsidR="00F13024" w:rsidRPr="00F13024" w:rsidRDefault="00F13024" w:rsidP="00F13024">
            <w:pPr>
              <w:pStyle w:val="Figure"/>
              <w:spacing w:line="276" w:lineRule="auto"/>
            </w:pPr>
            <w:r w:rsidRPr="00F13024">
              <w:t>Effect of Sinkhole Attack on Node 6</w:t>
            </w:r>
          </w:p>
        </w:tc>
      </w:tr>
    </w:tbl>
    <w:p w:rsidR="00F13024" w:rsidRPr="00F13024" w:rsidRDefault="00F13024" w:rsidP="00F13024">
      <w:pPr>
        <w:pStyle w:val="Caption-Figure"/>
        <w:spacing w:line="276" w:lineRule="auto"/>
        <w:rPr>
          <w:rFonts w:eastAsia="Calibri"/>
          <w:sz w:val="36"/>
          <w:szCs w:val="36"/>
        </w:rPr>
      </w:pPr>
      <w:bookmarkStart w:id="84" w:name="_Ref160277461"/>
      <w:bookmarkStart w:id="85" w:name="_Toc161625214"/>
      <w:bookmarkStart w:id="86" w:name="_Toc162790043"/>
      <w:r w:rsidRPr="00F13024">
        <w:t xml:space="preserve">Figure </w:t>
      </w:r>
      <w:r w:rsidRPr="00F13024">
        <w:fldChar w:fldCharType="begin"/>
      </w:r>
      <w:r w:rsidRPr="00F13024">
        <w:instrText xml:space="preserve"> SEQ Figure \* ARABIC </w:instrText>
      </w:r>
      <w:r w:rsidRPr="00F13024">
        <w:fldChar w:fldCharType="separate"/>
      </w:r>
      <w:r w:rsidR="00AA2760">
        <w:rPr>
          <w:noProof/>
        </w:rPr>
        <w:t>6</w:t>
      </w:r>
      <w:r w:rsidRPr="00F13024">
        <w:rPr>
          <w:noProof/>
        </w:rPr>
        <w:fldChar w:fldCharType="end"/>
      </w:r>
      <w:bookmarkEnd w:id="84"/>
      <w:r w:rsidRPr="00F13024">
        <w:t xml:space="preserve"> – A Medium-sized Dual-DODAG Network with a Single Attack Targeting a Node on the Border between the DODAGs</w:t>
      </w:r>
      <w:bookmarkEnd w:id="85"/>
      <w:bookmarkEnd w:id="86"/>
    </w:p>
    <w:p w:rsidR="00F13024" w:rsidRPr="003355E1" w:rsidRDefault="00F13024" w:rsidP="003355E1">
      <w:r w:rsidRPr="00F13024">
        <w:t xml:space="preserve">Accordingly, the network of </w:t>
      </w:r>
      <w:r w:rsidRPr="00F13024">
        <w:fldChar w:fldCharType="begin"/>
      </w:r>
      <w:r w:rsidRPr="00F13024">
        <w:instrText xml:space="preserve"> REF _Ref160652565 \h  \* MERGEFORMAT </w:instrText>
      </w:r>
      <w:r w:rsidRPr="00F13024">
        <w:fldChar w:fldCharType="separate"/>
      </w:r>
      <w:r w:rsidR="00AA2760" w:rsidRPr="00F13024">
        <w:t xml:space="preserve">Figure </w:t>
      </w:r>
      <w:r w:rsidR="00AA2760">
        <w:rPr>
          <w:noProof/>
        </w:rPr>
        <w:t>4</w:t>
      </w:r>
      <w:r w:rsidRPr="00F13024">
        <w:fldChar w:fldCharType="end"/>
      </w:r>
      <w:r w:rsidRPr="00F13024">
        <w:t xml:space="preserve"> was recreated and simulated with an attack being launched using one of the border nodes after 100 seconds of simulation time. The simulation was repeated exhaustively for each of the border nodes. This resulted in eight different instances being added to the dataset representing the traffic streams collected from each border node in the network. The distribution of </w:t>
      </w:r>
      <w:r w:rsidR="003355E1">
        <w:t xml:space="preserve">the packets </w:t>
      </w:r>
      <w:r w:rsidR="003355E1" w:rsidRPr="00F13024">
        <w:t xml:space="preserve">collected during the 4-minute simulation time </w:t>
      </w:r>
      <w:r w:rsidRPr="00F13024">
        <w:t xml:space="preserve">is shown in </w:t>
      </w:r>
      <w:r w:rsidRPr="00F13024">
        <w:fldChar w:fldCharType="begin"/>
      </w:r>
      <w:r w:rsidRPr="00F13024">
        <w:instrText xml:space="preserve"> REF _Ref161535018 \h  \* MERGEFORMAT </w:instrText>
      </w:r>
      <w:r w:rsidRPr="00F13024">
        <w:fldChar w:fldCharType="separate"/>
      </w:r>
      <w:r w:rsidR="00AA2760" w:rsidRPr="00F13024">
        <w:t xml:space="preserve">Table </w:t>
      </w:r>
      <w:r w:rsidR="00AA2760">
        <w:rPr>
          <w:noProof/>
        </w:rPr>
        <w:t>8</w:t>
      </w:r>
      <w:r w:rsidRPr="00F13024">
        <w:fldChar w:fldCharType="end"/>
      </w:r>
      <w:r w:rsidR="003355E1">
        <w:t>. The values in the table show the counts for one representative instance out of the 8 instances.</w:t>
      </w:r>
    </w:p>
    <w:p w:rsidR="00F13024" w:rsidRPr="00F13024" w:rsidRDefault="00F13024" w:rsidP="003355E1">
      <w:pPr>
        <w:pStyle w:val="Caption-Table"/>
        <w:spacing w:line="276" w:lineRule="auto"/>
      </w:pPr>
      <w:bookmarkStart w:id="87" w:name="_Ref161535018"/>
      <w:bookmarkStart w:id="88" w:name="_Toc161655683"/>
      <w:bookmarkStart w:id="89" w:name="_Toc162790063"/>
      <w:r w:rsidRPr="00F13024">
        <w:t xml:space="preserve">Table </w:t>
      </w:r>
      <w:r w:rsidRPr="00F13024">
        <w:fldChar w:fldCharType="begin"/>
      </w:r>
      <w:r w:rsidRPr="00F13024">
        <w:instrText xml:space="preserve"> SEQ Table \* ARABIC </w:instrText>
      </w:r>
      <w:r w:rsidRPr="00F13024">
        <w:fldChar w:fldCharType="separate"/>
      </w:r>
      <w:r w:rsidR="00AA2760">
        <w:rPr>
          <w:noProof/>
        </w:rPr>
        <w:t>8</w:t>
      </w:r>
      <w:r w:rsidRPr="00F13024">
        <w:rPr>
          <w:noProof/>
        </w:rPr>
        <w:fldChar w:fldCharType="end"/>
      </w:r>
      <w:bookmarkEnd w:id="87"/>
      <w:r w:rsidRPr="00F13024">
        <w:t xml:space="preserve"> – </w:t>
      </w:r>
      <w:r w:rsidR="003355E1">
        <w:t xml:space="preserve">Packet </w:t>
      </w:r>
      <w:r w:rsidRPr="00F13024">
        <w:t xml:space="preserve">Distribution </w:t>
      </w:r>
      <w:r w:rsidR="003355E1">
        <w:t xml:space="preserve">in </w:t>
      </w:r>
      <w:r w:rsidRPr="00F13024">
        <w:t>the Medium-sized Dual-DODAG Network under a Single Sinkhole Attack.</w:t>
      </w:r>
      <w:bookmarkEnd w:id="88"/>
      <w:bookmarkEnd w:id="89"/>
      <w:r w:rsidRPr="00F13024">
        <w:rPr>
          <w:noProof/>
        </w:rPr>
        <w:t xml:space="preserve"> </w:t>
      </w:r>
    </w:p>
    <w:tbl>
      <w:tblPr>
        <w:tblStyle w:val="TableGrid"/>
        <w:tblW w:w="0" w:type="auto"/>
        <w:jc w:val="center"/>
        <w:tblLook w:val="04A0" w:firstRow="1" w:lastRow="0" w:firstColumn="1" w:lastColumn="0" w:noHBand="0" w:noVBand="1"/>
      </w:tblPr>
      <w:tblGrid>
        <w:gridCol w:w="2490"/>
        <w:gridCol w:w="1825"/>
        <w:gridCol w:w="1800"/>
      </w:tblGrid>
      <w:tr w:rsidR="00F13024" w:rsidRPr="00F13024" w:rsidTr="00F13024">
        <w:trPr>
          <w:jc w:val="center"/>
        </w:trPr>
        <w:tc>
          <w:tcPr>
            <w:tcW w:w="2490" w:type="dxa"/>
          </w:tcPr>
          <w:p w:rsidR="00F13024" w:rsidRPr="00F13024" w:rsidRDefault="00F13024" w:rsidP="00F13024">
            <w:pPr>
              <w:pStyle w:val="TableColHead"/>
            </w:pPr>
            <w:r w:rsidRPr="00F13024">
              <w:t>Packet Type</w:t>
            </w:r>
          </w:p>
        </w:tc>
        <w:tc>
          <w:tcPr>
            <w:tcW w:w="1825" w:type="dxa"/>
            <w:vAlign w:val="center"/>
          </w:tcPr>
          <w:p w:rsidR="00F13024" w:rsidRPr="00F13024" w:rsidRDefault="00F13024" w:rsidP="00F13024">
            <w:pPr>
              <w:pStyle w:val="TableColHead"/>
              <w:jc w:val="center"/>
            </w:pPr>
            <w:r w:rsidRPr="00F13024">
              <w:t>Count</w:t>
            </w:r>
          </w:p>
        </w:tc>
        <w:tc>
          <w:tcPr>
            <w:tcW w:w="1800" w:type="dxa"/>
            <w:vAlign w:val="center"/>
          </w:tcPr>
          <w:p w:rsidR="00F13024" w:rsidRPr="00F13024" w:rsidRDefault="00F13024" w:rsidP="00F13024">
            <w:pPr>
              <w:pStyle w:val="TableColHead"/>
              <w:jc w:val="center"/>
            </w:pPr>
            <w:r w:rsidRPr="00F13024">
              <w:t>Percentage</w:t>
            </w:r>
          </w:p>
        </w:tc>
      </w:tr>
      <w:tr w:rsidR="00F13024" w:rsidRPr="00F13024" w:rsidTr="00F13024">
        <w:trPr>
          <w:jc w:val="center"/>
        </w:trPr>
        <w:tc>
          <w:tcPr>
            <w:tcW w:w="2490" w:type="dxa"/>
          </w:tcPr>
          <w:p w:rsidR="00F13024" w:rsidRPr="00F13024" w:rsidRDefault="00F13024" w:rsidP="00F13024">
            <w:pPr>
              <w:pStyle w:val="TableEntry"/>
            </w:pPr>
            <w:r w:rsidRPr="00F13024">
              <w:t>ICMPv6 – DIS</w:t>
            </w:r>
          </w:p>
        </w:tc>
        <w:tc>
          <w:tcPr>
            <w:tcW w:w="1825" w:type="dxa"/>
          </w:tcPr>
          <w:p w:rsidR="00F13024" w:rsidRPr="003355E1" w:rsidRDefault="00F13024" w:rsidP="00F13024">
            <w:pPr>
              <w:pStyle w:val="TableEntry"/>
              <w:jc w:val="center"/>
              <w:rPr>
                <w:highlight w:val="yellow"/>
              </w:rPr>
            </w:pPr>
            <w:r w:rsidRPr="003355E1">
              <w:rPr>
                <w:highlight w:val="yellow"/>
              </w:rPr>
              <w:t>456</w:t>
            </w:r>
          </w:p>
        </w:tc>
        <w:tc>
          <w:tcPr>
            <w:tcW w:w="1800" w:type="dxa"/>
            <w:vAlign w:val="center"/>
          </w:tcPr>
          <w:p w:rsidR="00F13024" w:rsidRPr="003355E1" w:rsidRDefault="00F13024" w:rsidP="00F13024">
            <w:pPr>
              <w:pStyle w:val="TableEntry"/>
              <w:jc w:val="center"/>
              <w:rPr>
                <w:highlight w:val="yellow"/>
              </w:rPr>
            </w:pPr>
            <w:r w:rsidRPr="003355E1">
              <w:rPr>
                <w:highlight w:val="yellow"/>
              </w:rPr>
              <w:t>3%</w:t>
            </w:r>
          </w:p>
        </w:tc>
      </w:tr>
      <w:tr w:rsidR="00F13024" w:rsidRPr="00F13024" w:rsidTr="00F13024">
        <w:trPr>
          <w:jc w:val="center"/>
        </w:trPr>
        <w:tc>
          <w:tcPr>
            <w:tcW w:w="2490" w:type="dxa"/>
          </w:tcPr>
          <w:p w:rsidR="00F13024" w:rsidRPr="00F13024" w:rsidRDefault="00F13024" w:rsidP="00F13024">
            <w:pPr>
              <w:pStyle w:val="TableEntry"/>
            </w:pPr>
            <w:r w:rsidRPr="00F13024">
              <w:t>ICMPv6 – DIO</w:t>
            </w:r>
          </w:p>
        </w:tc>
        <w:tc>
          <w:tcPr>
            <w:tcW w:w="1825" w:type="dxa"/>
          </w:tcPr>
          <w:p w:rsidR="00F13024" w:rsidRPr="003355E1" w:rsidRDefault="00F13024" w:rsidP="00F13024">
            <w:pPr>
              <w:pStyle w:val="TableEntry"/>
              <w:jc w:val="center"/>
              <w:rPr>
                <w:highlight w:val="yellow"/>
              </w:rPr>
            </w:pPr>
            <w:r w:rsidRPr="003355E1">
              <w:rPr>
                <w:highlight w:val="yellow"/>
              </w:rPr>
              <w:t>5,731</w:t>
            </w:r>
          </w:p>
        </w:tc>
        <w:tc>
          <w:tcPr>
            <w:tcW w:w="1800" w:type="dxa"/>
            <w:vAlign w:val="center"/>
          </w:tcPr>
          <w:p w:rsidR="00F13024" w:rsidRPr="003355E1" w:rsidRDefault="00F13024" w:rsidP="00F13024">
            <w:pPr>
              <w:pStyle w:val="TableEntry"/>
              <w:jc w:val="center"/>
              <w:rPr>
                <w:highlight w:val="yellow"/>
              </w:rPr>
            </w:pPr>
            <w:r w:rsidRPr="003355E1">
              <w:rPr>
                <w:highlight w:val="yellow"/>
              </w:rPr>
              <w:t>34%</w:t>
            </w:r>
          </w:p>
        </w:tc>
      </w:tr>
      <w:tr w:rsidR="00F13024" w:rsidRPr="00F13024" w:rsidTr="00F13024">
        <w:trPr>
          <w:jc w:val="center"/>
        </w:trPr>
        <w:tc>
          <w:tcPr>
            <w:tcW w:w="2490" w:type="dxa"/>
          </w:tcPr>
          <w:p w:rsidR="00F13024" w:rsidRPr="00F13024" w:rsidRDefault="00F13024" w:rsidP="00F13024">
            <w:pPr>
              <w:pStyle w:val="TableEntry"/>
            </w:pPr>
            <w:r w:rsidRPr="00F13024">
              <w:t>ICMPv6 – DAO</w:t>
            </w:r>
          </w:p>
        </w:tc>
        <w:tc>
          <w:tcPr>
            <w:tcW w:w="1825" w:type="dxa"/>
          </w:tcPr>
          <w:p w:rsidR="00F13024" w:rsidRPr="003355E1" w:rsidRDefault="00F13024" w:rsidP="00F13024">
            <w:pPr>
              <w:pStyle w:val="TableEntry"/>
              <w:jc w:val="center"/>
              <w:rPr>
                <w:highlight w:val="yellow"/>
              </w:rPr>
            </w:pPr>
            <w:r w:rsidRPr="003355E1">
              <w:rPr>
                <w:highlight w:val="yellow"/>
              </w:rPr>
              <w:t>8,291</w:t>
            </w:r>
          </w:p>
        </w:tc>
        <w:tc>
          <w:tcPr>
            <w:tcW w:w="1800" w:type="dxa"/>
            <w:vAlign w:val="center"/>
          </w:tcPr>
          <w:p w:rsidR="00F13024" w:rsidRPr="003355E1" w:rsidRDefault="00F13024" w:rsidP="00F13024">
            <w:pPr>
              <w:pStyle w:val="TableEntry"/>
              <w:jc w:val="center"/>
              <w:rPr>
                <w:highlight w:val="yellow"/>
              </w:rPr>
            </w:pPr>
            <w:r w:rsidRPr="003355E1">
              <w:rPr>
                <w:highlight w:val="yellow"/>
              </w:rPr>
              <w:t>50%</w:t>
            </w:r>
          </w:p>
        </w:tc>
      </w:tr>
      <w:tr w:rsidR="00F13024" w:rsidRPr="00F13024" w:rsidTr="00F13024">
        <w:trPr>
          <w:jc w:val="center"/>
        </w:trPr>
        <w:tc>
          <w:tcPr>
            <w:tcW w:w="2490" w:type="dxa"/>
          </w:tcPr>
          <w:p w:rsidR="00F13024" w:rsidRPr="00F13024" w:rsidRDefault="00F13024" w:rsidP="00F13024">
            <w:pPr>
              <w:pStyle w:val="TableEntry"/>
            </w:pPr>
            <w:r w:rsidRPr="00F13024">
              <w:t>ICMPv6 – DAO ACK</w:t>
            </w:r>
          </w:p>
        </w:tc>
        <w:tc>
          <w:tcPr>
            <w:tcW w:w="1825" w:type="dxa"/>
          </w:tcPr>
          <w:p w:rsidR="00F13024" w:rsidRPr="003355E1" w:rsidRDefault="00F13024" w:rsidP="00F13024">
            <w:pPr>
              <w:pStyle w:val="TableEntry"/>
              <w:jc w:val="center"/>
              <w:rPr>
                <w:highlight w:val="yellow"/>
              </w:rPr>
            </w:pPr>
            <w:r w:rsidRPr="003355E1">
              <w:rPr>
                <w:highlight w:val="yellow"/>
              </w:rPr>
              <w:t>566</w:t>
            </w:r>
          </w:p>
        </w:tc>
        <w:tc>
          <w:tcPr>
            <w:tcW w:w="1800" w:type="dxa"/>
            <w:vAlign w:val="center"/>
          </w:tcPr>
          <w:p w:rsidR="00F13024" w:rsidRPr="003355E1" w:rsidRDefault="00F13024" w:rsidP="00F13024">
            <w:pPr>
              <w:pStyle w:val="TableEntry"/>
              <w:jc w:val="center"/>
              <w:rPr>
                <w:highlight w:val="yellow"/>
              </w:rPr>
            </w:pPr>
            <w:r w:rsidRPr="003355E1">
              <w:rPr>
                <w:highlight w:val="yellow"/>
              </w:rPr>
              <w:t>3%</w:t>
            </w:r>
          </w:p>
        </w:tc>
      </w:tr>
      <w:tr w:rsidR="00F13024" w:rsidRPr="00F13024" w:rsidTr="00F13024">
        <w:trPr>
          <w:jc w:val="center"/>
        </w:trPr>
        <w:tc>
          <w:tcPr>
            <w:tcW w:w="2490" w:type="dxa"/>
          </w:tcPr>
          <w:p w:rsidR="00F13024" w:rsidRPr="00F13024" w:rsidRDefault="00F13024" w:rsidP="00F13024">
            <w:pPr>
              <w:pStyle w:val="TableEntry"/>
            </w:pPr>
            <w:r w:rsidRPr="00F13024">
              <w:t>UDP</w:t>
            </w:r>
          </w:p>
        </w:tc>
        <w:tc>
          <w:tcPr>
            <w:tcW w:w="1825" w:type="dxa"/>
          </w:tcPr>
          <w:p w:rsidR="00F13024" w:rsidRPr="003355E1" w:rsidRDefault="00F13024" w:rsidP="00F13024">
            <w:pPr>
              <w:pStyle w:val="TableEntry"/>
              <w:jc w:val="center"/>
              <w:rPr>
                <w:highlight w:val="yellow"/>
              </w:rPr>
            </w:pPr>
            <w:r w:rsidRPr="003355E1">
              <w:rPr>
                <w:highlight w:val="yellow"/>
              </w:rPr>
              <w:t>1,699</w:t>
            </w:r>
          </w:p>
        </w:tc>
        <w:tc>
          <w:tcPr>
            <w:tcW w:w="1800" w:type="dxa"/>
            <w:vAlign w:val="center"/>
          </w:tcPr>
          <w:p w:rsidR="00F13024" w:rsidRPr="003355E1" w:rsidRDefault="00F13024" w:rsidP="00F13024">
            <w:pPr>
              <w:pStyle w:val="TableEntry"/>
              <w:jc w:val="center"/>
              <w:rPr>
                <w:highlight w:val="yellow"/>
              </w:rPr>
            </w:pPr>
            <w:r w:rsidRPr="003355E1">
              <w:rPr>
                <w:highlight w:val="yellow"/>
              </w:rPr>
              <w:t>10%</w:t>
            </w:r>
          </w:p>
        </w:tc>
      </w:tr>
      <w:tr w:rsidR="00F13024" w:rsidRPr="00F13024" w:rsidTr="00F13024">
        <w:trPr>
          <w:jc w:val="center"/>
        </w:trPr>
        <w:tc>
          <w:tcPr>
            <w:tcW w:w="2490" w:type="dxa"/>
          </w:tcPr>
          <w:p w:rsidR="00F13024" w:rsidRPr="00F13024" w:rsidRDefault="00F13024" w:rsidP="00F13024">
            <w:pPr>
              <w:pStyle w:val="TableEntry"/>
              <w:keepNext w:val="0"/>
              <w:rPr>
                <w:b/>
                <w:bCs/>
              </w:rPr>
            </w:pPr>
            <w:r w:rsidRPr="00F13024">
              <w:rPr>
                <w:b/>
                <w:bCs/>
              </w:rPr>
              <w:t>Totals</w:t>
            </w:r>
          </w:p>
        </w:tc>
        <w:tc>
          <w:tcPr>
            <w:tcW w:w="1825" w:type="dxa"/>
            <w:vAlign w:val="center"/>
          </w:tcPr>
          <w:p w:rsidR="00F13024" w:rsidRPr="003355E1" w:rsidRDefault="00F13024" w:rsidP="00F13024">
            <w:pPr>
              <w:pStyle w:val="TableEntry"/>
              <w:keepNext w:val="0"/>
              <w:jc w:val="center"/>
              <w:rPr>
                <w:b/>
                <w:bCs/>
                <w:highlight w:val="yellow"/>
              </w:rPr>
            </w:pPr>
            <w:r w:rsidRPr="003355E1">
              <w:rPr>
                <w:b/>
                <w:bCs/>
                <w:highlight w:val="yellow"/>
              </w:rPr>
              <w:t>16,743</w:t>
            </w:r>
          </w:p>
        </w:tc>
        <w:tc>
          <w:tcPr>
            <w:tcW w:w="1800" w:type="dxa"/>
            <w:vAlign w:val="center"/>
          </w:tcPr>
          <w:p w:rsidR="00F13024" w:rsidRPr="003355E1" w:rsidRDefault="00F13024" w:rsidP="00F13024">
            <w:pPr>
              <w:pStyle w:val="TableEntry"/>
              <w:keepNext w:val="0"/>
              <w:jc w:val="center"/>
              <w:rPr>
                <w:b/>
                <w:bCs/>
                <w:highlight w:val="yellow"/>
              </w:rPr>
            </w:pPr>
            <w:r w:rsidRPr="003355E1">
              <w:rPr>
                <w:b/>
                <w:bCs/>
                <w:highlight w:val="yellow"/>
              </w:rPr>
              <w:fldChar w:fldCharType="begin"/>
            </w:r>
            <w:r w:rsidRPr="003355E1">
              <w:rPr>
                <w:b/>
                <w:bCs/>
                <w:highlight w:val="yellow"/>
              </w:rPr>
              <w:instrText xml:space="preserve"> =SUM(ABOVE)*100 \# "0.00%" </w:instrText>
            </w:r>
            <w:r w:rsidRPr="003355E1">
              <w:rPr>
                <w:b/>
                <w:bCs/>
                <w:highlight w:val="yellow"/>
              </w:rPr>
              <w:fldChar w:fldCharType="separate"/>
            </w:r>
            <w:r w:rsidR="00AA2760">
              <w:rPr>
                <w:b/>
                <w:bCs/>
                <w:noProof/>
                <w:highlight w:val="yellow"/>
              </w:rPr>
              <w:t>100.00</w:t>
            </w:r>
            <w:r w:rsidR="00AA2760" w:rsidRPr="003355E1">
              <w:rPr>
                <w:b/>
                <w:bCs/>
                <w:noProof/>
                <w:highlight w:val="yellow"/>
              </w:rPr>
              <w:t>%</w:t>
            </w:r>
            <w:r w:rsidRPr="003355E1">
              <w:rPr>
                <w:b/>
                <w:bCs/>
                <w:highlight w:val="yellow"/>
              </w:rPr>
              <w:fldChar w:fldCharType="end"/>
            </w:r>
          </w:p>
        </w:tc>
      </w:tr>
    </w:tbl>
    <w:p w:rsidR="00F13024" w:rsidRPr="00F13024" w:rsidRDefault="00F13024" w:rsidP="003355E1">
      <w:pPr>
        <w:pStyle w:val="Heading1"/>
      </w:pPr>
      <w:bookmarkStart w:id="90" w:name="_Toc162153380"/>
      <w:bookmarkStart w:id="91" w:name="_Toc162789995"/>
      <w:r w:rsidRPr="00F13024">
        <w:t>Collection of Traffic from Networks Subjected to Dual Attackers</w:t>
      </w:r>
      <w:bookmarkEnd w:id="90"/>
      <w:bookmarkEnd w:id="91"/>
    </w:p>
    <w:p w:rsidR="00F13024" w:rsidRPr="00F13024" w:rsidRDefault="00F13024" w:rsidP="003355E1">
      <w:r w:rsidRPr="00F13024">
        <w:t xml:space="preserve">A network may be infected by multiple attackers at the same time. Therefore, we created a category in the dataset to represent scenarios where the network is attacked by two attackers. </w:t>
      </w:r>
      <w:r w:rsidRPr="00F13024">
        <w:rPr>
          <w:rFonts w:asciiTheme="majorBidi" w:eastAsia="Calibri" w:hAnsiTheme="majorBidi" w:cstheme="majorBidi"/>
        </w:rPr>
        <w:t xml:space="preserve">It is highly unlikely that the two attacks will be launched simultaneously. Therefore, our simulations consider </w:t>
      </w:r>
      <w:r w:rsidRPr="00F13024">
        <w:t xml:space="preserve">that one of the nodes launches an attack at the 100 second mark, while the second node launches the attack 50 seconds later. </w:t>
      </w:r>
    </w:p>
    <w:p w:rsidR="003355E1" w:rsidRDefault="003355E1" w:rsidP="003355E1"/>
    <w:p w:rsidR="00F13024" w:rsidRPr="00F13024" w:rsidRDefault="00F13024" w:rsidP="003355E1">
      <w:r w:rsidRPr="00F13024">
        <w:t>The same network structures described in the previous two sections were subjected to two attackers to enable extracting the representative samples for the dataset.</w:t>
      </w:r>
    </w:p>
    <w:p w:rsidR="00F13024" w:rsidRPr="00F13024" w:rsidRDefault="00F13024" w:rsidP="003355E1">
      <w:pPr>
        <w:pStyle w:val="Heading2"/>
      </w:pPr>
      <w:bookmarkStart w:id="92" w:name="_Ref162105423"/>
      <w:bookmarkStart w:id="93" w:name="_Toc162153381"/>
      <w:bookmarkStart w:id="94" w:name="_Toc162789996"/>
      <w:r w:rsidRPr="00F13024">
        <w:t>Small Single-DODAG Network under a Dual Sinkhole Attack</w:t>
      </w:r>
      <w:bookmarkEnd w:id="92"/>
      <w:bookmarkEnd w:id="93"/>
      <w:bookmarkEnd w:id="94"/>
    </w:p>
    <w:p w:rsidR="00F13024" w:rsidRDefault="00F13024" w:rsidP="003355E1">
      <w:pPr>
        <w:rPr>
          <w:rFonts w:asciiTheme="majorBidi" w:eastAsia="Calibri" w:hAnsiTheme="majorBidi" w:cstheme="majorBidi"/>
        </w:rPr>
      </w:pPr>
      <w:r w:rsidRPr="00F13024">
        <w:t xml:space="preserve">The network of </w:t>
      </w:r>
      <w:r w:rsidR="003355E1">
        <w:fldChar w:fldCharType="begin"/>
      </w:r>
      <w:r w:rsidR="003355E1">
        <w:instrText xml:space="preserve"> REF _Ref150371877 \h </w:instrText>
      </w:r>
      <w:r w:rsidR="003355E1">
        <w:fldChar w:fldCharType="separate"/>
      </w:r>
      <w:r w:rsidR="00AA2760" w:rsidRPr="00DB2B3B">
        <w:t xml:space="preserve">Figure </w:t>
      </w:r>
      <w:r w:rsidR="00AA2760">
        <w:rPr>
          <w:noProof/>
        </w:rPr>
        <w:t>2</w:t>
      </w:r>
      <w:r w:rsidR="003355E1">
        <w:fldChar w:fldCharType="end"/>
      </w:r>
      <w:r w:rsidR="003355E1">
        <w:t xml:space="preserve"> </w:t>
      </w:r>
      <w:r w:rsidRPr="00F13024">
        <w:t xml:space="preserve">was recreated and simulated with two nodes launching sinkhole attacks. </w:t>
      </w:r>
      <w:r w:rsidRPr="00F13024">
        <w:rPr>
          <w:rFonts w:asciiTheme="majorBidi" w:eastAsia="Calibri" w:hAnsiTheme="majorBidi" w:cstheme="majorBidi"/>
        </w:rPr>
        <w:t xml:space="preserve">Rather than attempting an exhaustive simulation of all the possible combinations of two attacking nodes in a network of 12 nodes (132 combinations), we used the </w:t>
      </w:r>
      <w:r w:rsidR="00052853" w:rsidRPr="00052853">
        <w:rPr>
          <w:rFonts w:asciiTheme="majorBidi" w:eastAsia="Calibri" w:hAnsiTheme="majorBidi" w:cstheme="majorBidi"/>
          <w:i/>
          <w:iCs/>
        </w:rPr>
        <w:t>Sinkhole</w:t>
      </w:r>
      <w:r w:rsidR="00052853">
        <w:rPr>
          <w:rFonts w:asciiTheme="majorBidi" w:eastAsia="Calibri" w:hAnsiTheme="majorBidi" w:cstheme="majorBidi"/>
        </w:rPr>
        <w:t xml:space="preserve"> </w:t>
      </w:r>
      <w:r w:rsidRPr="00F13024">
        <w:rPr>
          <w:rFonts w:asciiTheme="majorBidi" w:eastAsia="Calibri" w:hAnsiTheme="majorBidi" w:cstheme="majorBidi"/>
          <w:i/>
          <w:iCs/>
        </w:rPr>
        <w:t xml:space="preserve">Attack </w:t>
      </w:r>
      <w:r w:rsidRPr="00F13024">
        <w:rPr>
          <w:rFonts w:asciiTheme="majorBidi" w:eastAsia="Calibri" w:hAnsiTheme="majorBidi" w:cstheme="majorBidi"/>
          <w:i/>
          <w:iCs/>
        </w:rPr>
        <w:lastRenderedPageBreak/>
        <w:t>Effect</w:t>
      </w:r>
      <w:r w:rsidRPr="00F13024">
        <w:rPr>
          <w:rFonts w:asciiTheme="majorBidi" w:eastAsia="Calibri" w:hAnsiTheme="majorBidi" w:cstheme="majorBidi"/>
        </w:rPr>
        <w:t xml:space="preserve"> measure to evaluate different scenarios involving two attackers at different location in the network to determine the combinations p</w:t>
      </w:r>
      <w:r w:rsidR="003355E1">
        <w:rPr>
          <w:rFonts w:asciiTheme="majorBidi" w:eastAsia="Calibri" w:hAnsiTheme="majorBidi" w:cstheme="majorBidi"/>
        </w:rPr>
        <w:t>roducing the worst-case effect.</w:t>
      </w:r>
    </w:p>
    <w:p w:rsidR="003355E1" w:rsidRPr="00F13024" w:rsidRDefault="003355E1" w:rsidP="003355E1">
      <w:pPr>
        <w:rPr>
          <w:rFonts w:asciiTheme="majorBidi" w:eastAsia="Calibri" w:hAnsiTheme="majorBidi" w:cstheme="majorBidi"/>
        </w:rPr>
      </w:pPr>
    </w:p>
    <w:p w:rsidR="00F13024" w:rsidRPr="00F13024" w:rsidRDefault="00F13024" w:rsidP="00052853">
      <w:r w:rsidRPr="00F13024">
        <w:rPr>
          <w:rFonts w:asciiTheme="majorBidi" w:eastAsia="Calibri" w:hAnsiTheme="majorBidi" w:cstheme="majorBidi"/>
        </w:rPr>
        <w:t xml:space="preserve">In the first step, an exhaustive analysis was conducted for the </w:t>
      </w:r>
      <w:r w:rsidR="00052853">
        <w:rPr>
          <w:rFonts w:asciiTheme="majorBidi" w:eastAsia="Calibri" w:hAnsiTheme="majorBidi" w:cstheme="majorBidi"/>
        </w:rPr>
        <w:t xml:space="preserve">sinkhole </w:t>
      </w:r>
      <w:r w:rsidRPr="00F13024">
        <w:rPr>
          <w:rFonts w:asciiTheme="majorBidi" w:eastAsia="Calibri" w:hAnsiTheme="majorBidi" w:cstheme="majorBidi"/>
        </w:rPr>
        <w:t xml:space="preserve">attack effect of a single attack at each of the nodes in the network (as documented in </w:t>
      </w:r>
      <w:r w:rsidRPr="00F13024">
        <w:rPr>
          <w:rFonts w:asciiTheme="majorBidi" w:eastAsia="Calibri" w:hAnsiTheme="majorBidi" w:cstheme="majorBidi"/>
        </w:rPr>
        <w:fldChar w:fldCharType="begin"/>
      </w:r>
      <w:r w:rsidRPr="00F13024">
        <w:rPr>
          <w:rFonts w:asciiTheme="majorBidi" w:eastAsia="Calibri" w:hAnsiTheme="majorBidi" w:cstheme="majorBidi"/>
        </w:rPr>
        <w:instrText xml:space="preserve"> REF _Ref158668327 \h  \* MERGEFORMAT </w:instrText>
      </w:r>
      <w:r w:rsidRPr="00F13024">
        <w:rPr>
          <w:rFonts w:asciiTheme="majorBidi" w:eastAsia="Calibri" w:hAnsiTheme="majorBidi" w:cstheme="majorBidi"/>
        </w:rPr>
      </w:r>
      <w:r w:rsidRPr="00F13024">
        <w:rPr>
          <w:rFonts w:asciiTheme="majorBidi" w:eastAsia="Calibri" w:hAnsiTheme="majorBidi" w:cstheme="majorBidi"/>
        </w:rPr>
        <w:fldChar w:fldCharType="separate"/>
      </w:r>
      <w:r w:rsidR="00AA2760" w:rsidRPr="00AA2760">
        <w:rPr>
          <w:rFonts w:asciiTheme="majorBidi" w:hAnsiTheme="majorBidi" w:cstheme="majorBidi"/>
        </w:rPr>
        <w:t xml:space="preserve">Table </w:t>
      </w:r>
      <w:r w:rsidR="00AA2760" w:rsidRPr="00AA2760">
        <w:rPr>
          <w:rFonts w:asciiTheme="majorBidi" w:hAnsiTheme="majorBidi" w:cstheme="majorBidi"/>
          <w:noProof/>
        </w:rPr>
        <w:t>9</w:t>
      </w:r>
      <w:r w:rsidRPr="00F13024">
        <w:rPr>
          <w:rFonts w:asciiTheme="majorBidi" w:eastAsia="Calibri" w:hAnsiTheme="majorBidi" w:cstheme="majorBidi"/>
        </w:rPr>
        <w:fldChar w:fldCharType="end"/>
      </w:r>
      <w:r w:rsidRPr="00F13024">
        <w:rPr>
          <w:rFonts w:asciiTheme="majorBidi" w:eastAsia="Calibri" w:hAnsiTheme="majorBidi" w:cstheme="majorBidi"/>
        </w:rPr>
        <w:t xml:space="preserve">). These scores were used to gauge the correlation between the topological level of the attacker and the effect of an attack from that level. </w:t>
      </w:r>
      <w:r w:rsidRPr="00F13024">
        <w:t>The results in the table show that an attack from level 1 would produce the worst effect due to the proximity to the root nodes.</w:t>
      </w:r>
    </w:p>
    <w:p w:rsidR="00F13024" w:rsidRPr="00F13024" w:rsidRDefault="00F13024" w:rsidP="00F13024">
      <w:pPr>
        <w:pStyle w:val="Caption-Table"/>
        <w:spacing w:line="276" w:lineRule="auto"/>
      </w:pPr>
      <w:bookmarkStart w:id="95" w:name="_Ref158668327"/>
      <w:bookmarkStart w:id="96" w:name="_Toc161655684"/>
      <w:bookmarkStart w:id="97" w:name="_Toc162790064"/>
      <w:r w:rsidRPr="00F13024">
        <w:t xml:space="preserve">Table </w:t>
      </w:r>
      <w:r w:rsidRPr="00F13024">
        <w:fldChar w:fldCharType="begin"/>
      </w:r>
      <w:r w:rsidRPr="00F13024">
        <w:instrText xml:space="preserve"> SEQ Table \* ARABIC </w:instrText>
      </w:r>
      <w:r w:rsidRPr="00F13024">
        <w:fldChar w:fldCharType="separate"/>
      </w:r>
      <w:r w:rsidR="00AA2760">
        <w:rPr>
          <w:noProof/>
        </w:rPr>
        <w:t>9</w:t>
      </w:r>
      <w:r w:rsidRPr="00F13024">
        <w:rPr>
          <w:noProof/>
        </w:rPr>
        <w:fldChar w:fldCharType="end"/>
      </w:r>
      <w:bookmarkEnd w:id="95"/>
      <w:r w:rsidRPr="00F13024">
        <w:t xml:space="preserve"> – Demonstration of Attack Effect on Network Traffic.</w:t>
      </w:r>
      <w:bookmarkEnd w:id="96"/>
      <w:bookmarkEnd w:id="97"/>
    </w:p>
    <w:tbl>
      <w:tblPr>
        <w:tblW w:w="8685" w:type="dxa"/>
        <w:jc w:val="center"/>
        <w:tblLook w:val="04A0" w:firstRow="1" w:lastRow="0" w:firstColumn="1" w:lastColumn="0" w:noHBand="0" w:noVBand="1"/>
      </w:tblPr>
      <w:tblGrid>
        <w:gridCol w:w="1217"/>
        <w:gridCol w:w="1050"/>
        <w:gridCol w:w="1666"/>
        <w:gridCol w:w="1816"/>
        <w:gridCol w:w="894"/>
        <w:gridCol w:w="1092"/>
        <w:gridCol w:w="950"/>
      </w:tblGrid>
      <w:tr w:rsidR="00F13024" w:rsidRPr="00F13024" w:rsidTr="00052853">
        <w:trPr>
          <w:trHeight w:val="293"/>
          <w:jc w:val="center"/>
        </w:trPr>
        <w:tc>
          <w:tcPr>
            <w:tcW w:w="12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Topological Level</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Malicious Node ID</w:t>
            </w:r>
          </w:p>
        </w:tc>
        <w:tc>
          <w:tcPr>
            <w:tcW w:w="3482" w:type="dxa"/>
            <w:gridSpan w:val="2"/>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Nodes</w:t>
            </w:r>
          </w:p>
        </w:tc>
        <w:tc>
          <w:tcPr>
            <w:tcW w:w="894" w:type="dxa"/>
            <w:vMerge w:val="restart"/>
            <w:tcBorders>
              <w:top w:val="single" w:sz="4" w:space="0" w:color="auto"/>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 of affected nodes</w:t>
            </w:r>
          </w:p>
        </w:tc>
        <w:tc>
          <w:tcPr>
            <w:tcW w:w="1092" w:type="dxa"/>
            <w:vMerge w:val="restart"/>
            <w:tcBorders>
              <w:top w:val="single" w:sz="4" w:space="0" w:color="auto"/>
              <w:left w:val="single" w:sz="4" w:space="0" w:color="auto"/>
              <w:right w:val="single" w:sz="4" w:space="0" w:color="auto"/>
            </w:tcBorders>
            <w:shd w:val="clear" w:color="auto" w:fill="auto"/>
            <w:vAlign w:val="center"/>
            <w:hideMark/>
          </w:tcPr>
          <w:p w:rsidR="00F13024" w:rsidRPr="00F13024" w:rsidRDefault="00052853" w:rsidP="00F13024">
            <w:pPr>
              <w:keepNext/>
              <w:keepLines/>
              <w:jc w:val="center"/>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lang w:val="en-AE"/>
              </w:rPr>
              <w:t>Sinkhole Attack Effect</w:t>
            </w:r>
          </w:p>
        </w:tc>
        <w:tc>
          <w:tcPr>
            <w:tcW w:w="950" w:type="dxa"/>
            <w:vMerge w:val="restart"/>
            <w:tcBorders>
              <w:top w:val="single" w:sz="4" w:space="0" w:color="auto"/>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rPr>
              <w:t>Level effect “Trend”</w:t>
            </w:r>
          </w:p>
        </w:tc>
      </w:tr>
      <w:tr w:rsidR="00F13024" w:rsidRPr="00F13024" w:rsidTr="00052853">
        <w:trPr>
          <w:trHeight w:val="293"/>
          <w:jc w:val="center"/>
        </w:trPr>
        <w:tc>
          <w:tcPr>
            <w:tcW w:w="1217" w:type="dxa"/>
            <w:vMerge/>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rPr>
            </w:pPr>
          </w:p>
        </w:tc>
        <w:tc>
          <w:tcPr>
            <w:tcW w:w="1050" w:type="dxa"/>
            <w:vMerge/>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rPr>
            </w:pPr>
          </w:p>
        </w:tc>
        <w:tc>
          <w:tcPr>
            <w:tcW w:w="166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Affected</w:t>
            </w:r>
          </w:p>
        </w:tc>
        <w:tc>
          <w:tcPr>
            <w:tcW w:w="181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rPr>
            </w:pPr>
            <w:r w:rsidRPr="00F13024">
              <w:rPr>
                <w:rFonts w:asciiTheme="majorBidi" w:eastAsia="Times New Roman" w:hAnsiTheme="majorBidi" w:cstheme="majorBidi"/>
                <w:b/>
                <w:bCs/>
                <w:color w:val="000000"/>
                <w:sz w:val="20"/>
                <w:szCs w:val="20"/>
                <w:lang w:val="en-AE"/>
              </w:rPr>
              <w:t>Not affected</w:t>
            </w:r>
          </w:p>
        </w:tc>
        <w:tc>
          <w:tcPr>
            <w:tcW w:w="894" w:type="dxa"/>
            <w:vMerge/>
            <w:tcBorders>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rPr>
            </w:pPr>
          </w:p>
        </w:tc>
        <w:tc>
          <w:tcPr>
            <w:tcW w:w="1092" w:type="dxa"/>
            <w:vMerge/>
            <w:tcBorders>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rPr>
            </w:pPr>
          </w:p>
        </w:tc>
        <w:tc>
          <w:tcPr>
            <w:tcW w:w="950" w:type="dxa"/>
            <w:vMerge/>
            <w:tcBorders>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rPr>
            </w:pPr>
          </w:p>
        </w:tc>
      </w:tr>
      <w:tr w:rsidR="00F13024" w:rsidRPr="00F13024" w:rsidTr="00052853">
        <w:trPr>
          <w:trHeight w:val="293"/>
          <w:jc w:val="center"/>
        </w:trPr>
        <w:tc>
          <w:tcPr>
            <w:tcW w:w="1217"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L1</w:t>
            </w:r>
          </w:p>
        </w:tc>
        <w:tc>
          <w:tcPr>
            <w:tcW w:w="1050"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w:t>
            </w:r>
          </w:p>
        </w:tc>
        <w:tc>
          <w:tcPr>
            <w:tcW w:w="166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6,8,10,5,8 ,11,13</w:t>
            </w:r>
          </w:p>
        </w:tc>
        <w:tc>
          <w:tcPr>
            <w:tcW w:w="181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4,12,3</w:t>
            </w:r>
          </w:p>
        </w:tc>
        <w:tc>
          <w:tcPr>
            <w:tcW w:w="894"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7</w:t>
            </w:r>
          </w:p>
        </w:tc>
        <w:tc>
          <w:tcPr>
            <w:tcW w:w="1092"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64%</w:t>
            </w:r>
          </w:p>
        </w:tc>
        <w:tc>
          <w:tcPr>
            <w:tcW w:w="95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61%</w:t>
            </w:r>
          </w:p>
        </w:tc>
      </w:tr>
      <w:tr w:rsidR="00F13024" w:rsidRPr="00F13024" w:rsidTr="00052853">
        <w:trPr>
          <w:trHeight w:val="293"/>
          <w:jc w:val="center"/>
        </w:trPr>
        <w:tc>
          <w:tcPr>
            <w:tcW w:w="1217" w:type="dxa"/>
            <w:vMerge/>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c>
          <w:tcPr>
            <w:tcW w:w="1050"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3</w:t>
            </w:r>
          </w:p>
        </w:tc>
        <w:tc>
          <w:tcPr>
            <w:tcW w:w="166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6,8,5,7,11,13</w:t>
            </w:r>
          </w:p>
        </w:tc>
        <w:tc>
          <w:tcPr>
            <w:tcW w:w="181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2,4,10,12,9</w:t>
            </w:r>
          </w:p>
        </w:tc>
        <w:tc>
          <w:tcPr>
            <w:tcW w:w="894"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6</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55%</w:t>
            </w:r>
          </w:p>
        </w:tc>
        <w:tc>
          <w:tcPr>
            <w:tcW w:w="9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r>
      <w:tr w:rsidR="00F13024" w:rsidRPr="00F13024" w:rsidTr="00052853">
        <w:trPr>
          <w:trHeight w:val="293"/>
          <w:jc w:val="center"/>
        </w:trPr>
        <w:tc>
          <w:tcPr>
            <w:tcW w:w="1217" w:type="dxa"/>
            <w:vMerge/>
            <w:tcBorders>
              <w:top w:val="nil"/>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c>
          <w:tcPr>
            <w:tcW w:w="1050"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4</w:t>
            </w:r>
          </w:p>
        </w:tc>
        <w:tc>
          <w:tcPr>
            <w:tcW w:w="166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8,10,12,5,7,9,13</w:t>
            </w:r>
          </w:p>
        </w:tc>
        <w:tc>
          <w:tcPr>
            <w:tcW w:w="181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2,3,6,11</w:t>
            </w:r>
          </w:p>
        </w:tc>
        <w:tc>
          <w:tcPr>
            <w:tcW w:w="894"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7</w:t>
            </w:r>
          </w:p>
        </w:tc>
        <w:tc>
          <w:tcPr>
            <w:tcW w:w="1092"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64%</w:t>
            </w:r>
          </w:p>
        </w:tc>
        <w:tc>
          <w:tcPr>
            <w:tcW w:w="950" w:type="dxa"/>
            <w:vMerge/>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r>
      <w:tr w:rsidR="00F13024" w:rsidRPr="00F13024" w:rsidTr="00052853">
        <w:trPr>
          <w:trHeight w:val="293"/>
          <w:jc w:val="center"/>
        </w:trPr>
        <w:tc>
          <w:tcPr>
            <w:tcW w:w="1217" w:type="dxa"/>
            <w:vMerge w:val="restart"/>
            <w:tcBorders>
              <w:top w:val="single" w:sz="12" w:space="0" w:color="auto"/>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L2</w:t>
            </w:r>
          </w:p>
        </w:tc>
        <w:tc>
          <w:tcPr>
            <w:tcW w:w="1050"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6</w:t>
            </w:r>
          </w:p>
        </w:tc>
        <w:tc>
          <w:tcPr>
            <w:tcW w:w="166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8,10,5,13</w:t>
            </w:r>
          </w:p>
        </w:tc>
        <w:tc>
          <w:tcPr>
            <w:tcW w:w="181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2,3,4,12,7,9,11</w:t>
            </w:r>
          </w:p>
        </w:tc>
        <w:tc>
          <w:tcPr>
            <w:tcW w:w="894"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4</w:t>
            </w:r>
          </w:p>
        </w:tc>
        <w:tc>
          <w:tcPr>
            <w:tcW w:w="1092"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36%</w:t>
            </w:r>
          </w:p>
        </w:tc>
        <w:tc>
          <w:tcPr>
            <w:tcW w:w="950" w:type="dxa"/>
            <w:vMerge w:val="restart"/>
            <w:tcBorders>
              <w:top w:val="single" w:sz="12" w:space="0" w:color="auto"/>
              <w:left w:val="single" w:sz="4" w:space="0" w:color="auto"/>
              <w:right w:val="single" w:sz="4" w:space="0" w:color="auto"/>
            </w:tcBorders>
            <w:shd w:val="clear" w:color="auto" w:fill="auto"/>
            <w:noWrap/>
            <w:vAlign w:val="center"/>
            <w:hideMark/>
          </w:tcPr>
          <w:p w:rsidR="00F13024" w:rsidRPr="00F13024" w:rsidRDefault="00F13024" w:rsidP="00F13024">
            <w:pPr>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38%</w:t>
            </w:r>
          </w:p>
        </w:tc>
      </w:tr>
      <w:tr w:rsidR="00F13024" w:rsidRPr="00F13024" w:rsidTr="00052853">
        <w:trPr>
          <w:trHeight w:val="293"/>
          <w:jc w:val="center"/>
        </w:trPr>
        <w:tc>
          <w:tcPr>
            <w:tcW w:w="1217"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p>
        </w:tc>
        <w:tc>
          <w:tcPr>
            <w:tcW w:w="1050"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8</w:t>
            </w:r>
          </w:p>
        </w:tc>
        <w:tc>
          <w:tcPr>
            <w:tcW w:w="166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5,7,9,11,13</w:t>
            </w:r>
          </w:p>
        </w:tc>
        <w:tc>
          <w:tcPr>
            <w:tcW w:w="181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2,3,4,6,10,12</w:t>
            </w:r>
          </w:p>
        </w:tc>
        <w:tc>
          <w:tcPr>
            <w:tcW w:w="894"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5</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45%</w:t>
            </w:r>
          </w:p>
        </w:tc>
        <w:tc>
          <w:tcPr>
            <w:tcW w:w="950"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p>
        </w:tc>
      </w:tr>
      <w:tr w:rsidR="00F13024" w:rsidRPr="00F13024" w:rsidTr="00052853">
        <w:trPr>
          <w:trHeight w:val="293"/>
          <w:jc w:val="center"/>
        </w:trPr>
        <w:tc>
          <w:tcPr>
            <w:tcW w:w="1217"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p>
        </w:tc>
        <w:tc>
          <w:tcPr>
            <w:tcW w:w="1050"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9</w:t>
            </w:r>
          </w:p>
        </w:tc>
        <w:tc>
          <w:tcPr>
            <w:tcW w:w="1666"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12,7,13</w:t>
            </w:r>
          </w:p>
        </w:tc>
        <w:tc>
          <w:tcPr>
            <w:tcW w:w="1816"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2,3,4,5,6,8,10,11</w:t>
            </w:r>
          </w:p>
        </w:tc>
        <w:tc>
          <w:tcPr>
            <w:tcW w:w="894"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3</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27%</w:t>
            </w:r>
          </w:p>
        </w:tc>
        <w:tc>
          <w:tcPr>
            <w:tcW w:w="950"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p>
        </w:tc>
      </w:tr>
      <w:tr w:rsidR="00F13024" w:rsidRPr="00F13024" w:rsidTr="00052853">
        <w:trPr>
          <w:trHeight w:val="293"/>
          <w:jc w:val="center"/>
        </w:trPr>
        <w:tc>
          <w:tcPr>
            <w:tcW w:w="1217"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p>
        </w:tc>
        <w:tc>
          <w:tcPr>
            <w:tcW w:w="1050"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10</w:t>
            </w:r>
          </w:p>
        </w:tc>
        <w:tc>
          <w:tcPr>
            <w:tcW w:w="1666"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6,8 ,5,11</w:t>
            </w:r>
          </w:p>
        </w:tc>
        <w:tc>
          <w:tcPr>
            <w:tcW w:w="1816"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2,3,4,7,9,12,13</w:t>
            </w:r>
          </w:p>
        </w:tc>
        <w:tc>
          <w:tcPr>
            <w:tcW w:w="894" w:type="dxa"/>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4</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36%</w:t>
            </w:r>
          </w:p>
        </w:tc>
        <w:tc>
          <w:tcPr>
            <w:tcW w:w="950" w:type="dxa"/>
            <w:vMerge/>
            <w:tcBorders>
              <w:left w:val="single" w:sz="4" w:space="0" w:color="auto"/>
              <w:right w:val="single" w:sz="4" w:space="0" w:color="auto"/>
            </w:tcBorders>
            <w:shd w:val="clear" w:color="auto" w:fill="auto"/>
            <w:noWrap/>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p>
        </w:tc>
      </w:tr>
      <w:tr w:rsidR="00F13024" w:rsidRPr="00F13024" w:rsidTr="00052853">
        <w:trPr>
          <w:trHeight w:val="293"/>
          <w:jc w:val="center"/>
        </w:trPr>
        <w:tc>
          <w:tcPr>
            <w:tcW w:w="1217"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c>
          <w:tcPr>
            <w:tcW w:w="1050"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11</w:t>
            </w:r>
          </w:p>
        </w:tc>
        <w:tc>
          <w:tcPr>
            <w:tcW w:w="166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6,5,7</w:t>
            </w:r>
          </w:p>
        </w:tc>
        <w:tc>
          <w:tcPr>
            <w:tcW w:w="181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2,3,4,8,10,12,9 ,13</w:t>
            </w:r>
          </w:p>
        </w:tc>
        <w:tc>
          <w:tcPr>
            <w:tcW w:w="894"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3</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27%</w:t>
            </w:r>
          </w:p>
        </w:tc>
        <w:tc>
          <w:tcPr>
            <w:tcW w:w="950" w:type="dxa"/>
            <w:vMerge/>
            <w:tcBorders>
              <w:left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p>
        </w:tc>
      </w:tr>
      <w:tr w:rsidR="00F13024" w:rsidRPr="00F13024" w:rsidTr="00052853">
        <w:trPr>
          <w:trHeight w:val="293"/>
          <w:jc w:val="center"/>
        </w:trPr>
        <w:tc>
          <w:tcPr>
            <w:tcW w:w="1217" w:type="dxa"/>
            <w:vMerge/>
            <w:tcBorders>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c>
          <w:tcPr>
            <w:tcW w:w="1050"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12</w:t>
            </w:r>
          </w:p>
        </w:tc>
        <w:tc>
          <w:tcPr>
            <w:tcW w:w="166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8,10,5,7,9,13</w:t>
            </w:r>
          </w:p>
        </w:tc>
        <w:tc>
          <w:tcPr>
            <w:tcW w:w="1816"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2,3,4,6,11</w:t>
            </w:r>
          </w:p>
        </w:tc>
        <w:tc>
          <w:tcPr>
            <w:tcW w:w="894"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lang w:val="en-AE"/>
              </w:rPr>
              <w:t>6</w:t>
            </w:r>
          </w:p>
        </w:tc>
        <w:tc>
          <w:tcPr>
            <w:tcW w:w="1092"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sz w:val="20"/>
                <w:szCs w:val="20"/>
              </w:rPr>
            </w:pPr>
            <w:r w:rsidRPr="00F13024">
              <w:rPr>
                <w:rFonts w:asciiTheme="majorBidi" w:eastAsia="Times New Roman" w:hAnsiTheme="majorBidi" w:cstheme="majorBidi"/>
                <w:sz w:val="20"/>
                <w:szCs w:val="20"/>
              </w:rPr>
              <w:t>55%</w:t>
            </w:r>
          </w:p>
        </w:tc>
        <w:tc>
          <w:tcPr>
            <w:tcW w:w="950" w:type="dxa"/>
            <w:vMerge/>
            <w:tcBorders>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0"/>
                <w:szCs w:val="20"/>
              </w:rPr>
            </w:pPr>
          </w:p>
        </w:tc>
      </w:tr>
      <w:tr w:rsidR="00F13024" w:rsidRPr="00F13024" w:rsidTr="00052853">
        <w:trPr>
          <w:trHeight w:val="358"/>
          <w:jc w:val="center"/>
        </w:trPr>
        <w:tc>
          <w:tcPr>
            <w:tcW w:w="1217"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L3</w:t>
            </w:r>
          </w:p>
        </w:tc>
        <w:tc>
          <w:tcPr>
            <w:tcW w:w="1050"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5</w:t>
            </w:r>
          </w:p>
        </w:tc>
        <w:tc>
          <w:tcPr>
            <w:tcW w:w="166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7,12</w:t>
            </w:r>
          </w:p>
        </w:tc>
        <w:tc>
          <w:tcPr>
            <w:tcW w:w="1816"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 xml:space="preserve">2,3,4,6,8,10,9,11,13 </w:t>
            </w:r>
          </w:p>
        </w:tc>
        <w:tc>
          <w:tcPr>
            <w:tcW w:w="894"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w:t>
            </w:r>
          </w:p>
        </w:tc>
        <w:tc>
          <w:tcPr>
            <w:tcW w:w="1092"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18%</w:t>
            </w:r>
          </w:p>
        </w:tc>
        <w:tc>
          <w:tcPr>
            <w:tcW w:w="95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45%</w:t>
            </w:r>
          </w:p>
        </w:tc>
      </w:tr>
      <w:tr w:rsidR="00F13024" w:rsidRPr="00F13024" w:rsidTr="00052853">
        <w:trPr>
          <w:trHeight w:val="293"/>
          <w:jc w:val="center"/>
        </w:trPr>
        <w:tc>
          <w:tcPr>
            <w:tcW w:w="1217" w:type="dxa"/>
            <w:vMerge/>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c>
          <w:tcPr>
            <w:tcW w:w="1050"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7</w:t>
            </w:r>
          </w:p>
        </w:tc>
        <w:tc>
          <w:tcPr>
            <w:tcW w:w="166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8,10,12,5,13</w:t>
            </w:r>
          </w:p>
        </w:tc>
        <w:tc>
          <w:tcPr>
            <w:tcW w:w="181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2,3,4,6,9,11</w:t>
            </w:r>
          </w:p>
        </w:tc>
        <w:tc>
          <w:tcPr>
            <w:tcW w:w="894"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5</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45%</w:t>
            </w:r>
          </w:p>
        </w:tc>
        <w:tc>
          <w:tcPr>
            <w:tcW w:w="9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rPr>
            </w:pPr>
          </w:p>
        </w:tc>
      </w:tr>
      <w:tr w:rsidR="00F13024" w:rsidRPr="00F13024" w:rsidTr="00052853">
        <w:trPr>
          <w:trHeight w:val="293"/>
          <w:jc w:val="center"/>
        </w:trPr>
        <w:tc>
          <w:tcPr>
            <w:tcW w:w="1217" w:type="dxa"/>
            <w:vMerge/>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rPr>
            </w:pPr>
          </w:p>
        </w:tc>
        <w:tc>
          <w:tcPr>
            <w:tcW w:w="1050"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13</w:t>
            </w:r>
          </w:p>
        </w:tc>
        <w:tc>
          <w:tcPr>
            <w:tcW w:w="166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8,12,5,7,9</w:t>
            </w:r>
          </w:p>
        </w:tc>
        <w:tc>
          <w:tcPr>
            <w:tcW w:w="1816"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2,3,4,6,10,11</w:t>
            </w:r>
          </w:p>
        </w:tc>
        <w:tc>
          <w:tcPr>
            <w:tcW w:w="894"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lang w:val="en-AE"/>
              </w:rPr>
              <w:t>5</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rPr>
            </w:pPr>
            <w:r w:rsidRPr="00F13024">
              <w:rPr>
                <w:rFonts w:asciiTheme="majorBidi" w:eastAsia="Times New Roman" w:hAnsiTheme="majorBidi" w:cstheme="majorBidi"/>
                <w:color w:val="000000"/>
                <w:sz w:val="20"/>
                <w:szCs w:val="20"/>
              </w:rPr>
              <w:t>45%</w:t>
            </w:r>
          </w:p>
        </w:tc>
        <w:tc>
          <w:tcPr>
            <w:tcW w:w="9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rPr>
            </w:pPr>
          </w:p>
        </w:tc>
      </w:tr>
    </w:tbl>
    <w:p w:rsidR="00F13024" w:rsidRPr="00F13024" w:rsidRDefault="00F13024" w:rsidP="00F13024">
      <w:pPr>
        <w:pStyle w:val="BodyText"/>
        <w:ind w:firstLine="0"/>
        <w:rPr>
          <w:rFonts w:asciiTheme="majorBidi" w:eastAsia="Calibri" w:hAnsiTheme="majorBidi" w:cstheme="majorBidi"/>
        </w:rPr>
      </w:pPr>
    </w:p>
    <w:p w:rsidR="00F13024" w:rsidRPr="00F13024" w:rsidRDefault="00F13024" w:rsidP="00052853">
      <w:pPr>
        <w:pStyle w:val="BodyText"/>
        <w:ind w:firstLine="0"/>
      </w:pPr>
      <w:r w:rsidRPr="00F13024">
        <w:rPr>
          <w:rFonts w:asciiTheme="majorBidi" w:eastAsia="Calibri" w:hAnsiTheme="majorBidi" w:cstheme="majorBidi"/>
        </w:rPr>
        <w:t>It was noticed that the attack effect dropped significantly when the attacking node was in level 2 compared to when it was in level 1. On the other hand, the attack effect increase</w:t>
      </w:r>
      <w:r w:rsidR="00052853">
        <w:rPr>
          <w:rFonts w:asciiTheme="majorBidi" w:eastAsia="Calibri" w:hAnsiTheme="majorBidi" w:cstheme="majorBidi"/>
        </w:rPr>
        <w:t>d</w:t>
      </w:r>
      <w:r w:rsidRPr="00F13024">
        <w:rPr>
          <w:rFonts w:asciiTheme="majorBidi" w:eastAsia="Calibri" w:hAnsiTheme="majorBidi" w:cstheme="majorBidi"/>
        </w:rPr>
        <w:t xml:space="preserve"> with the increase in the topological level of the attacker. This can be attributed to the fact that nodes in level 1 will be little affected by an attacker at a more distant level, and will maintain their parent selection integrity. </w:t>
      </w:r>
      <w:r w:rsidRPr="00F13024">
        <w:t>Consequently, nodes at level 1 remain unharmed if the attacker is positioned at, for instance, level 2. However, as we move to levels further from the root, nodes positioned beyond the transmission range of the root become more susceptible to the influence of the attacker.</w:t>
      </w:r>
    </w:p>
    <w:p w:rsidR="00052853" w:rsidRDefault="00052853" w:rsidP="00052853">
      <w:pPr>
        <w:pStyle w:val="BodyText"/>
        <w:ind w:firstLine="0"/>
      </w:pPr>
    </w:p>
    <w:p w:rsidR="00F13024" w:rsidRPr="00F13024" w:rsidRDefault="00F13024" w:rsidP="00052853">
      <w:pPr>
        <w:pStyle w:val="BodyText"/>
        <w:ind w:firstLine="0"/>
        <w:rPr>
          <w:strike/>
        </w:rPr>
      </w:pPr>
      <w:r w:rsidRPr="00F13024">
        <w:t>Based on these evaluations, it is determined that having two attackers in level 1 of the DODAG would be totally catastrophic to the network and would not offer any insight on the behavior of the IDS under the attack scenario. Therefore, this combination was not included in favor of more interesting and challenging combinations.</w:t>
      </w:r>
    </w:p>
    <w:p w:rsidR="00052853" w:rsidRDefault="00052853" w:rsidP="00052853">
      <w:pPr>
        <w:pStyle w:val="BodyText"/>
        <w:ind w:firstLine="0"/>
      </w:pPr>
    </w:p>
    <w:p w:rsidR="00F13024" w:rsidRPr="00F13024" w:rsidRDefault="00F13024" w:rsidP="00052853">
      <w:pPr>
        <w:pStyle w:val="BodyText"/>
        <w:ind w:firstLine="0"/>
      </w:pPr>
      <w:r w:rsidRPr="00F13024">
        <w:t xml:space="preserve">On the other hand, </w:t>
      </w:r>
      <w:r w:rsidRPr="00F13024">
        <w:fldChar w:fldCharType="begin"/>
      </w:r>
      <w:r w:rsidRPr="00F13024">
        <w:instrText xml:space="preserve"> REF _Ref155282883 \h  \* MERGEFORMAT </w:instrText>
      </w:r>
      <w:r w:rsidRPr="00F13024">
        <w:fldChar w:fldCharType="separate"/>
      </w:r>
      <w:r w:rsidR="00AA2760" w:rsidRPr="00F13024">
        <w:t xml:space="preserve">Table </w:t>
      </w:r>
      <w:r w:rsidR="00AA2760">
        <w:rPr>
          <w:noProof/>
        </w:rPr>
        <w:t>10</w:t>
      </w:r>
      <w:r w:rsidRPr="00F13024">
        <w:fldChar w:fldCharType="end"/>
      </w:r>
      <w:r w:rsidRPr="00F13024">
        <w:t xml:space="preserve"> demonstrates that certain combinations of attack locations produced significant combined </w:t>
      </w:r>
      <w:r w:rsidR="00052853">
        <w:t xml:space="preserve">sinkhole </w:t>
      </w:r>
      <w:r w:rsidRPr="00F13024">
        <w:t xml:space="preserve">attack effect scenarios. Therefore, based on these considerations, we decided that we would </w:t>
      </w:r>
      <w:r w:rsidR="00052853">
        <w:t xml:space="preserve">include </w:t>
      </w:r>
      <w:r w:rsidRPr="00F13024">
        <w:t>only the following representative combinations in the UOS_IOTSH_2024 Dataset:</w:t>
      </w:r>
    </w:p>
    <w:p w:rsidR="00F13024" w:rsidRPr="00F13024" w:rsidRDefault="00F13024" w:rsidP="00F13024">
      <w:pPr>
        <w:pStyle w:val="BodyText"/>
        <w:numPr>
          <w:ilvl w:val="0"/>
          <w:numId w:val="12"/>
        </w:numPr>
      </w:pPr>
      <w:r w:rsidRPr="00F13024">
        <w:t>One attacker at L2 and another attacker at L3: Node 8 and Node 2</w:t>
      </w:r>
    </w:p>
    <w:p w:rsidR="00F13024" w:rsidRPr="00F13024" w:rsidRDefault="00F13024" w:rsidP="00F13024">
      <w:pPr>
        <w:pStyle w:val="BodyText"/>
        <w:numPr>
          <w:ilvl w:val="0"/>
          <w:numId w:val="12"/>
        </w:numPr>
      </w:pPr>
      <w:r w:rsidRPr="00F13024">
        <w:lastRenderedPageBreak/>
        <w:t>One attacker at L2 and another attacker at L3: Node 11 and Node 12</w:t>
      </w:r>
    </w:p>
    <w:p w:rsidR="00F13024" w:rsidRPr="00F13024" w:rsidRDefault="00F13024" w:rsidP="00F13024">
      <w:pPr>
        <w:pStyle w:val="BodyText"/>
        <w:numPr>
          <w:ilvl w:val="0"/>
          <w:numId w:val="12"/>
        </w:numPr>
      </w:pPr>
      <w:r w:rsidRPr="00F13024">
        <w:t>One attacker at L2 and another attacker at L4: Node 5 and Node 9</w:t>
      </w:r>
    </w:p>
    <w:p w:rsidR="00F13024" w:rsidRPr="00F13024" w:rsidRDefault="00F13024" w:rsidP="00F13024">
      <w:pPr>
        <w:pStyle w:val="BodyText"/>
        <w:numPr>
          <w:ilvl w:val="0"/>
          <w:numId w:val="12"/>
        </w:numPr>
      </w:pPr>
      <w:r w:rsidRPr="00F13024">
        <w:t>One attacker at L3 and another attacker at L4: Node 5 and Node 12</w:t>
      </w:r>
    </w:p>
    <w:p w:rsidR="00052853" w:rsidRDefault="00052853" w:rsidP="00052853"/>
    <w:p w:rsidR="00F13024" w:rsidRPr="00F13024" w:rsidRDefault="00F13024" w:rsidP="00052853">
      <w:pPr>
        <w:rPr>
          <w:color w:val="FF0000"/>
        </w:rPr>
      </w:pPr>
      <w:r w:rsidRPr="00F13024">
        <w:t xml:space="preserve">Simulations were carried out for these scenarios and the network traffic was collected in a manner similar to what was discussed in earlier steps. Four instances were added to the dataset to represent these four scenarios. </w:t>
      </w:r>
      <w:r w:rsidR="00052853" w:rsidRPr="00F13024">
        <w:t xml:space="preserve">The distribution of </w:t>
      </w:r>
      <w:r w:rsidR="00052853">
        <w:t xml:space="preserve">the collected </w:t>
      </w:r>
      <w:r w:rsidR="00052853" w:rsidRPr="00F13024">
        <w:t xml:space="preserve">samples </w:t>
      </w:r>
      <w:r w:rsidR="00052853">
        <w:t xml:space="preserve">for these scenarios </w:t>
      </w:r>
      <w:r w:rsidR="00052853" w:rsidRPr="00F13024">
        <w:t xml:space="preserve">is shown in </w:t>
      </w:r>
      <w:r w:rsidR="00052853" w:rsidRPr="00F13024">
        <w:fldChar w:fldCharType="begin"/>
      </w:r>
      <w:r w:rsidR="00052853" w:rsidRPr="00F13024">
        <w:instrText xml:space="preserve"> REF _Ref160541681 \h  \* MERGEFORMAT </w:instrText>
      </w:r>
      <w:r w:rsidR="00052853" w:rsidRPr="00F13024">
        <w:fldChar w:fldCharType="separate"/>
      </w:r>
      <w:r w:rsidR="00AA2760" w:rsidRPr="00F13024">
        <w:t xml:space="preserve">Table </w:t>
      </w:r>
      <w:r w:rsidR="00AA2760">
        <w:rPr>
          <w:noProof/>
        </w:rPr>
        <w:t>11</w:t>
      </w:r>
      <w:r w:rsidR="00052853" w:rsidRPr="00F13024">
        <w:fldChar w:fldCharType="end"/>
      </w:r>
      <w:r w:rsidR="00052853" w:rsidRPr="00F13024">
        <w:t>.</w:t>
      </w:r>
      <w:r w:rsidRPr="00F13024">
        <w:t xml:space="preserve"> </w:t>
      </w:r>
      <w:r w:rsidR="00052853">
        <w:t>The values in the table show the counts for one representative instance out of the 4 instances.</w:t>
      </w:r>
    </w:p>
    <w:p w:rsidR="00F13024" w:rsidRPr="00F13024" w:rsidRDefault="00F13024" w:rsidP="00F13024">
      <w:pPr>
        <w:pStyle w:val="Caption-Table"/>
        <w:spacing w:line="276" w:lineRule="auto"/>
      </w:pPr>
      <w:bookmarkStart w:id="98" w:name="_Ref155282883"/>
      <w:bookmarkStart w:id="99" w:name="_Toc161655685"/>
      <w:bookmarkStart w:id="100" w:name="_Toc162790065"/>
      <w:r w:rsidRPr="00F13024">
        <w:t xml:space="preserve">Table </w:t>
      </w:r>
      <w:r w:rsidRPr="00F13024">
        <w:fldChar w:fldCharType="begin"/>
      </w:r>
      <w:r w:rsidRPr="00F13024">
        <w:instrText xml:space="preserve"> SEQ Table \* ARABIC </w:instrText>
      </w:r>
      <w:r w:rsidRPr="00F13024">
        <w:fldChar w:fldCharType="separate"/>
      </w:r>
      <w:r w:rsidR="00AA2760">
        <w:rPr>
          <w:noProof/>
        </w:rPr>
        <w:t>10</w:t>
      </w:r>
      <w:r w:rsidRPr="00F13024">
        <w:rPr>
          <w:noProof/>
        </w:rPr>
        <w:fldChar w:fldCharType="end"/>
      </w:r>
      <w:bookmarkEnd w:id="98"/>
      <w:r w:rsidRPr="00F13024">
        <w:rPr>
          <w:noProof/>
        </w:rPr>
        <w:t xml:space="preserve"> – Samples of </w:t>
      </w:r>
      <w:r w:rsidR="00052853">
        <w:rPr>
          <w:noProof/>
        </w:rPr>
        <w:t xml:space="preserve">Sinkhole </w:t>
      </w:r>
      <w:r w:rsidRPr="00F13024">
        <w:t>Attack Effect in Dual-Attacker Scenario</w:t>
      </w:r>
      <w:bookmarkEnd w:id="99"/>
      <w:bookmarkEnd w:id="100"/>
    </w:p>
    <w:tbl>
      <w:tblPr>
        <w:tblW w:w="8918" w:type="dxa"/>
        <w:tblLook w:val="04A0" w:firstRow="1" w:lastRow="0" w:firstColumn="1" w:lastColumn="0" w:noHBand="0" w:noVBand="1"/>
      </w:tblPr>
      <w:tblGrid>
        <w:gridCol w:w="1856"/>
        <w:gridCol w:w="1688"/>
        <w:gridCol w:w="1671"/>
        <w:gridCol w:w="1801"/>
        <w:gridCol w:w="900"/>
        <w:gridCol w:w="1002"/>
      </w:tblGrid>
      <w:tr w:rsidR="00F13024" w:rsidRPr="00F13024" w:rsidTr="00052853">
        <w:trPr>
          <w:trHeight w:val="265"/>
        </w:trPr>
        <w:tc>
          <w:tcPr>
            <w:tcW w:w="18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Level</w:t>
            </w:r>
          </w:p>
        </w:tc>
        <w:tc>
          <w:tcPr>
            <w:tcW w:w="16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Compromised Node ID</w:t>
            </w:r>
          </w:p>
        </w:tc>
        <w:tc>
          <w:tcPr>
            <w:tcW w:w="3472" w:type="dxa"/>
            <w:gridSpan w:val="2"/>
            <w:tcBorders>
              <w:top w:val="single" w:sz="4"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Nodes</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 of affected nodes</w:t>
            </w:r>
          </w:p>
        </w:tc>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052853" w:rsidP="00F13024">
            <w:pPr>
              <w:keepNext/>
              <w:keepLines/>
              <w:jc w:val="center"/>
              <w:rPr>
                <w:rFonts w:asciiTheme="majorBidi" w:eastAsia="Times New Roman" w:hAnsiTheme="majorBidi" w:cstheme="majorBidi"/>
                <w:b/>
                <w:bCs/>
                <w:color w:val="000000"/>
                <w:sz w:val="20"/>
                <w:szCs w:val="20"/>
                <w:lang w:val="en-AE" w:eastAsia="en-AE"/>
              </w:rPr>
            </w:pPr>
            <w:r>
              <w:rPr>
                <w:rFonts w:asciiTheme="majorBidi" w:eastAsia="Times New Roman" w:hAnsiTheme="majorBidi" w:cstheme="majorBidi"/>
                <w:b/>
                <w:bCs/>
                <w:color w:val="000000"/>
                <w:sz w:val="20"/>
                <w:szCs w:val="20"/>
                <w:lang w:val="en-AE" w:eastAsia="en-AE"/>
              </w:rPr>
              <w:t>Sinkhole Attack Effect</w:t>
            </w:r>
          </w:p>
        </w:tc>
      </w:tr>
      <w:tr w:rsidR="00F13024" w:rsidRPr="00F13024" w:rsidTr="00052853">
        <w:trPr>
          <w:trHeight w:val="267"/>
        </w:trPr>
        <w:tc>
          <w:tcPr>
            <w:tcW w:w="1856"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lang w:val="en-AE" w:eastAsia="en-AE"/>
              </w:rPr>
            </w:pPr>
          </w:p>
        </w:tc>
        <w:tc>
          <w:tcPr>
            <w:tcW w:w="1688"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lang w:val="en-AE" w:eastAsia="en-AE"/>
              </w:rPr>
            </w:pPr>
          </w:p>
        </w:tc>
        <w:tc>
          <w:tcPr>
            <w:tcW w:w="1671"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Affected</w:t>
            </w:r>
          </w:p>
        </w:tc>
        <w:tc>
          <w:tcPr>
            <w:tcW w:w="1801"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b/>
                <w:bCs/>
                <w:color w:val="000000"/>
                <w:sz w:val="20"/>
                <w:szCs w:val="20"/>
                <w:lang w:val="en-AE" w:eastAsia="en-AE"/>
              </w:rPr>
            </w:pPr>
            <w:r w:rsidRPr="00F13024">
              <w:rPr>
                <w:rFonts w:asciiTheme="majorBidi" w:eastAsia="Times New Roman" w:hAnsiTheme="majorBidi" w:cstheme="majorBidi"/>
                <w:b/>
                <w:bCs/>
                <w:color w:val="000000"/>
                <w:sz w:val="20"/>
                <w:szCs w:val="20"/>
                <w:lang w:val="en-AE" w:eastAsia="en-AE"/>
              </w:rPr>
              <w:t>Not affected</w:t>
            </w: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lang w:val="en-AE" w:eastAsia="en-AE"/>
              </w:rPr>
            </w:pPr>
          </w:p>
        </w:tc>
        <w:tc>
          <w:tcPr>
            <w:tcW w:w="10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b/>
                <w:bCs/>
                <w:color w:val="000000"/>
                <w:sz w:val="20"/>
                <w:szCs w:val="20"/>
                <w:lang w:val="en-AE" w:eastAsia="en-AE"/>
              </w:rPr>
            </w:pPr>
          </w:p>
        </w:tc>
      </w:tr>
      <w:tr w:rsidR="00F13024" w:rsidRPr="00F13024" w:rsidTr="00052853">
        <w:trPr>
          <w:trHeight w:val="297"/>
        </w:trPr>
        <w:tc>
          <w:tcPr>
            <w:tcW w:w="1856" w:type="dxa"/>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1</w:t>
            </w:r>
            <w:r w:rsidRPr="00F13024">
              <w:rPr>
                <w:rFonts w:asciiTheme="majorBidi" w:eastAsia="Times New Roman" w:hAnsiTheme="majorBidi" w:cstheme="majorBidi"/>
                <w:sz w:val="22"/>
                <w:vertAlign w:val="superscript"/>
                <w:lang w:val="en-AE" w:eastAsia="en-AE"/>
              </w:rPr>
              <w:t>st</w:t>
            </w:r>
            <w:r w:rsidRPr="00F13024">
              <w:rPr>
                <w:rFonts w:asciiTheme="majorBidi" w:eastAsia="Times New Roman" w:hAnsiTheme="majorBidi" w:cstheme="majorBidi"/>
                <w:sz w:val="22"/>
                <w:lang w:val="en-AE" w:eastAsia="en-AE"/>
              </w:rPr>
              <w:t xml:space="preserve"> attack at level 2</w:t>
            </w:r>
          </w:p>
        </w:tc>
        <w:tc>
          <w:tcPr>
            <w:tcW w:w="1688"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8 (after 100 sec)</w:t>
            </w:r>
          </w:p>
        </w:tc>
        <w:tc>
          <w:tcPr>
            <w:tcW w:w="1671" w:type="dxa"/>
            <w:vMerge w:val="restart"/>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6, 10, 7, 9, 11, 13</w:t>
            </w:r>
          </w:p>
        </w:tc>
        <w:tc>
          <w:tcPr>
            <w:tcW w:w="1801" w:type="dxa"/>
            <w:vMerge w:val="restart"/>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4, 12, 3, 5 </w:t>
            </w:r>
          </w:p>
        </w:tc>
        <w:tc>
          <w:tcPr>
            <w:tcW w:w="900" w:type="dxa"/>
            <w:vMerge w:val="restart"/>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6</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60%</w:t>
            </w:r>
          </w:p>
        </w:tc>
      </w:tr>
      <w:tr w:rsidR="00F13024" w:rsidRPr="00F13024" w:rsidTr="00052853">
        <w:trPr>
          <w:trHeight w:val="305"/>
        </w:trPr>
        <w:tc>
          <w:tcPr>
            <w:tcW w:w="1856" w:type="dxa"/>
            <w:tcBorders>
              <w:top w:val="nil"/>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2</w:t>
            </w:r>
            <w:r w:rsidRPr="00F13024">
              <w:rPr>
                <w:rFonts w:asciiTheme="majorBidi" w:eastAsia="Times New Roman" w:hAnsiTheme="majorBidi" w:cstheme="majorBidi"/>
                <w:sz w:val="22"/>
                <w:vertAlign w:val="superscript"/>
                <w:lang w:val="en-AE" w:eastAsia="en-AE"/>
              </w:rPr>
              <w:t>nd</w:t>
            </w:r>
            <w:r w:rsidRPr="00F13024">
              <w:rPr>
                <w:rFonts w:asciiTheme="majorBidi" w:eastAsia="Times New Roman" w:hAnsiTheme="majorBidi" w:cstheme="majorBidi"/>
                <w:sz w:val="22"/>
                <w:lang w:val="en-AE" w:eastAsia="en-AE"/>
              </w:rPr>
              <w:t xml:space="preserve"> attack at level 1</w:t>
            </w:r>
          </w:p>
        </w:tc>
        <w:tc>
          <w:tcPr>
            <w:tcW w:w="1688"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2 (after 150 sec)  </w:t>
            </w:r>
          </w:p>
        </w:tc>
        <w:tc>
          <w:tcPr>
            <w:tcW w:w="1671" w:type="dxa"/>
            <w:vMerge/>
            <w:tcBorders>
              <w:top w:val="nil"/>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801" w:type="dxa"/>
            <w:vMerge/>
            <w:tcBorders>
              <w:top w:val="nil"/>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900" w:type="dxa"/>
            <w:vMerge/>
            <w:tcBorders>
              <w:top w:val="nil"/>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002" w:type="dxa"/>
            <w:vMerge/>
            <w:tcBorders>
              <w:top w:val="nil"/>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r>
      <w:tr w:rsidR="00F13024" w:rsidRPr="00F13024" w:rsidTr="00052853">
        <w:trPr>
          <w:trHeight w:val="297"/>
        </w:trPr>
        <w:tc>
          <w:tcPr>
            <w:tcW w:w="1856"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1</w:t>
            </w:r>
            <w:r w:rsidRPr="00F13024">
              <w:rPr>
                <w:rFonts w:asciiTheme="majorBidi" w:eastAsia="Times New Roman" w:hAnsiTheme="majorBidi" w:cstheme="majorBidi"/>
                <w:sz w:val="22"/>
                <w:vertAlign w:val="superscript"/>
                <w:lang w:val="en-AE" w:eastAsia="en-AE"/>
              </w:rPr>
              <w:t>st</w:t>
            </w:r>
            <w:r w:rsidRPr="00F13024">
              <w:rPr>
                <w:rFonts w:asciiTheme="majorBidi" w:eastAsia="Times New Roman" w:hAnsiTheme="majorBidi" w:cstheme="majorBidi"/>
                <w:sz w:val="22"/>
                <w:lang w:val="en-AE" w:eastAsia="en-AE"/>
              </w:rPr>
              <w:t xml:space="preserve"> attack at level 3</w:t>
            </w:r>
          </w:p>
        </w:tc>
        <w:tc>
          <w:tcPr>
            <w:tcW w:w="1688"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5 (after 100 sec)</w:t>
            </w:r>
          </w:p>
        </w:tc>
        <w:tc>
          <w:tcPr>
            <w:tcW w:w="167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7, 12, 6 </w:t>
            </w:r>
          </w:p>
        </w:tc>
        <w:tc>
          <w:tcPr>
            <w:tcW w:w="180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10, 3,2,4,8,11, 13 </w:t>
            </w:r>
          </w:p>
        </w:tc>
        <w:tc>
          <w:tcPr>
            <w:tcW w:w="900"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3</w:t>
            </w:r>
          </w:p>
        </w:tc>
        <w:tc>
          <w:tcPr>
            <w:tcW w:w="1002"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30%</w:t>
            </w:r>
          </w:p>
        </w:tc>
      </w:tr>
      <w:tr w:rsidR="00F13024" w:rsidRPr="00F13024" w:rsidTr="00052853">
        <w:trPr>
          <w:trHeight w:val="305"/>
        </w:trPr>
        <w:tc>
          <w:tcPr>
            <w:tcW w:w="1856" w:type="dxa"/>
            <w:tcBorders>
              <w:top w:val="nil"/>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2</w:t>
            </w:r>
            <w:r w:rsidRPr="00F13024">
              <w:rPr>
                <w:rFonts w:asciiTheme="majorBidi" w:eastAsia="Times New Roman" w:hAnsiTheme="majorBidi" w:cstheme="majorBidi"/>
                <w:sz w:val="22"/>
                <w:vertAlign w:val="superscript"/>
                <w:lang w:val="en-AE" w:eastAsia="en-AE"/>
              </w:rPr>
              <w:t>nd</w:t>
            </w:r>
            <w:r w:rsidRPr="00F13024">
              <w:rPr>
                <w:rFonts w:asciiTheme="majorBidi" w:eastAsia="Times New Roman" w:hAnsiTheme="majorBidi" w:cstheme="majorBidi"/>
                <w:sz w:val="22"/>
                <w:lang w:val="en-AE" w:eastAsia="en-AE"/>
              </w:rPr>
              <w:t xml:space="preserve"> attack at level 2 </w:t>
            </w:r>
          </w:p>
        </w:tc>
        <w:tc>
          <w:tcPr>
            <w:tcW w:w="1688"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9 (after 150 sec)  </w:t>
            </w:r>
          </w:p>
        </w:tc>
        <w:tc>
          <w:tcPr>
            <w:tcW w:w="1671"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801"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900"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002" w:type="dxa"/>
            <w:vMerge/>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r>
      <w:tr w:rsidR="00F13024" w:rsidRPr="00F13024" w:rsidTr="00052853">
        <w:trPr>
          <w:trHeight w:val="297"/>
        </w:trPr>
        <w:tc>
          <w:tcPr>
            <w:tcW w:w="1856"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1</w:t>
            </w:r>
            <w:r w:rsidRPr="00F13024">
              <w:rPr>
                <w:rFonts w:asciiTheme="majorBidi" w:eastAsia="Times New Roman" w:hAnsiTheme="majorBidi" w:cstheme="majorBidi"/>
                <w:sz w:val="22"/>
                <w:vertAlign w:val="superscript"/>
                <w:lang w:val="en-AE" w:eastAsia="en-AE"/>
              </w:rPr>
              <w:t>st</w:t>
            </w:r>
            <w:r w:rsidRPr="00F13024">
              <w:rPr>
                <w:rFonts w:asciiTheme="majorBidi" w:eastAsia="Times New Roman" w:hAnsiTheme="majorBidi" w:cstheme="majorBidi"/>
                <w:sz w:val="22"/>
                <w:lang w:val="en-AE" w:eastAsia="en-AE"/>
              </w:rPr>
              <w:t xml:space="preserve"> attack at level 3</w:t>
            </w:r>
          </w:p>
        </w:tc>
        <w:tc>
          <w:tcPr>
            <w:tcW w:w="1688"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5 (after 100 sec)</w:t>
            </w:r>
          </w:p>
        </w:tc>
        <w:tc>
          <w:tcPr>
            <w:tcW w:w="167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7, 13, 6 </w:t>
            </w:r>
          </w:p>
        </w:tc>
        <w:tc>
          <w:tcPr>
            <w:tcW w:w="180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2,3,4,10,11,8,9 </w:t>
            </w:r>
          </w:p>
        </w:tc>
        <w:tc>
          <w:tcPr>
            <w:tcW w:w="900"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3</w:t>
            </w:r>
          </w:p>
        </w:tc>
        <w:tc>
          <w:tcPr>
            <w:tcW w:w="1002"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keepNext/>
              <w:keepLines/>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30%</w:t>
            </w:r>
          </w:p>
        </w:tc>
      </w:tr>
      <w:tr w:rsidR="00F13024" w:rsidRPr="00F13024" w:rsidTr="00052853">
        <w:trPr>
          <w:trHeight w:val="305"/>
        </w:trPr>
        <w:tc>
          <w:tcPr>
            <w:tcW w:w="1856" w:type="dxa"/>
            <w:tcBorders>
              <w:top w:val="nil"/>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2</w:t>
            </w:r>
            <w:r w:rsidRPr="00F13024">
              <w:rPr>
                <w:rFonts w:asciiTheme="majorBidi" w:eastAsia="Times New Roman" w:hAnsiTheme="majorBidi" w:cstheme="majorBidi"/>
                <w:sz w:val="22"/>
                <w:vertAlign w:val="superscript"/>
                <w:lang w:val="en-AE" w:eastAsia="en-AE"/>
              </w:rPr>
              <w:t>nd</w:t>
            </w:r>
            <w:r w:rsidRPr="00F13024">
              <w:rPr>
                <w:rFonts w:asciiTheme="majorBidi" w:eastAsia="Times New Roman" w:hAnsiTheme="majorBidi" w:cstheme="majorBidi"/>
                <w:sz w:val="22"/>
                <w:lang w:val="en-AE" w:eastAsia="en-AE"/>
              </w:rPr>
              <w:t xml:space="preserve"> attack at level 2 </w:t>
            </w:r>
          </w:p>
        </w:tc>
        <w:tc>
          <w:tcPr>
            <w:tcW w:w="1688" w:type="dxa"/>
            <w:tcBorders>
              <w:top w:val="nil"/>
              <w:left w:val="nil"/>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12 (after 150 sec)  </w:t>
            </w:r>
          </w:p>
        </w:tc>
        <w:tc>
          <w:tcPr>
            <w:tcW w:w="1671"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801"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900" w:type="dxa"/>
            <w:vMerge/>
            <w:tcBorders>
              <w:top w:val="single" w:sz="4" w:space="0" w:color="auto"/>
              <w:left w:val="single" w:sz="4" w:space="0" w:color="auto"/>
              <w:bottom w:val="single" w:sz="12" w:space="0" w:color="auto"/>
              <w:right w:val="single" w:sz="4" w:space="0" w:color="auto"/>
            </w:tcBorders>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c>
          <w:tcPr>
            <w:tcW w:w="1002" w:type="dxa"/>
            <w:vMerge/>
            <w:tcBorders>
              <w:top w:val="single" w:sz="4" w:space="0" w:color="auto"/>
              <w:left w:val="single" w:sz="4" w:space="0" w:color="auto"/>
              <w:bottom w:val="single" w:sz="12" w:space="0" w:color="auto"/>
              <w:right w:val="single" w:sz="4" w:space="0" w:color="auto"/>
            </w:tcBorders>
            <w:shd w:val="clear" w:color="auto" w:fill="auto"/>
            <w:vAlign w:val="center"/>
            <w:hideMark/>
          </w:tcPr>
          <w:p w:rsidR="00F13024" w:rsidRPr="00F13024" w:rsidRDefault="00F13024" w:rsidP="00F13024">
            <w:pPr>
              <w:keepNext/>
              <w:keepLines/>
              <w:rPr>
                <w:rFonts w:asciiTheme="majorBidi" w:eastAsia="Times New Roman" w:hAnsiTheme="majorBidi" w:cstheme="majorBidi"/>
                <w:color w:val="000000"/>
                <w:sz w:val="20"/>
                <w:szCs w:val="20"/>
                <w:lang w:val="en-AE" w:eastAsia="en-AE"/>
              </w:rPr>
            </w:pPr>
          </w:p>
        </w:tc>
      </w:tr>
      <w:tr w:rsidR="00F13024" w:rsidRPr="00F13024" w:rsidTr="00052853">
        <w:trPr>
          <w:trHeight w:val="297"/>
        </w:trPr>
        <w:tc>
          <w:tcPr>
            <w:tcW w:w="1856"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1</w:t>
            </w:r>
            <w:r w:rsidRPr="00F13024">
              <w:rPr>
                <w:rFonts w:asciiTheme="majorBidi" w:eastAsia="Times New Roman" w:hAnsiTheme="majorBidi" w:cstheme="majorBidi"/>
                <w:sz w:val="22"/>
                <w:vertAlign w:val="superscript"/>
                <w:lang w:val="en-AE" w:eastAsia="en-AE"/>
              </w:rPr>
              <w:t>st</w:t>
            </w:r>
            <w:r w:rsidRPr="00F13024">
              <w:rPr>
                <w:rFonts w:asciiTheme="majorBidi" w:eastAsia="Times New Roman" w:hAnsiTheme="majorBidi" w:cstheme="majorBidi"/>
                <w:sz w:val="22"/>
                <w:lang w:val="en-AE" w:eastAsia="en-AE"/>
              </w:rPr>
              <w:t xml:space="preserve"> attack at level 2</w:t>
            </w:r>
          </w:p>
        </w:tc>
        <w:tc>
          <w:tcPr>
            <w:tcW w:w="1688" w:type="dxa"/>
            <w:tcBorders>
              <w:top w:val="single" w:sz="12" w:space="0" w:color="auto"/>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11 (after 100 sec)</w:t>
            </w:r>
          </w:p>
        </w:tc>
        <w:tc>
          <w:tcPr>
            <w:tcW w:w="167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13</w:t>
            </w:r>
          </w:p>
        </w:tc>
        <w:tc>
          <w:tcPr>
            <w:tcW w:w="1801"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2,3,4,8,10,9,7,6,5</w:t>
            </w:r>
          </w:p>
        </w:tc>
        <w:tc>
          <w:tcPr>
            <w:tcW w:w="900"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1</w:t>
            </w:r>
          </w:p>
        </w:tc>
        <w:tc>
          <w:tcPr>
            <w:tcW w:w="1002"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jc w:val="cente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10%</w:t>
            </w:r>
          </w:p>
        </w:tc>
      </w:tr>
      <w:tr w:rsidR="00F13024" w:rsidRPr="00F13024" w:rsidTr="00052853">
        <w:trPr>
          <w:trHeight w:val="305"/>
        </w:trPr>
        <w:tc>
          <w:tcPr>
            <w:tcW w:w="1856" w:type="dxa"/>
            <w:tcBorders>
              <w:top w:val="nil"/>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sz w:val="22"/>
                <w:lang w:val="en-AE" w:eastAsia="en-AE"/>
              </w:rPr>
            </w:pPr>
            <w:r w:rsidRPr="00F13024">
              <w:rPr>
                <w:rFonts w:asciiTheme="majorBidi" w:eastAsia="Times New Roman" w:hAnsiTheme="majorBidi" w:cstheme="majorBidi"/>
                <w:sz w:val="22"/>
                <w:lang w:val="en-AE" w:eastAsia="en-AE"/>
              </w:rPr>
              <w:t>2</w:t>
            </w:r>
            <w:r w:rsidRPr="00F13024">
              <w:rPr>
                <w:rFonts w:asciiTheme="majorBidi" w:eastAsia="Times New Roman" w:hAnsiTheme="majorBidi" w:cstheme="majorBidi"/>
                <w:sz w:val="22"/>
                <w:vertAlign w:val="superscript"/>
                <w:lang w:val="en-AE" w:eastAsia="en-AE"/>
              </w:rPr>
              <w:t>nd</w:t>
            </w:r>
            <w:r w:rsidRPr="00F13024">
              <w:rPr>
                <w:rFonts w:asciiTheme="majorBidi" w:eastAsia="Times New Roman" w:hAnsiTheme="majorBidi" w:cstheme="majorBidi"/>
                <w:sz w:val="22"/>
                <w:lang w:val="en-AE" w:eastAsia="en-AE"/>
              </w:rPr>
              <w:t xml:space="preserve"> attack at level 2 </w:t>
            </w:r>
          </w:p>
        </w:tc>
        <w:tc>
          <w:tcPr>
            <w:tcW w:w="1688" w:type="dxa"/>
            <w:tcBorders>
              <w:top w:val="nil"/>
              <w:left w:val="nil"/>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r w:rsidRPr="00F13024">
              <w:rPr>
                <w:rFonts w:asciiTheme="majorBidi" w:eastAsia="Times New Roman" w:hAnsiTheme="majorBidi" w:cstheme="majorBidi"/>
                <w:color w:val="000000"/>
                <w:sz w:val="20"/>
                <w:szCs w:val="20"/>
                <w:lang w:val="en-AE" w:eastAsia="en-AE"/>
              </w:rPr>
              <w:t xml:space="preserve">12 (after 150 sec)  </w:t>
            </w:r>
          </w:p>
        </w:tc>
        <w:tc>
          <w:tcPr>
            <w:tcW w:w="1671"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p>
        </w:tc>
        <w:tc>
          <w:tcPr>
            <w:tcW w:w="1801"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p>
        </w:tc>
        <w:tc>
          <w:tcPr>
            <w:tcW w:w="10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13024" w:rsidRPr="00F13024" w:rsidRDefault="00F13024" w:rsidP="00F13024">
            <w:pPr>
              <w:rPr>
                <w:rFonts w:asciiTheme="majorBidi" w:eastAsia="Times New Roman" w:hAnsiTheme="majorBidi" w:cstheme="majorBidi"/>
                <w:color w:val="000000"/>
                <w:sz w:val="20"/>
                <w:szCs w:val="20"/>
                <w:lang w:val="en-AE" w:eastAsia="en-AE"/>
              </w:rPr>
            </w:pPr>
          </w:p>
        </w:tc>
      </w:tr>
    </w:tbl>
    <w:p w:rsidR="00F13024" w:rsidRPr="00F13024" w:rsidRDefault="00F13024" w:rsidP="00F13024">
      <w:pPr>
        <w:pStyle w:val="BodyText"/>
        <w:ind w:firstLine="0"/>
      </w:pPr>
    </w:p>
    <w:p w:rsidR="00F13024" w:rsidRPr="00F13024" w:rsidRDefault="00F13024" w:rsidP="00052853">
      <w:pPr>
        <w:pStyle w:val="Caption-Table"/>
        <w:spacing w:line="276" w:lineRule="auto"/>
      </w:pPr>
      <w:bookmarkStart w:id="101" w:name="_Ref160541681"/>
      <w:bookmarkStart w:id="102" w:name="_Toc161655686"/>
      <w:bookmarkStart w:id="103" w:name="_Toc162790066"/>
      <w:r w:rsidRPr="00F13024">
        <w:t xml:space="preserve">Table </w:t>
      </w:r>
      <w:r w:rsidRPr="00F13024">
        <w:fldChar w:fldCharType="begin"/>
      </w:r>
      <w:r w:rsidRPr="00F13024">
        <w:instrText xml:space="preserve"> SEQ Table \* ARABIC </w:instrText>
      </w:r>
      <w:r w:rsidRPr="00F13024">
        <w:fldChar w:fldCharType="separate"/>
      </w:r>
      <w:r w:rsidR="00AA2760">
        <w:rPr>
          <w:noProof/>
        </w:rPr>
        <w:t>11</w:t>
      </w:r>
      <w:r w:rsidRPr="00F13024">
        <w:rPr>
          <w:noProof/>
        </w:rPr>
        <w:fldChar w:fldCharType="end"/>
      </w:r>
      <w:bookmarkEnd w:id="101"/>
      <w:r w:rsidRPr="00F13024">
        <w:t xml:space="preserve"> – </w:t>
      </w:r>
      <w:r w:rsidR="00052853">
        <w:t>Packet</w:t>
      </w:r>
      <w:r w:rsidRPr="00F13024">
        <w:t xml:space="preserve"> Distribution </w:t>
      </w:r>
      <w:r w:rsidR="00052853">
        <w:t>in</w:t>
      </w:r>
      <w:r w:rsidRPr="00F13024">
        <w:t xml:space="preserve"> the Small Single-DODAG Network under Dual Sinkhole Attacks.</w:t>
      </w:r>
      <w:bookmarkEnd w:id="102"/>
      <w:bookmarkEnd w:id="103"/>
      <w:r w:rsidRPr="00F13024">
        <w:rPr>
          <w:noProof/>
        </w:rPr>
        <w:t xml:space="preserve"> </w:t>
      </w:r>
    </w:p>
    <w:tbl>
      <w:tblPr>
        <w:tblStyle w:val="TableGrid"/>
        <w:tblW w:w="0" w:type="auto"/>
        <w:jc w:val="center"/>
        <w:tblLook w:val="04A0" w:firstRow="1" w:lastRow="0" w:firstColumn="1" w:lastColumn="0" w:noHBand="0" w:noVBand="1"/>
      </w:tblPr>
      <w:tblGrid>
        <w:gridCol w:w="2490"/>
        <w:gridCol w:w="1735"/>
        <w:gridCol w:w="1710"/>
      </w:tblGrid>
      <w:tr w:rsidR="00F13024" w:rsidRPr="00F13024" w:rsidTr="00F13024">
        <w:trPr>
          <w:jc w:val="center"/>
        </w:trPr>
        <w:tc>
          <w:tcPr>
            <w:tcW w:w="2490" w:type="dxa"/>
          </w:tcPr>
          <w:p w:rsidR="00F13024" w:rsidRPr="00F13024" w:rsidRDefault="00F13024" w:rsidP="00F13024">
            <w:pPr>
              <w:pStyle w:val="TableColHead"/>
            </w:pPr>
            <w:r w:rsidRPr="00F13024">
              <w:t>Packet Type</w:t>
            </w:r>
          </w:p>
        </w:tc>
        <w:tc>
          <w:tcPr>
            <w:tcW w:w="1735" w:type="dxa"/>
            <w:vAlign w:val="center"/>
          </w:tcPr>
          <w:p w:rsidR="00F13024" w:rsidRPr="00F13024" w:rsidRDefault="00F13024" w:rsidP="00F13024">
            <w:pPr>
              <w:pStyle w:val="TableColHead"/>
              <w:jc w:val="center"/>
            </w:pPr>
            <w:r w:rsidRPr="00F13024">
              <w:t>Count</w:t>
            </w:r>
          </w:p>
        </w:tc>
        <w:tc>
          <w:tcPr>
            <w:tcW w:w="1710" w:type="dxa"/>
            <w:vAlign w:val="center"/>
          </w:tcPr>
          <w:p w:rsidR="00F13024" w:rsidRPr="00F13024" w:rsidRDefault="00F13024" w:rsidP="00F13024">
            <w:pPr>
              <w:pStyle w:val="TableColHead"/>
              <w:jc w:val="center"/>
            </w:pPr>
            <w:r w:rsidRPr="00F13024">
              <w:t>Percentage</w:t>
            </w:r>
          </w:p>
        </w:tc>
      </w:tr>
      <w:tr w:rsidR="00F13024" w:rsidRPr="00F13024" w:rsidTr="00F13024">
        <w:trPr>
          <w:jc w:val="center"/>
        </w:trPr>
        <w:tc>
          <w:tcPr>
            <w:tcW w:w="2490" w:type="dxa"/>
          </w:tcPr>
          <w:p w:rsidR="00F13024" w:rsidRPr="00F13024" w:rsidRDefault="00F13024" w:rsidP="00F13024">
            <w:pPr>
              <w:pStyle w:val="TableEntry"/>
            </w:pPr>
            <w:r w:rsidRPr="00F13024">
              <w:t>ICMPv6 – DIS</w:t>
            </w:r>
          </w:p>
        </w:tc>
        <w:tc>
          <w:tcPr>
            <w:tcW w:w="1735" w:type="dxa"/>
            <w:vAlign w:val="center"/>
          </w:tcPr>
          <w:p w:rsidR="00F13024" w:rsidRPr="00052853" w:rsidRDefault="00F13024" w:rsidP="00F13024">
            <w:pPr>
              <w:pStyle w:val="TableEntry"/>
              <w:jc w:val="center"/>
              <w:rPr>
                <w:highlight w:val="yellow"/>
              </w:rPr>
            </w:pPr>
            <w:r w:rsidRPr="00052853">
              <w:rPr>
                <w:highlight w:val="yellow"/>
              </w:rPr>
              <w:t>228</w:t>
            </w:r>
          </w:p>
        </w:tc>
        <w:tc>
          <w:tcPr>
            <w:tcW w:w="1710" w:type="dxa"/>
            <w:vAlign w:val="center"/>
          </w:tcPr>
          <w:p w:rsidR="00F13024" w:rsidRPr="00052853" w:rsidRDefault="00F13024" w:rsidP="00F13024">
            <w:pPr>
              <w:pStyle w:val="TableEntry"/>
              <w:jc w:val="center"/>
              <w:rPr>
                <w:highlight w:val="yellow"/>
              </w:rPr>
            </w:pPr>
            <w:r w:rsidRPr="00052853">
              <w:rPr>
                <w:highlight w:val="yellow"/>
              </w:rPr>
              <w:t>4%</w:t>
            </w:r>
          </w:p>
        </w:tc>
      </w:tr>
      <w:tr w:rsidR="00F13024" w:rsidRPr="00F13024" w:rsidTr="00F13024">
        <w:trPr>
          <w:jc w:val="center"/>
        </w:trPr>
        <w:tc>
          <w:tcPr>
            <w:tcW w:w="2490" w:type="dxa"/>
          </w:tcPr>
          <w:p w:rsidR="00F13024" w:rsidRPr="00F13024" w:rsidRDefault="00F13024" w:rsidP="00F13024">
            <w:pPr>
              <w:pStyle w:val="TableEntry"/>
            </w:pPr>
            <w:r w:rsidRPr="00F13024">
              <w:t>ICMPv6 – DIO</w:t>
            </w:r>
          </w:p>
        </w:tc>
        <w:tc>
          <w:tcPr>
            <w:tcW w:w="1735" w:type="dxa"/>
            <w:vAlign w:val="center"/>
          </w:tcPr>
          <w:p w:rsidR="00F13024" w:rsidRPr="00052853" w:rsidRDefault="00F13024" w:rsidP="00F13024">
            <w:pPr>
              <w:pStyle w:val="TableEntry"/>
              <w:jc w:val="center"/>
              <w:rPr>
                <w:highlight w:val="yellow"/>
              </w:rPr>
            </w:pPr>
            <w:r w:rsidRPr="00052853">
              <w:rPr>
                <w:highlight w:val="yellow"/>
              </w:rPr>
              <w:t>2,593</w:t>
            </w:r>
          </w:p>
        </w:tc>
        <w:tc>
          <w:tcPr>
            <w:tcW w:w="1710" w:type="dxa"/>
            <w:vAlign w:val="center"/>
          </w:tcPr>
          <w:p w:rsidR="00F13024" w:rsidRPr="00052853" w:rsidRDefault="00F13024" w:rsidP="00F13024">
            <w:pPr>
              <w:pStyle w:val="TableEntry"/>
              <w:jc w:val="center"/>
              <w:rPr>
                <w:highlight w:val="yellow"/>
              </w:rPr>
            </w:pPr>
            <w:r w:rsidRPr="00052853">
              <w:rPr>
                <w:highlight w:val="yellow"/>
              </w:rPr>
              <w:t>45%</w:t>
            </w:r>
          </w:p>
        </w:tc>
      </w:tr>
      <w:tr w:rsidR="00F13024" w:rsidRPr="00F13024" w:rsidTr="00F13024">
        <w:trPr>
          <w:jc w:val="center"/>
        </w:trPr>
        <w:tc>
          <w:tcPr>
            <w:tcW w:w="2490" w:type="dxa"/>
          </w:tcPr>
          <w:p w:rsidR="00F13024" w:rsidRPr="00F13024" w:rsidRDefault="00F13024" w:rsidP="00F13024">
            <w:pPr>
              <w:pStyle w:val="TableEntry"/>
            </w:pPr>
            <w:r w:rsidRPr="00F13024">
              <w:t>ICMPv6 – DAO</w:t>
            </w:r>
          </w:p>
        </w:tc>
        <w:tc>
          <w:tcPr>
            <w:tcW w:w="1735" w:type="dxa"/>
            <w:vAlign w:val="center"/>
          </w:tcPr>
          <w:p w:rsidR="00F13024" w:rsidRPr="00052853" w:rsidRDefault="00F13024" w:rsidP="00F13024">
            <w:pPr>
              <w:pStyle w:val="TableEntry"/>
              <w:jc w:val="center"/>
              <w:rPr>
                <w:highlight w:val="yellow"/>
              </w:rPr>
            </w:pPr>
            <w:r w:rsidRPr="00052853">
              <w:rPr>
                <w:highlight w:val="yellow"/>
              </w:rPr>
              <w:t>2,025</w:t>
            </w:r>
          </w:p>
        </w:tc>
        <w:tc>
          <w:tcPr>
            <w:tcW w:w="1710" w:type="dxa"/>
            <w:vAlign w:val="center"/>
          </w:tcPr>
          <w:p w:rsidR="00F13024" w:rsidRPr="00052853" w:rsidRDefault="00F13024" w:rsidP="00F13024">
            <w:pPr>
              <w:pStyle w:val="TableEntry"/>
              <w:jc w:val="center"/>
              <w:rPr>
                <w:highlight w:val="yellow"/>
              </w:rPr>
            </w:pPr>
            <w:r w:rsidRPr="00052853">
              <w:rPr>
                <w:highlight w:val="yellow"/>
              </w:rPr>
              <w:t>35%</w:t>
            </w:r>
          </w:p>
        </w:tc>
      </w:tr>
      <w:tr w:rsidR="00F13024" w:rsidRPr="00F13024" w:rsidTr="00F13024">
        <w:trPr>
          <w:jc w:val="center"/>
        </w:trPr>
        <w:tc>
          <w:tcPr>
            <w:tcW w:w="2490" w:type="dxa"/>
          </w:tcPr>
          <w:p w:rsidR="00F13024" w:rsidRPr="00F13024" w:rsidRDefault="00F13024" w:rsidP="00F13024">
            <w:pPr>
              <w:pStyle w:val="TableEntry"/>
            </w:pPr>
            <w:r w:rsidRPr="00F13024">
              <w:t>ICMPv6 – DAO ACK</w:t>
            </w:r>
          </w:p>
        </w:tc>
        <w:tc>
          <w:tcPr>
            <w:tcW w:w="1735" w:type="dxa"/>
            <w:vAlign w:val="center"/>
          </w:tcPr>
          <w:p w:rsidR="00F13024" w:rsidRPr="00052853" w:rsidRDefault="00F13024" w:rsidP="00F13024">
            <w:pPr>
              <w:pStyle w:val="TableEntry"/>
              <w:jc w:val="center"/>
              <w:rPr>
                <w:highlight w:val="yellow"/>
              </w:rPr>
            </w:pPr>
            <w:r w:rsidRPr="00052853">
              <w:rPr>
                <w:highlight w:val="yellow"/>
              </w:rPr>
              <w:t>226</w:t>
            </w:r>
          </w:p>
        </w:tc>
        <w:tc>
          <w:tcPr>
            <w:tcW w:w="1710" w:type="dxa"/>
            <w:vAlign w:val="center"/>
          </w:tcPr>
          <w:p w:rsidR="00F13024" w:rsidRPr="00052853" w:rsidRDefault="00F13024" w:rsidP="00F13024">
            <w:pPr>
              <w:pStyle w:val="TableEntry"/>
              <w:jc w:val="center"/>
              <w:rPr>
                <w:highlight w:val="yellow"/>
              </w:rPr>
            </w:pPr>
            <w:r w:rsidRPr="00052853">
              <w:rPr>
                <w:highlight w:val="yellow"/>
              </w:rPr>
              <w:t>4%</w:t>
            </w:r>
          </w:p>
        </w:tc>
      </w:tr>
      <w:tr w:rsidR="00F13024" w:rsidRPr="00F13024" w:rsidTr="00F13024">
        <w:trPr>
          <w:jc w:val="center"/>
        </w:trPr>
        <w:tc>
          <w:tcPr>
            <w:tcW w:w="2490" w:type="dxa"/>
          </w:tcPr>
          <w:p w:rsidR="00F13024" w:rsidRPr="00F13024" w:rsidRDefault="00F13024" w:rsidP="00F13024">
            <w:pPr>
              <w:pStyle w:val="TableEntry"/>
            </w:pPr>
            <w:r w:rsidRPr="00F13024">
              <w:t>UDP</w:t>
            </w:r>
          </w:p>
        </w:tc>
        <w:tc>
          <w:tcPr>
            <w:tcW w:w="1735" w:type="dxa"/>
            <w:vAlign w:val="center"/>
          </w:tcPr>
          <w:p w:rsidR="00F13024" w:rsidRPr="00052853" w:rsidRDefault="00F13024" w:rsidP="00F13024">
            <w:pPr>
              <w:pStyle w:val="TableEntry"/>
              <w:jc w:val="center"/>
              <w:rPr>
                <w:highlight w:val="yellow"/>
              </w:rPr>
            </w:pPr>
            <w:r w:rsidRPr="00052853">
              <w:rPr>
                <w:highlight w:val="yellow"/>
              </w:rPr>
              <w:t>695</w:t>
            </w:r>
          </w:p>
        </w:tc>
        <w:tc>
          <w:tcPr>
            <w:tcW w:w="1710" w:type="dxa"/>
            <w:vAlign w:val="center"/>
          </w:tcPr>
          <w:p w:rsidR="00F13024" w:rsidRPr="00052853" w:rsidRDefault="00F13024" w:rsidP="00F13024">
            <w:pPr>
              <w:pStyle w:val="TableEntry"/>
              <w:jc w:val="center"/>
              <w:rPr>
                <w:highlight w:val="yellow"/>
              </w:rPr>
            </w:pPr>
            <w:r w:rsidRPr="00052853">
              <w:rPr>
                <w:highlight w:val="yellow"/>
              </w:rPr>
              <w:t>12%</w:t>
            </w:r>
          </w:p>
        </w:tc>
      </w:tr>
      <w:tr w:rsidR="00F13024" w:rsidRPr="00F13024" w:rsidTr="00F13024">
        <w:trPr>
          <w:jc w:val="center"/>
        </w:trPr>
        <w:tc>
          <w:tcPr>
            <w:tcW w:w="2490" w:type="dxa"/>
          </w:tcPr>
          <w:p w:rsidR="00F13024" w:rsidRPr="00F13024" w:rsidRDefault="00F13024" w:rsidP="00F13024">
            <w:pPr>
              <w:pStyle w:val="TableEntry"/>
              <w:rPr>
                <w:b/>
                <w:bCs/>
              </w:rPr>
            </w:pPr>
            <w:r w:rsidRPr="00F13024">
              <w:rPr>
                <w:b/>
                <w:bCs/>
              </w:rPr>
              <w:t>Totals</w:t>
            </w:r>
          </w:p>
        </w:tc>
        <w:tc>
          <w:tcPr>
            <w:tcW w:w="1735" w:type="dxa"/>
            <w:vAlign w:val="center"/>
          </w:tcPr>
          <w:p w:rsidR="00F13024" w:rsidRPr="00052853" w:rsidRDefault="00F13024" w:rsidP="00F13024">
            <w:pPr>
              <w:pStyle w:val="TableEntry"/>
              <w:jc w:val="center"/>
              <w:rPr>
                <w:b/>
                <w:bCs/>
                <w:highlight w:val="yellow"/>
              </w:rPr>
            </w:pPr>
            <w:r w:rsidRPr="00052853">
              <w:rPr>
                <w:b/>
                <w:bCs/>
                <w:highlight w:val="yellow"/>
              </w:rPr>
              <w:t>5,767</w:t>
            </w:r>
          </w:p>
        </w:tc>
        <w:tc>
          <w:tcPr>
            <w:tcW w:w="1710" w:type="dxa"/>
            <w:vAlign w:val="center"/>
          </w:tcPr>
          <w:p w:rsidR="00F13024" w:rsidRPr="00052853" w:rsidRDefault="00F13024" w:rsidP="00F13024">
            <w:pPr>
              <w:pStyle w:val="TableEntry"/>
              <w:jc w:val="center"/>
              <w:rPr>
                <w:b/>
                <w:bCs/>
                <w:highlight w:val="yellow"/>
              </w:rPr>
            </w:pPr>
            <w:r w:rsidRPr="00052853">
              <w:rPr>
                <w:b/>
                <w:bCs/>
                <w:highlight w:val="yellow"/>
              </w:rPr>
              <w:fldChar w:fldCharType="begin"/>
            </w:r>
            <w:r w:rsidRPr="00052853">
              <w:rPr>
                <w:b/>
                <w:bCs/>
                <w:highlight w:val="yellow"/>
              </w:rPr>
              <w:instrText xml:space="preserve"> =SUM(ABOVE)*100 \# "0.00%" </w:instrText>
            </w:r>
            <w:r w:rsidRPr="00052853">
              <w:rPr>
                <w:b/>
                <w:bCs/>
                <w:highlight w:val="yellow"/>
              </w:rPr>
              <w:fldChar w:fldCharType="separate"/>
            </w:r>
            <w:r w:rsidR="00AA2760">
              <w:rPr>
                <w:b/>
                <w:bCs/>
                <w:noProof/>
                <w:highlight w:val="yellow"/>
              </w:rPr>
              <w:t>100.00</w:t>
            </w:r>
            <w:r w:rsidR="00AA2760" w:rsidRPr="00052853">
              <w:rPr>
                <w:b/>
                <w:bCs/>
                <w:noProof/>
                <w:highlight w:val="yellow"/>
              </w:rPr>
              <w:t>%</w:t>
            </w:r>
            <w:r w:rsidRPr="00052853">
              <w:rPr>
                <w:b/>
                <w:bCs/>
                <w:highlight w:val="yellow"/>
              </w:rPr>
              <w:fldChar w:fldCharType="end"/>
            </w:r>
          </w:p>
        </w:tc>
      </w:tr>
    </w:tbl>
    <w:p w:rsidR="00F13024" w:rsidRPr="00F13024" w:rsidRDefault="00F13024" w:rsidP="00052853">
      <w:pPr>
        <w:pStyle w:val="Heading2"/>
      </w:pPr>
      <w:bookmarkStart w:id="104" w:name="_Toc162153382"/>
      <w:bookmarkStart w:id="105" w:name="_Ref162246014"/>
      <w:bookmarkStart w:id="106" w:name="_Toc162789997"/>
      <w:r w:rsidRPr="00F13024">
        <w:t>Medium-sized Single-DODAG Network under a Dual Sinkhole Attack</w:t>
      </w:r>
      <w:bookmarkEnd w:id="104"/>
      <w:bookmarkEnd w:id="105"/>
      <w:bookmarkEnd w:id="106"/>
    </w:p>
    <w:p w:rsidR="00F13024" w:rsidRPr="00F13024" w:rsidRDefault="00F13024" w:rsidP="00052853">
      <w:r w:rsidRPr="00F13024">
        <w:t xml:space="preserve">The network of </w:t>
      </w:r>
      <w:r w:rsidRPr="00F13024">
        <w:fldChar w:fldCharType="begin"/>
      </w:r>
      <w:r w:rsidRPr="00F13024">
        <w:instrText xml:space="preserve"> REF _Ref158665850 \h  \* MERGEFORMAT </w:instrText>
      </w:r>
      <w:r w:rsidRPr="00F13024">
        <w:fldChar w:fldCharType="separate"/>
      </w:r>
      <w:r w:rsidR="00AA2760" w:rsidRPr="00F13024">
        <w:t xml:space="preserve">Figure </w:t>
      </w:r>
      <w:r w:rsidR="00AA2760">
        <w:rPr>
          <w:noProof/>
        </w:rPr>
        <w:t>3</w:t>
      </w:r>
      <w:r w:rsidRPr="00F13024">
        <w:fldChar w:fldCharType="end"/>
      </w:r>
      <w:r w:rsidRPr="00F13024">
        <w:t xml:space="preserve"> was recreated and simulated with two nodes launching attacks with a 50 second interval. The attack effect score was employed to evaluate different scenarios involving two attackers in diverse network positions to determine the combinations producing the most severe attack effects. A sample of these results is shown in </w:t>
      </w:r>
      <w:r w:rsidRPr="00F13024">
        <w:fldChar w:fldCharType="begin"/>
      </w:r>
      <w:r w:rsidRPr="00F13024">
        <w:instrText xml:space="preserve"> REF _Ref161536472 \h  \* MERGEFORMAT </w:instrText>
      </w:r>
      <w:r w:rsidRPr="00F13024">
        <w:fldChar w:fldCharType="separate"/>
      </w:r>
      <w:r w:rsidR="00AA2760" w:rsidRPr="00F13024">
        <w:t xml:space="preserve">Table </w:t>
      </w:r>
      <w:r w:rsidR="00AA2760">
        <w:rPr>
          <w:noProof/>
        </w:rPr>
        <w:t>12</w:t>
      </w:r>
      <w:r w:rsidRPr="00F13024">
        <w:fldChar w:fldCharType="end"/>
      </w:r>
      <w:r w:rsidRPr="00F13024">
        <w:t>.</w:t>
      </w:r>
    </w:p>
    <w:p w:rsidR="00052853" w:rsidRDefault="00052853" w:rsidP="00052853"/>
    <w:p w:rsidR="00F13024" w:rsidRPr="00F13024" w:rsidRDefault="00F13024" w:rsidP="00052853">
      <w:r w:rsidRPr="00F13024">
        <w:t xml:space="preserve">Simulations were carried out for the scenarios in the table and the network traffic was collected in a manner similar to what was discussed in earlier steps. Five components were added to the dataset to represent these five scenarios. The distribution of the </w:t>
      </w:r>
      <w:r w:rsidR="00052853">
        <w:t xml:space="preserve">collected </w:t>
      </w:r>
      <w:r w:rsidRPr="00F13024">
        <w:t xml:space="preserve">samples </w:t>
      </w:r>
      <w:r w:rsidR="00052853">
        <w:t xml:space="preserve">for a representative sample of </w:t>
      </w:r>
      <w:r w:rsidRPr="00F13024">
        <w:t xml:space="preserve">these </w:t>
      </w:r>
      <w:r w:rsidR="00052853">
        <w:t xml:space="preserve">scenarios </w:t>
      </w:r>
      <w:r w:rsidRPr="00F13024">
        <w:t xml:space="preserve">is shown in </w:t>
      </w:r>
      <w:r w:rsidRPr="00F13024">
        <w:fldChar w:fldCharType="begin"/>
      </w:r>
      <w:r w:rsidRPr="00F13024">
        <w:instrText xml:space="preserve"> REF _Ref161536865 \h  \* MERGEFORMAT </w:instrText>
      </w:r>
      <w:r w:rsidRPr="00F13024">
        <w:fldChar w:fldCharType="separate"/>
      </w:r>
      <w:r w:rsidR="00AA2760" w:rsidRPr="00F13024">
        <w:t xml:space="preserve">Table </w:t>
      </w:r>
      <w:r w:rsidR="00AA2760">
        <w:rPr>
          <w:noProof/>
        </w:rPr>
        <w:t>13</w:t>
      </w:r>
      <w:r w:rsidRPr="00F13024">
        <w:fldChar w:fldCharType="end"/>
      </w:r>
      <w:r w:rsidRPr="00F13024">
        <w:t>.</w:t>
      </w:r>
    </w:p>
    <w:p w:rsidR="00F13024" w:rsidRPr="00F13024" w:rsidRDefault="00F13024" w:rsidP="00F13024">
      <w:pPr>
        <w:pStyle w:val="Caption-Table"/>
        <w:spacing w:line="276" w:lineRule="auto"/>
      </w:pPr>
      <w:bookmarkStart w:id="107" w:name="_Ref161536472"/>
      <w:bookmarkStart w:id="108" w:name="_Toc161655687"/>
      <w:bookmarkStart w:id="109" w:name="_Toc162790067"/>
      <w:r w:rsidRPr="00F13024">
        <w:lastRenderedPageBreak/>
        <w:t xml:space="preserve">Table </w:t>
      </w:r>
      <w:r w:rsidRPr="00F13024">
        <w:fldChar w:fldCharType="begin"/>
      </w:r>
      <w:r w:rsidRPr="00F13024">
        <w:instrText xml:space="preserve"> SEQ Table \* ARABIC </w:instrText>
      </w:r>
      <w:r w:rsidRPr="00F13024">
        <w:fldChar w:fldCharType="separate"/>
      </w:r>
      <w:r w:rsidR="00AA2760">
        <w:rPr>
          <w:noProof/>
        </w:rPr>
        <w:t>12</w:t>
      </w:r>
      <w:r w:rsidRPr="00F13024">
        <w:rPr>
          <w:noProof/>
        </w:rPr>
        <w:fldChar w:fldCharType="end"/>
      </w:r>
      <w:bookmarkEnd w:id="107"/>
      <w:r w:rsidRPr="00F13024">
        <w:t xml:space="preserve"> – Attack Effect of Different Scenarios Involving Two Attackers in a Medium-sized Single-DODAG network.</w:t>
      </w:r>
      <w:bookmarkEnd w:id="108"/>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2434"/>
        <w:gridCol w:w="2254"/>
        <w:gridCol w:w="992"/>
        <w:gridCol w:w="1543"/>
      </w:tblGrid>
      <w:tr w:rsidR="00F13024" w:rsidRPr="00F13024" w:rsidTr="00F13024">
        <w:trPr>
          <w:trHeight w:val="736"/>
        </w:trPr>
        <w:tc>
          <w:tcPr>
            <w:tcW w:w="1790" w:type="dxa"/>
            <w:vMerge w:val="restart"/>
            <w:shd w:val="clear" w:color="auto" w:fill="auto"/>
            <w:vAlign w:val="center"/>
            <w:hideMark/>
          </w:tcPr>
          <w:p w:rsidR="00F13024" w:rsidRPr="00F13024" w:rsidRDefault="00F13024" w:rsidP="00F13024">
            <w:pPr>
              <w:pStyle w:val="TableColHead"/>
              <w:rPr>
                <w:sz w:val="22"/>
                <w:szCs w:val="20"/>
                <w:lang w:val="en-AE" w:eastAsia="en-AE"/>
              </w:rPr>
            </w:pPr>
            <w:r w:rsidRPr="00F13024">
              <w:rPr>
                <w:sz w:val="22"/>
                <w:szCs w:val="20"/>
                <w:lang w:val="en-AE" w:eastAsia="en-AE"/>
              </w:rPr>
              <w:t>Compromised Nodes ID</w:t>
            </w:r>
          </w:p>
        </w:tc>
        <w:tc>
          <w:tcPr>
            <w:tcW w:w="4680" w:type="dxa"/>
            <w:gridSpan w:val="2"/>
            <w:shd w:val="clear" w:color="auto" w:fill="auto"/>
            <w:vAlign w:val="center"/>
            <w:hideMark/>
          </w:tcPr>
          <w:p w:rsidR="00F13024" w:rsidRPr="00F13024" w:rsidRDefault="00F13024" w:rsidP="00F13024">
            <w:pPr>
              <w:pStyle w:val="TableColHead"/>
              <w:jc w:val="center"/>
              <w:rPr>
                <w:sz w:val="22"/>
                <w:szCs w:val="20"/>
                <w:lang w:val="en-AE" w:eastAsia="en-AE"/>
              </w:rPr>
            </w:pPr>
            <w:r w:rsidRPr="00F13024">
              <w:rPr>
                <w:sz w:val="22"/>
                <w:szCs w:val="20"/>
                <w:lang w:val="en-AE" w:eastAsia="en-AE"/>
              </w:rPr>
              <w:t>Nodes</w:t>
            </w:r>
          </w:p>
        </w:tc>
        <w:tc>
          <w:tcPr>
            <w:tcW w:w="990" w:type="dxa"/>
            <w:vMerge w:val="restart"/>
            <w:shd w:val="clear" w:color="auto" w:fill="auto"/>
            <w:vAlign w:val="center"/>
            <w:hideMark/>
          </w:tcPr>
          <w:p w:rsidR="00F13024" w:rsidRPr="00F13024" w:rsidRDefault="00F13024" w:rsidP="00F13024">
            <w:pPr>
              <w:pStyle w:val="TableColHead"/>
              <w:jc w:val="center"/>
              <w:rPr>
                <w:sz w:val="22"/>
                <w:szCs w:val="20"/>
                <w:lang w:val="en-AE" w:eastAsia="en-AE"/>
              </w:rPr>
            </w:pPr>
            <w:r w:rsidRPr="00F13024">
              <w:rPr>
                <w:sz w:val="22"/>
                <w:szCs w:val="20"/>
                <w:lang w:val="en-AE" w:eastAsia="en-AE"/>
              </w:rPr>
              <w:t># of affected nodes</w:t>
            </w:r>
          </w:p>
        </w:tc>
        <w:tc>
          <w:tcPr>
            <w:tcW w:w="1540" w:type="dxa"/>
            <w:vMerge w:val="restart"/>
            <w:shd w:val="clear" w:color="auto" w:fill="auto"/>
            <w:vAlign w:val="center"/>
            <w:hideMark/>
          </w:tcPr>
          <w:p w:rsidR="00F13024" w:rsidRPr="00F13024" w:rsidRDefault="00F13024" w:rsidP="00F13024">
            <w:pPr>
              <w:pStyle w:val="TableColHead"/>
              <w:jc w:val="center"/>
              <w:rPr>
                <w:sz w:val="22"/>
                <w:szCs w:val="20"/>
                <w:lang w:val="en-AE" w:eastAsia="en-AE"/>
              </w:rPr>
            </w:pPr>
            <w:r w:rsidRPr="00F13024">
              <w:rPr>
                <w:sz w:val="22"/>
                <w:szCs w:val="20"/>
                <w:lang w:val="en-AE" w:eastAsia="en-AE"/>
              </w:rPr>
              <w:t>% of compromised network traffic</w:t>
            </w:r>
          </w:p>
        </w:tc>
      </w:tr>
      <w:tr w:rsidR="00F13024" w:rsidRPr="00F13024" w:rsidTr="00F13024">
        <w:trPr>
          <w:trHeight w:val="20"/>
        </w:trPr>
        <w:tc>
          <w:tcPr>
            <w:tcW w:w="1790" w:type="dxa"/>
            <w:vMerge/>
            <w:vAlign w:val="center"/>
            <w:hideMark/>
          </w:tcPr>
          <w:p w:rsidR="00F13024" w:rsidRPr="00F13024" w:rsidRDefault="00F13024" w:rsidP="00F13024">
            <w:pPr>
              <w:pStyle w:val="TableColHead"/>
              <w:rPr>
                <w:sz w:val="22"/>
                <w:szCs w:val="20"/>
                <w:lang w:val="en-AE" w:eastAsia="en-AE"/>
              </w:rPr>
            </w:pPr>
          </w:p>
        </w:tc>
        <w:tc>
          <w:tcPr>
            <w:tcW w:w="2430" w:type="dxa"/>
            <w:shd w:val="clear" w:color="auto" w:fill="auto"/>
            <w:vAlign w:val="center"/>
            <w:hideMark/>
          </w:tcPr>
          <w:p w:rsidR="00F13024" w:rsidRPr="00F13024" w:rsidRDefault="00F13024" w:rsidP="00F13024">
            <w:pPr>
              <w:pStyle w:val="TableColHead"/>
              <w:jc w:val="center"/>
              <w:rPr>
                <w:sz w:val="22"/>
                <w:szCs w:val="20"/>
                <w:lang w:val="en-AE" w:eastAsia="en-AE"/>
              </w:rPr>
            </w:pPr>
            <w:r w:rsidRPr="00F13024">
              <w:rPr>
                <w:sz w:val="22"/>
                <w:szCs w:val="20"/>
                <w:lang w:val="en-AE" w:eastAsia="en-AE"/>
              </w:rPr>
              <w:t>Affected</w:t>
            </w:r>
          </w:p>
        </w:tc>
        <w:tc>
          <w:tcPr>
            <w:tcW w:w="2250" w:type="dxa"/>
            <w:shd w:val="clear" w:color="auto" w:fill="auto"/>
            <w:vAlign w:val="center"/>
            <w:hideMark/>
          </w:tcPr>
          <w:p w:rsidR="00F13024" w:rsidRPr="00F13024" w:rsidRDefault="00F13024" w:rsidP="00F13024">
            <w:pPr>
              <w:pStyle w:val="TableColHead"/>
              <w:jc w:val="center"/>
              <w:rPr>
                <w:sz w:val="22"/>
                <w:szCs w:val="20"/>
                <w:lang w:val="en-AE" w:eastAsia="en-AE"/>
              </w:rPr>
            </w:pPr>
            <w:r w:rsidRPr="00F13024">
              <w:rPr>
                <w:sz w:val="22"/>
                <w:szCs w:val="20"/>
                <w:lang w:val="en-AE" w:eastAsia="en-AE"/>
              </w:rPr>
              <w:t>Not affected</w:t>
            </w:r>
          </w:p>
        </w:tc>
        <w:tc>
          <w:tcPr>
            <w:tcW w:w="990" w:type="dxa"/>
            <w:vMerge/>
            <w:vAlign w:val="center"/>
            <w:hideMark/>
          </w:tcPr>
          <w:p w:rsidR="00F13024" w:rsidRPr="00F13024" w:rsidRDefault="00F13024" w:rsidP="00F13024">
            <w:pPr>
              <w:pStyle w:val="TableColHead"/>
              <w:jc w:val="center"/>
              <w:rPr>
                <w:sz w:val="22"/>
                <w:szCs w:val="20"/>
                <w:lang w:val="en-AE" w:eastAsia="en-AE"/>
              </w:rPr>
            </w:pPr>
          </w:p>
        </w:tc>
        <w:tc>
          <w:tcPr>
            <w:tcW w:w="1540" w:type="dxa"/>
            <w:vMerge/>
            <w:vAlign w:val="center"/>
            <w:hideMark/>
          </w:tcPr>
          <w:p w:rsidR="00F13024" w:rsidRPr="00F13024" w:rsidRDefault="00F13024" w:rsidP="00F13024">
            <w:pPr>
              <w:pStyle w:val="TableColHead"/>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15 (after 100 sec)</w:t>
            </w:r>
          </w:p>
        </w:tc>
        <w:tc>
          <w:tcPr>
            <w:tcW w:w="243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3,4,5,7,8,9,11,12,13,16, 18,19,20,21,22,23,24,26</w:t>
            </w:r>
          </w:p>
        </w:tc>
        <w:tc>
          <w:tcPr>
            <w:tcW w:w="225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6,10,17,25</w:t>
            </w:r>
          </w:p>
        </w:tc>
        <w:tc>
          <w:tcPr>
            <w:tcW w:w="99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18</w:t>
            </w:r>
          </w:p>
        </w:tc>
        <w:tc>
          <w:tcPr>
            <w:tcW w:w="154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82%</w:t>
            </w: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 xml:space="preserve">2 (after 150 sec)  </w:t>
            </w:r>
          </w:p>
        </w:tc>
        <w:tc>
          <w:tcPr>
            <w:tcW w:w="2430" w:type="dxa"/>
            <w:vMerge/>
            <w:vAlign w:val="center"/>
            <w:hideMark/>
          </w:tcPr>
          <w:p w:rsidR="00F13024" w:rsidRPr="00F13024" w:rsidRDefault="00F13024" w:rsidP="00F13024">
            <w:pPr>
              <w:pStyle w:val="TableEntry"/>
              <w:rPr>
                <w:sz w:val="22"/>
                <w:szCs w:val="20"/>
                <w:lang w:val="en-AE" w:eastAsia="en-AE"/>
              </w:rPr>
            </w:pPr>
          </w:p>
        </w:tc>
        <w:tc>
          <w:tcPr>
            <w:tcW w:w="2250" w:type="dxa"/>
            <w:vMerge/>
            <w:vAlign w:val="center"/>
            <w:hideMark/>
          </w:tcPr>
          <w:p w:rsidR="00F13024" w:rsidRPr="00F13024" w:rsidRDefault="00F13024" w:rsidP="00F13024">
            <w:pPr>
              <w:pStyle w:val="TableEntry"/>
              <w:rPr>
                <w:sz w:val="22"/>
                <w:szCs w:val="20"/>
                <w:lang w:val="en-AE" w:eastAsia="en-AE"/>
              </w:rPr>
            </w:pPr>
          </w:p>
        </w:tc>
        <w:tc>
          <w:tcPr>
            <w:tcW w:w="990" w:type="dxa"/>
            <w:vMerge/>
            <w:vAlign w:val="center"/>
            <w:hideMark/>
          </w:tcPr>
          <w:p w:rsidR="00F13024" w:rsidRPr="00F13024" w:rsidRDefault="00F13024" w:rsidP="00F13024">
            <w:pPr>
              <w:pStyle w:val="TableEntry"/>
              <w:jc w:val="center"/>
              <w:rPr>
                <w:sz w:val="22"/>
                <w:szCs w:val="20"/>
                <w:lang w:val="en-AE" w:eastAsia="en-AE"/>
              </w:rPr>
            </w:pPr>
          </w:p>
        </w:tc>
        <w:tc>
          <w:tcPr>
            <w:tcW w:w="1540" w:type="dxa"/>
            <w:vMerge/>
            <w:vAlign w:val="center"/>
            <w:hideMark/>
          </w:tcPr>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3 (after 100 sec)</w:t>
            </w:r>
          </w:p>
        </w:tc>
        <w:tc>
          <w:tcPr>
            <w:tcW w:w="243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2,4,5,7,8,9,11,12,13,16,18,19,20,21,22,26</w:t>
            </w:r>
          </w:p>
        </w:tc>
        <w:tc>
          <w:tcPr>
            <w:tcW w:w="225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6,10,15,17,23,24</w:t>
            </w:r>
          </w:p>
        </w:tc>
        <w:tc>
          <w:tcPr>
            <w:tcW w:w="99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16</w:t>
            </w:r>
          </w:p>
        </w:tc>
        <w:tc>
          <w:tcPr>
            <w:tcW w:w="154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73%</w:t>
            </w: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 xml:space="preserve">25 (after 150 sec)  </w:t>
            </w:r>
          </w:p>
        </w:tc>
        <w:tc>
          <w:tcPr>
            <w:tcW w:w="2430" w:type="dxa"/>
            <w:vMerge/>
            <w:vAlign w:val="center"/>
            <w:hideMark/>
          </w:tcPr>
          <w:p w:rsidR="00F13024" w:rsidRPr="00F13024" w:rsidRDefault="00F13024" w:rsidP="00F13024">
            <w:pPr>
              <w:pStyle w:val="TableEntry"/>
              <w:rPr>
                <w:sz w:val="22"/>
                <w:szCs w:val="20"/>
                <w:lang w:val="en-AE" w:eastAsia="en-AE"/>
              </w:rPr>
            </w:pPr>
          </w:p>
        </w:tc>
        <w:tc>
          <w:tcPr>
            <w:tcW w:w="2250" w:type="dxa"/>
            <w:vMerge/>
            <w:vAlign w:val="center"/>
            <w:hideMark/>
          </w:tcPr>
          <w:p w:rsidR="00F13024" w:rsidRPr="00F13024" w:rsidRDefault="00F13024" w:rsidP="00F13024">
            <w:pPr>
              <w:pStyle w:val="TableEntry"/>
              <w:rPr>
                <w:sz w:val="22"/>
                <w:szCs w:val="20"/>
                <w:lang w:val="en-AE" w:eastAsia="en-AE"/>
              </w:rPr>
            </w:pPr>
          </w:p>
        </w:tc>
        <w:tc>
          <w:tcPr>
            <w:tcW w:w="990" w:type="dxa"/>
            <w:vMerge/>
            <w:vAlign w:val="center"/>
            <w:hideMark/>
          </w:tcPr>
          <w:p w:rsidR="00F13024" w:rsidRPr="00F13024" w:rsidRDefault="00F13024" w:rsidP="00F13024">
            <w:pPr>
              <w:pStyle w:val="TableEntry"/>
              <w:jc w:val="center"/>
              <w:rPr>
                <w:sz w:val="22"/>
                <w:szCs w:val="20"/>
                <w:lang w:val="en-AE" w:eastAsia="en-AE"/>
              </w:rPr>
            </w:pPr>
          </w:p>
        </w:tc>
        <w:tc>
          <w:tcPr>
            <w:tcW w:w="1540" w:type="dxa"/>
            <w:vMerge/>
            <w:vAlign w:val="center"/>
            <w:hideMark/>
          </w:tcPr>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18 (after 100 sec)</w:t>
            </w:r>
          </w:p>
        </w:tc>
        <w:tc>
          <w:tcPr>
            <w:tcW w:w="243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3,4,5,7,8,9,10,11,12,16,19,20,21,22,23</w:t>
            </w:r>
          </w:p>
        </w:tc>
        <w:tc>
          <w:tcPr>
            <w:tcW w:w="225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2,6,15,17,24,25,26</w:t>
            </w:r>
          </w:p>
        </w:tc>
        <w:tc>
          <w:tcPr>
            <w:tcW w:w="99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15</w:t>
            </w:r>
          </w:p>
          <w:p w:rsidR="00F13024" w:rsidRPr="00F13024" w:rsidRDefault="00F13024" w:rsidP="00F13024">
            <w:pPr>
              <w:pStyle w:val="TableEntry"/>
              <w:jc w:val="center"/>
              <w:rPr>
                <w:sz w:val="22"/>
                <w:szCs w:val="20"/>
                <w:lang w:val="en-AE" w:eastAsia="en-AE"/>
              </w:rPr>
            </w:pPr>
          </w:p>
        </w:tc>
        <w:tc>
          <w:tcPr>
            <w:tcW w:w="154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68%</w:t>
            </w:r>
          </w:p>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 xml:space="preserve">13 (after 150 sec)  </w:t>
            </w:r>
          </w:p>
        </w:tc>
        <w:tc>
          <w:tcPr>
            <w:tcW w:w="243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225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990" w:type="dxa"/>
            <w:vMerge/>
            <w:shd w:val="clear" w:color="auto" w:fill="auto"/>
            <w:vAlign w:val="center"/>
            <w:hideMark/>
          </w:tcPr>
          <w:p w:rsidR="00F13024" w:rsidRPr="00F13024" w:rsidRDefault="00F13024" w:rsidP="00F13024">
            <w:pPr>
              <w:pStyle w:val="TableEntry"/>
              <w:jc w:val="center"/>
              <w:rPr>
                <w:sz w:val="22"/>
                <w:szCs w:val="20"/>
                <w:lang w:val="en-AE" w:eastAsia="en-AE"/>
              </w:rPr>
            </w:pPr>
          </w:p>
        </w:tc>
        <w:tc>
          <w:tcPr>
            <w:tcW w:w="1540" w:type="dxa"/>
            <w:vMerge/>
            <w:shd w:val="clear" w:color="auto" w:fill="auto"/>
            <w:vAlign w:val="center"/>
            <w:hideMark/>
          </w:tcPr>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16 (after 100 sec)</w:t>
            </w:r>
          </w:p>
        </w:tc>
        <w:tc>
          <w:tcPr>
            <w:tcW w:w="243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2,4,5,7,8,11,12,13,18,19, 21,26</w:t>
            </w:r>
          </w:p>
        </w:tc>
        <w:tc>
          <w:tcPr>
            <w:tcW w:w="225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3,6,10,15,17,20,22,23,24, 25</w:t>
            </w:r>
          </w:p>
        </w:tc>
        <w:tc>
          <w:tcPr>
            <w:tcW w:w="99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13</w:t>
            </w:r>
          </w:p>
          <w:p w:rsidR="00F13024" w:rsidRPr="00F13024" w:rsidRDefault="00F13024" w:rsidP="00F13024">
            <w:pPr>
              <w:pStyle w:val="TableEntry"/>
              <w:jc w:val="center"/>
              <w:rPr>
                <w:sz w:val="22"/>
                <w:szCs w:val="20"/>
                <w:lang w:val="en-AE" w:eastAsia="en-AE"/>
              </w:rPr>
            </w:pPr>
          </w:p>
        </w:tc>
        <w:tc>
          <w:tcPr>
            <w:tcW w:w="154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59%</w:t>
            </w:r>
          </w:p>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 xml:space="preserve">9 (after 150 sec)  </w:t>
            </w:r>
          </w:p>
        </w:tc>
        <w:tc>
          <w:tcPr>
            <w:tcW w:w="243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225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990" w:type="dxa"/>
            <w:vMerge/>
            <w:shd w:val="clear" w:color="auto" w:fill="auto"/>
            <w:vAlign w:val="center"/>
            <w:hideMark/>
          </w:tcPr>
          <w:p w:rsidR="00F13024" w:rsidRPr="00F13024" w:rsidRDefault="00F13024" w:rsidP="00F13024">
            <w:pPr>
              <w:pStyle w:val="TableEntry"/>
              <w:jc w:val="center"/>
              <w:rPr>
                <w:sz w:val="22"/>
                <w:szCs w:val="20"/>
                <w:lang w:val="en-AE" w:eastAsia="en-AE"/>
              </w:rPr>
            </w:pPr>
          </w:p>
        </w:tc>
        <w:tc>
          <w:tcPr>
            <w:tcW w:w="1540" w:type="dxa"/>
            <w:vMerge/>
            <w:shd w:val="clear" w:color="auto" w:fill="auto"/>
            <w:vAlign w:val="center"/>
            <w:hideMark/>
          </w:tcPr>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12 (after 100 sec)</w:t>
            </w:r>
          </w:p>
        </w:tc>
        <w:tc>
          <w:tcPr>
            <w:tcW w:w="243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4,7,8,11,13,18,19,21,22</w:t>
            </w:r>
          </w:p>
        </w:tc>
        <w:tc>
          <w:tcPr>
            <w:tcW w:w="2250" w:type="dxa"/>
            <w:vMerge w:val="restart"/>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2,3,6,9,10,15,16,17,20,23,24,25,26</w:t>
            </w:r>
          </w:p>
        </w:tc>
        <w:tc>
          <w:tcPr>
            <w:tcW w:w="99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9</w:t>
            </w:r>
          </w:p>
          <w:p w:rsidR="00F13024" w:rsidRPr="00F13024" w:rsidRDefault="00F13024" w:rsidP="00F13024">
            <w:pPr>
              <w:pStyle w:val="TableEntry"/>
              <w:jc w:val="center"/>
              <w:rPr>
                <w:sz w:val="22"/>
                <w:szCs w:val="20"/>
                <w:lang w:val="en-AE" w:eastAsia="en-AE"/>
              </w:rPr>
            </w:pPr>
          </w:p>
        </w:tc>
        <w:tc>
          <w:tcPr>
            <w:tcW w:w="1540" w:type="dxa"/>
            <w:vMerge w:val="restart"/>
            <w:shd w:val="clear" w:color="auto" w:fill="auto"/>
            <w:vAlign w:val="center"/>
            <w:hideMark/>
          </w:tcPr>
          <w:p w:rsidR="00F13024" w:rsidRPr="00F13024" w:rsidRDefault="00F13024" w:rsidP="00F13024">
            <w:pPr>
              <w:pStyle w:val="TableEntry"/>
              <w:jc w:val="center"/>
              <w:rPr>
                <w:sz w:val="22"/>
                <w:szCs w:val="20"/>
                <w:lang w:val="en-AE" w:eastAsia="en-AE"/>
              </w:rPr>
            </w:pPr>
            <w:r w:rsidRPr="00F13024">
              <w:rPr>
                <w:sz w:val="22"/>
                <w:szCs w:val="20"/>
                <w:lang w:val="en-AE" w:eastAsia="en-AE"/>
              </w:rPr>
              <w:t>41%</w:t>
            </w:r>
          </w:p>
          <w:p w:rsidR="00F13024" w:rsidRPr="00F13024" w:rsidRDefault="00F13024" w:rsidP="00F13024">
            <w:pPr>
              <w:pStyle w:val="TableEntry"/>
              <w:jc w:val="center"/>
              <w:rPr>
                <w:sz w:val="22"/>
                <w:szCs w:val="20"/>
                <w:lang w:val="en-AE" w:eastAsia="en-AE"/>
              </w:rPr>
            </w:pPr>
          </w:p>
        </w:tc>
      </w:tr>
      <w:tr w:rsidR="00F13024" w:rsidRPr="00F13024" w:rsidTr="00F13024">
        <w:trPr>
          <w:trHeight w:val="20"/>
        </w:trPr>
        <w:tc>
          <w:tcPr>
            <w:tcW w:w="1790" w:type="dxa"/>
            <w:shd w:val="clear" w:color="auto" w:fill="auto"/>
            <w:vAlign w:val="center"/>
            <w:hideMark/>
          </w:tcPr>
          <w:p w:rsidR="00F13024" w:rsidRPr="00F13024" w:rsidRDefault="00F13024" w:rsidP="00F13024">
            <w:pPr>
              <w:pStyle w:val="TableEntry"/>
              <w:rPr>
                <w:sz w:val="22"/>
                <w:szCs w:val="20"/>
                <w:lang w:val="en-AE" w:eastAsia="en-AE"/>
              </w:rPr>
            </w:pPr>
            <w:r w:rsidRPr="00F13024">
              <w:rPr>
                <w:sz w:val="22"/>
                <w:szCs w:val="20"/>
                <w:lang w:val="en-AE" w:eastAsia="en-AE"/>
              </w:rPr>
              <w:t xml:space="preserve">5 (after 150 sec)  </w:t>
            </w:r>
          </w:p>
        </w:tc>
        <w:tc>
          <w:tcPr>
            <w:tcW w:w="243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225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990" w:type="dxa"/>
            <w:vMerge/>
            <w:shd w:val="clear" w:color="auto" w:fill="auto"/>
            <w:vAlign w:val="center"/>
            <w:hideMark/>
          </w:tcPr>
          <w:p w:rsidR="00F13024" w:rsidRPr="00F13024" w:rsidRDefault="00F13024" w:rsidP="00F13024">
            <w:pPr>
              <w:pStyle w:val="TableEntry"/>
              <w:rPr>
                <w:sz w:val="22"/>
                <w:szCs w:val="20"/>
                <w:lang w:val="en-AE" w:eastAsia="en-AE"/>
              </w:rPr>
            </w:pPr>
          </w:p>
        </w:tc>
        <w:tc>
          <w:tcPr>
            <w:tcW w:w="1540" w:type="dxa"/>
            <w:vMerge/>
            <w:shd w:val="clear" w:color="auto" w:fill="auto"/>
            <w:vAlign w:val="center"/>
            <w:hideMark/>
          </w:tcPr>
          <w:p w:rsidR="00F13024" w:rsidRPr="00F13024" w:rsidRDefault="00F13024" w:rsidP="00F13024">
            <w:pPr>
              <w:pStyle w:val="TableEntry"/>
              <w:rPr>
                <w:sz w:val="22"/>
                <w:szCs w:val="20"/>
                <w:lang w:val="en-AE" w:eastAsia="en-AE"/>
              </w:rPr>
            </w:pPr>
          </w:p>
        </w:tc>
      </w:tr>
    </w:tbl>
    <w:p w:rsidR="00F13024" w:rsidRPr="00F13024" w:rsidRDefault="00F13024" w:rsidP="00F13024">
      <w:pPr>
        <w:rPr>
          <w:color w:val="FF0000"/>
        </w:rPr>
      </w:pPr>
    </w:p>
    <w:p w:rsidR="00F13024" w:rsidRPr="00F13024" w:rsidRDefault="00F13024" w:rsidP="00052853">
      <w:pPr>
        <w:pStyle w:val="Caption-Table"/>
        <w:spacing w:line="276" w:lineRule="auto"/>
      </w:pPr>
      <w:bookmarkStart w:id="110" w:name="_Ref161536865"/>
      <w:bookmarkStart w:id="111" w:name="_Toc161655688"/>
      <w:bookmarkStart w:id="112" w:name="_Toc162790068"/>
      <w:r w:rsidRPr="00F13024">
        <w:t xml:space="preserve">Table </w:t>
      </w:r>
      <w:r w:rsidRPr="00F13024">
        <w:fldChar w:fldCharType="begin"/>
      </w:r>
      <w:r w:rsidRPr="00F13024">
        <w:instrText xml:space="preserve"> SEQ Table \* ARABIC </w:instrText>
      </w:r>
      <w:r w:rsidRPr="00F13024">
        <w:fldChar w:fldCharType="separate"/>
      </w:r>
      <w:r w:rsidR="00AA2760">
        <w:rPr>
          <w:noProof/>
        </w:rPr>
        <w:t>13</w:t>
      </w:r>
      <w:r w:rsidRPr="00F13024">
        <w:rPr>
          <w:noProof/>
        </w:rPr>
        <w:fldChar w:fldCharType="end"/>
      </w:r>
      <w:bookmarkEnd w:id="110"/>
      <w:r w:rsidRPr="00F13024">
        <w:t xml:space="preserve"> – </w:t>
      </w:r>
      <w:r w:rsidR="00052853">
        <w:t xml:space="preserve">Packet </w:t>
      </w:r>
      <w:r w:rsidRPr="00F13024">
        <w:t xml:space="preserve">Distribution </w:t>
      </w:r>
      <w:r w:rsidR="00052853">
        <w:t>in</w:t>
      </w:r>
      <w:r w:rsidRPr="00F13024">
        <w:t xml:space="preserve"> the Medium Sized Single-DODAG Network under Dual Sinkhole Attacks.</w:t>
      </w:r>
      <w:bookmarkEnd w:id="111"/>
      <w:bookmarkEnd w:id="112"/>
      <w:r w:rsidRPr="00F13024">
        <w:rPr>
          <w:noProof/>
        </w:rPr>
        <w:t xml:space="preserve"> </w:t>
      </w:r>
    </w:p>
    <w:tbl>
      <w:tblPr>
        <w:tblStyle w:val="TableGrid"/>
        <w:tblW w:w="0" w:type="auto"/>
        <w:jc w:val="center"/>
        <w:tblLook w:val="04A0" w:firstRow="1" w:lastRow="0" w:firstColumn="1" w:lastColumn="0" w:noHBand="0" w:noVBand="1"/>
      </w:tblPr>
      <w:tblGrid>
        <w:gridCol w:w="2490"/>
        <w:gridCol w:w="1825"/>
        <w:gridCol w:w="1710"/>
      </w:tblGrid>
      <w:tr w:rsidR="00F13024" w:rsidRPr="00F13024" w:rsidTr="00F13024">
        <w:trPr>
          <w:jc w:val="center"/>
        </w:trPr>
        <w:tc>
          <w:tcPr>
            <w:tcW w:w="2490" w:type="dxa"/>
          </w:tcPr>
          <w:p w:rsidR="00F13024" w:rsidRPr="00F13024" w:rsidRDefault="00F13024" w:rsidP="00F13024">
            <w:pPr>
              <w:pStyle w:val="TableColHead"/>
            </w:pPr>
            <w:r w:rsidRPr="00F13024">
              <w:t>Packet Type</w:t>
            </w:r>
          </w:p>
        </w:tc>
        <w:tc>
          <w:tcPr>
            <w:tcW w:w="1825" w:type="dxa"/>
            <w:vAlign w:val="center"/>
          </w:tcPr>
          <w:p w:rsidR="00F13024" w:rsidRPr="00F13024" w:rsidRDefault="00F13024" w:rsidP="00F13024">
            <w:pPr>
              <w:pStyle w:val="TableColHead"/>
              <w:jc w:val="center"/>
            </w:pPr>
            <w:r w:rsidRPr="00F13024">
              <w:t>Count</w:t>
            </w:r>
          </w:p>
        </w:tc>
        <w:tc>
          <w:tcPr>
            <w:tcW w:w="1710" w:type="dxa"/>
            <w:vAlign w:val="center"/>
          </w:tcPr>
          <w:p w:rsidR="00F13024" w:rsidRPr="00F13024" w:rsidRDefault="00F13024" w:rsidP="00F13024">
            <w:pPr>
              <w:pStyle w:val="TableColHead"/>
              <w:jc w:val="center"/>
            </w:pPr>
            <w:r w:rsidRPr="00F13024">
              <w:t>Percentage</w:t>
            </w:r>
          </w:p>
        </w:tc>
      </w:tr>
      <w:tr w:rsidR="00F13024" w:rsidRPr="00F13024" w:rsidTr="00F13024">
        <w:trPr>
          <w:jc w:val="center"/>
        </w:trPr>
        <w:tc>
          <w:tcPr>
            <w:tcW w:w="2490" w:type="dxa"/>
          </w:tcPr>
          <w:p w:rsidR="00F13024" w:rsidRPr="00F13024" w:rsidRDefault="00F13024" w:rsidP="00F13024">
            <w:pPr>
              <w:pStyle w:val="TableEntry"/>
            </w:pPr>
            <w:r w:rsidRPr="00F13024">
              <w:t>ICMPv6 – DIS</w:t>
            </w:r>
          </w:p>
        </w:tc>
        <w:tc>
          <w:tcPr>
            <w:tcW w:w="1825" w:type="dxa"/>
            <w:vAlign w:val="bottom"/>
          </w:tcPr>
          <w:p w:rsidR="00F13024" w:rsidRPr="00052853" w:rsidRDefault="00F13024" w:rsidP="00F13024">
            <w:pPr>
              <w:pStyle w:val="TableEntry"/>
              <w:jc w:val="center"/>
              <w:rPr>
                <w:highlight w:val="yellow"/>
              </w:rPr>
            </w:pPr>
            <w:r w:rsidRPr="00052853">
              <w:rPr>
                <w:highlight w:val="yellow"/>
              </w:rPr>
              <w:t>646</w:t>
            </w:r>
          </w:p>
        </w:tc>
        <w:tc>
          <w:tcPr>
            <w:tcW w:w="1710" w:type="dxa"/>
            <w:vAlign w:val="bottom"/>
          </w:tcPr>
          <w:p w:rsidR="00F13024" w:rsidRPr="00052853" w:rsidRDefault="00F13024" w:rsidP="00F13024">
            <w:pPr>
              <w:pStyle w:val="TableEntry"/>
              <w:jc w:val="center"/>
              <w:rPr>
                <w:highlight w:val="yellow"/>
              </w:rPr>
            </w:pPr>
            <w:r w:rsidRPr="00052853">
              <w:rPr>
                <w:highlight w:val="yellow"/>
              </w:rPr>
              <w:t>2%</w:t>
            </w:r>
          </w:p>
        </w:tc>
      </w:tr>
      <w:tr w:rsidR="00F13024" w:rsidRPr="00F13024" w:rsidTr="00F13024">
        <w:trPr>
          <w:jc w:val="center"/>
        </w:trPr>
        <w:tc>
          <w:tcPr>
            <w:tcW w:w="2490" w:type="dxa"/>
          </w:tcPr>
          <w:p w:rsidR="00F13024" w:rsidRPr="00F13024" w:rsidRDefault="00F13024" w:rsidP="00F13024">
            <w:pPr>
              <w:pStyle w:val="TableEntry"/>
            </w:pPr>
            <w:r w:rsidRPr="00F13024">
              <w:t>ICMPv6 – DIO</w:t>
            </w:r>
          </w:p>
        </w:tc>
        <w:tc>
          <w:tcPr>
            <w:tcW w:w="1825" w:type="dxa"/>
            <w:vAlign w:val="bottom"/>
          </w:tcPr>
          <w:p w:rsidR="00F13024" w:rsidRPr="00052853" w:rsidRDefault="00F13024" w:rsidP="00F13024">
            <w:pPr>
              <w:pStyle w:val="TableEntry"/>
              <w:jc w:val="center"/>
              <w:rPr>
                <w:highlight w:val="yellow"/>
              </w:rPr>
            </w:pPr>
            <w:r w:rsidRPr="00052853">
              <w:rPr>
                <w:highlight w:val="yellow"/>
              </w:rPr>
              <w:t>8,196</w:t>
            </w:r>
          </w:p>
        </w:tc>
        <w:tc>
          <w:tcPr>
            <w:tcW w:w="1710" w:type="dxa"/>
            <w:vAlign w:val="bottom"/>
          </w:tcPr>
          <w:p w:rsidR="00F13024" w:rsidRPr="00052853" w:rsidRDefault="00F13024" w:rsidP="00F13024">
            <w:pPr>
              <w:pStyle w:val="TableEntry"/>
              <w:jc w:val="center"/>
              <w:rPr>
                <w:highlight w:val="yellow"/>
              </w:rPr>
            </w:pPr>
            <w:r w:rsidRPr="00052853">
              <w:rPr>
                <w:highlight w:val="yellow"/>
              </w:rPr>
              <w:t>22.5%</w:t>
            </w:r>
          </w:p>
        </w:tc>
      </w:tr>
      <w:tr w:rsidR="00F13024" w:rsidRPr="00F13024" w:rsidTr="00F13024">
        <w:trPr>
          <w:jc w:val="center"/>
        </w:trPr>
        <w:tc>
          <w:tcPr>
            <w:tcW w:w="2490" w:type="dxa"/>
          </w:tcPr>
          <w:p w:rsidR="00F13024" w:rsidRPr="00F13024" w:rsidRDefault="00F13024" w:rsidP="00F13024">
            <w:pPr>
              <w:pStyle w:val="TableEntry"/>
            </w:pPr>
            <w:r w:rsidRPr="00F13024">
              <w:t>ICMPv6 – DAO</w:t>
            </w:r>
          </w:p>
        </w:tc>
        <w:tc>
          <w:tcPr>
            <w:tcW w:w="1825" w:type="dxa"/>
            <w:vAlign w:val="bottom"/>
          </w:tcPr>
          <w:p w:rsidR="00F13024" w:rsidRPr="00052853" w:rsidRDefault="00F13024" w:rsidP="00F13024">
            <w:pPr>
              <w:pStyle w:val="TableEntry"/>
              <w:jc w:val="center"/>
              <w:rPr>
                <w:highlight w:val="yellow"/>
              </w:rPr>
            </w:pPr>
            <w:r w:rsidRPr="00052853">
              <w:rPr>
                <w:highlight w:val="yellow"/>
              </w:rPr>
              <w:t>21,382</w:t>
            </w:r>
          </w:p>
        </w:tc>
        <w:tc>
          <w:tcPr>
            <w:tcW w:w="1710" w:type="dxa"/>
            <w:vAlign w:val="bottom"/>
          </w:tcPr>
          <w:p w:rsidR="00F13024" w:rsidRPr="00052853" w:rsidRDefault="00F13024" w:rsidP="00F13024">
            <w:pPr>
              <w:pStyle w:val="TableEntry"/>
              <w:jc w:val="center"/>
              <w:rPr>
                <w:highlight w:val="yellow"/>
              </w:rPr>
            </w:pPr>
            <w:r w:rsidRPr="00052853">
              <w:rPr>
                <w:highlight w:val="yellow"/>
              </w:rPr>
              <w:t>59%</w:t>
            </w:r>
          </w:p>
        </w:tc>
      </w:tr>
      <w:tr w:rsidR="00F13024" w:rsidRPr="00F13024" w:rsidTr="00F13024">
        <w:trPr>
          <w:trHeight w:val="199"/>
          <w:jc w:val="center"/>
        </w:trPr>
        <w:tc>
          <w:tcPr>
            <w:tcW w:w="2490" w:type="dxa"/>
          </w:tcPr>
          <w:p w:rsidR="00F13024" w:rsidRPr="00F13024" w:rsidRDefault="00F13024" w:rsidP="00F13024">
            <w:pPr>
              <w:pStyle w:val="TableEntry"/>
            </w:pPr>
            <w:r w:rsidRPr="00F13024">
              <w:t>ICMPv6 – DAO ACK</w:t>
            </w:r>
          </w:p>
        </w:tc>
        <w:tc>
          <w:tcPr>
            <w:tcW w:w="1825" w:type="dxa"/>
            <w:vAlign w:val="bottom"/>
          </w:tcPr>
          <w:p w:rsidR="00F13024" w:rsidRPr="00052853" w:rsidRDefault="00F13024" w:rsidP="00F13024">
            <w:pPr>
              <w:pStyle w:val="TableEntry"/>
              <w:jc w:val="center"/>
              <w:rPr>
                <w:highlight w:val="yellow"/>
              </w:rPr>
            </w:pPr>
            <w:r w:rsidRPr="00052853">
              <w:rPr>
                <w:highlight w:val="yellow"/>
              </w:rPr>
              <w:t>926</w:t>
            </w:r>
          </w:p>
        </w:tc>
        <w:tc>
          <w:tcPr>
            <w:tcW w:w="1710" w:type="dxa"/>
            <w:vAlign w:val="bottom"/>
          </w:tcPr>
          <w:p w:rsidR="00F13024" w:rsidRPr="00052853" w:rsidRDefault="00F13024" w:rsidP="00F13024">
            <w:pPr>
              <w:pStyle w:val="TableEntry"/>
              <w:jc w:val="center"/>
              <w:rPr>
                <w:highlight w:val="yellow"/>
              </w:rPr>
            </w:pPr>
            <w:r w:rsidRPr="00052853">
              <w:rPr>
                <w:highlight w:val="yellow"/>
              </w:rPr>
              <w:t>2.5%</w:t>
            </w:r>
          </w:p>
        </w:tc>
      </w:tr>
      <w:tr w:rsidR="00F13024" w:rsidRPr="00F13024" w:rsidTr="00F13024">
        <w:trPr>
          <w:trHeight w:val="199"/>
          <w:jc w:val="center"/>
        </w:trPr>
        <w:tc>
          <w:tcPr>
            <w:tcW w:w="2490" w:type="dxa"/>
          </w:tcPr>
          <w:p w:rsidR="00F13024" w:rsidRPr="00F13024" w:rsidRDefault="00F13024" w:rsidP="00F13024">
            <w:pPr>
              <w:pStyle w:val="TableEntry"/>
            </w:pPr>
            <w:r w:rsidRPr="00F13024">
              <w:t>UDP</w:t>
            </w:r>
          </w:p>
        </w:tc>
        <w:tc>
          <w:tcPr>
            <w:tcW w:w="1825" w:type="dxa"/>
            <w:vAlign w:val="bottom"/>
          </w:tcPr>
          <w:p w:rsidR="00F13024" w:rsidRPr="00052853" w:rsidRDefault="00F13024" w:rsidP="00F13024">
            <w:pPr>
              <w:pStyle w:val="TableEntry"/>
              <w:jc w:val="center"/>
              <w:rPr>
                <w:highlight w:val="yellow"/>
              </w:rPr>
            </w:pPr>
            <w:r w:rsidRPr="00052853">
              <w:rPr>
                <w:highlight w:val="yellow"/>
              </w:rPr>
              <w:t>5,223</w:t>
            </w:r>
          </w:p>
        </w:tc>
        <w:tc>
          <w:tcPr>
            <w:tcW w:w="1710" w:type="dxa"/>
            <w:vAlign w:val="bottom"/>
          </w:tcPr>
          <w:p w:rsidR="00F13024" w:rsidRPr="00052853" w:rsidRDefault="00F13024" w:rsidP="00F13024">
            <w:pPr>
              <w:pStyle w:val="TableEntry"/>
              <w:jc w:val="center"/>
              <w:rPr>
                <w:highlight w:val="yellow"/>
              </w:rPr>
            </w:pPr>
            <w:r w:rsidRPr="00052853">
              <w:rPr>
                <w:highlight w:val="yellow"/>
              </w:rPr>
              <w:t>14%</w:t>
            </w:r>
          </w:p>
        </w:tc>
      </w:tr>
      <w:tr w:rsidR="00F13024" w:rsidRPr="00F13024" w:rsidTr="00F13024">
        <w:trPr>
          <w:trHeight w:val="199"/>
          <w:jc w:val="center"/>
        </w:trPr>
        <w:tc>
          <w:tcPr>
            <w:tcW w:w="2490" w:type="dxa"/>
          </w:tcPr>
          <w:p w:rsidR="00F13024" w:rsidRPr="00F13024" w:rsidRDefault="00F13024" w:rsidP="00F13024">
            <w:pPr>
              <w:pStyle w:val="TableEntry"/>
              <w:rPr>
                <w:b/>
                <w:bCs/>
              </w:rPr>
            </w:pPr>
            <w:r w:rsidRPr="00F13024">
              <w:rPr>
                <w:b/>
                <w:bCs/>
              </w:rPr>
              <w:t>Totals</w:t>
            </w:r>
          </w:p>
        </w:tc>
        <w:tc>
          <w:tcPr>
            <w:tcW w:w="1825" w:type="dxa"/>
            <w:vAlign w:val="center"/>
          </w:tcPr>
          <w:p w:rsidR="00F13024" w:rsidRPr="00052853" w:rsidRDefault="00F13024" w:rsidP="00F13024">
            <w:pPr>
              <w:pStyle w:val="TableEntry"/>
              <w:jc w:val="center"/>
              <w:rPr>
                <w:b/>
                <w:bCs/>
                <w:highlight w:val="yellow"/>
              </w:rPr>
            </w:pPr>
            <w:r w:rsidRPr="00052853">
              <w:rPr>
                <w:b/>
                <w:bCs/>
                <w:highlight w:val="yellow"/>
              </w:rPr>
              <w:t>36,373</w:t>
            </w:r>
          </w:p>
        </w:tc>
        <w:tc>
          <w:tcPr>
            <w:tcW w:w="1710" w:type="dxa"/>
            <w:vAlign w:val="center"/>
          </w:tcPr>
          <w:p w:rsidR="00F13024" w:rsidRPr="00052853" w:rsidRDefault="00F13024" w:rsidP="00F13024">
            <w:pPr>
              <w:pStyle w:val="TableEntry"/>
              <w:jc w:val="center"/>
              <w:rPr>
                <w:b/>
                <w:bCs/>
                <w:highlight w:val="yellow"/>
              </w:rPr>
            </w:pPr>
            <w:r w:rsidRPr="00052853">
              <w:rPr>
                <w:b/>
                <w:bCs/>
                <w:highlight w:val="yellow"/>
              </w:rPr>
              <w:fldChar w:fldCharType="begin"/>
            </w:r>
            <w:r w:rsidRPr="00052853">
              <w:rPr>
                <w:b/>
                <w:bCs/>
                <w:highlight w:val="yellow"/>
              </w:rPr>
              <w:instrText xml:space="preserve"> =SUM(ABOVE)*100 \# "0.00%" </w:instrText>
            </w:r>
            <w:r w:rsidRPr="00052853">
              <w:rPr>
                <w:b/>
                <w:bCs/>
                <w:highlight w:val="yellow"/>
              </w:rPr>
              <w:fldChar w:fldCharType="separate"/>
            </w:r>
            <w:r w:rsidR="00AA2760">
              <w:rPr>
                <w:b/>
                <w:bCs/>
                <w:noProof/>
                <w:highlight w:val="yellow"/>
              </w:rPr>
              <w:t>100.00</w:t>
            </w:r>
            <w:r w:rsidR="00AA2760" w:rsidRPr="00052853">
              <w:rPr>
                <w:b/>
                <w:bCs/>
                <w:noProof/>
                <w:highlight w:val="yellow"/>
              </w:rPr>
              <w:t>%</w:t>
            </w:r>
            <w:r w:rsidRPr="00052853">
              <w:rPr>
                <w:b/>
                <w:bCs/>
                <w:highlight w:val="yellow"/>
              </w:rPr>
              <w:fldChar w:fldCharType="end"/>
            </w:r>
          </w:p>
        </w:tc>
      </w:tr>
    </w:tbl>
    <w:p w:rsidR="00F13024" w:rsidRPr="00F13024" w:rsidRDefault="00F13024" w:rsidP="00052853">
      <w:pPr>
        <w:pStyle w:val="Heading2"/>
      </w:pPr>
      <w:bookmarkStart w:id="113" w:name="_Toc162153383"/>
      <w:bookmarkStart w:id="114" w:name="_Ref162192704"/>
      <w:bookmarkStart w:id="115" w:name="_Toc162789998"/>
      <w:r w:rsidRPr="00F13024">
        <w:t>Medium-sized Dual-DODAG Network under a Dual Sinkhole Attack</w:t>
      </w:r>
      <w:bookmarkEnd w:id="113"/>
      <w:bookmarkEnd w:id="114"/>
      <w:bookmarkEnd w:id="115"/>
    </w:p>
    <w:p w:rsidR="005C539B" w:rsidRDefault="00F13024" w:rsidP="00052853">
      <w:r w:rsidRPr="00F13024">
        <w:t xml:space="preserve">The network of </w:t>
      </w:r>
      <w:r w:rsidRPr="00F13024">
        <w:fldChar w:fldCharType="begin"/>
      </w:r>
      <w:r w:rsidRPr="00F13024">
        <w:instrText xml:space="preserve"> REF _Ref160652565 \h  \* MERGEFORMAT </w:instrText>
      </w:r>
      <w:r w:rsidRPr="00F13024">
        <w:fldChar w:fldCharType="separate"/>
      </w:r>
      <w:r w:rsidR="00AA2760" w:rsidRPr="00F13024">
        <w:t xml:space="preserve">Figure </w:t>
      </w:r>
      <w:r w:rsidR="00AA2760">
        <w:rPr>
          <w:noProof/>
        </w:rPr>
        <w:t>4</w:t>
      </w:r>
      <w:r w:rsidRPr="00F13024">
        <w:fldChar w:fldCharType="end"/>
      </w:r>
      <w:r w:rsidRPr="00F13024">
        <w:t xml:space="preserve"> was recreated and simulated with two </w:t>
      </w:r>
      <w:r w:rsidR="005C539B">
        <w:t xml:space="preserve">nodes </w:t>
      </w:r>
      <w:r w:rsidRPr="00F13024">
        <w:t xml:space="preserve">launching a sinkhole attack. Given that this network topology is a combination of two small networks, therefore, investigating the situation of both attacks being launched in the same DODAG will devolve into the same behavior investigated in section </w:t>
      </w:r>
      <w:r w:rsidRPr="00F13024">
        <w:fldChar w:fldCharType="begin"/>
      </w:r>
      <w:r w:rsidRPr="00F13024">
        <w:instrText xml:space="preserve"> REF _Ref162105423 \r \h  \* MERGEFORMAT </w:instrText>
      </w:r>
      <w:r w:rsidRPr="00F13024">
        <w:fldChar w:fldCharType="separate"/>
      </w:r>
      <w:r w:rsidR="00AA2760">
        <w:rPr>
          <w:cs/>
        </w:rPr>
        <w:t>‎</w:t>
      </w:r>
      <w:r w:rsidR="00AA2760">
        <w:t>10.1</w:t>
      </w:r>
      <w:r w:rsidRPr="00F13024">
        <w:fldChar w:fldCharType="end"/>
      </w:r>
      <w:r w:rsidRPr="00F13024">
        <w:t xml:space="preserve">. Therefore, the dual attack simulations for this setup were implemented by initiating each attack in a separate DODAG. </w:t>
      </w:r>
    </w:p>
    <w:p w:rsidR="005C539B" w:rsidRDefault="005C539B" w:rsidP="00052853"/>
    <w:p w:rsidR="00F13024" w:rsidRPr="00F13024" w:rsidRDefault="00F13024" w:rsidP="00052853">
      <w:r w:rsidRPr="00F13024">
        <w:t xml:space="preserve">The following four representative combinations were selected through informed guessing: </w:t>
      </w:r>
      <w:r w:rsidRPr="00F13024">
        <w:rPr>
          <w:rFonts w:asciiTheme="majorBidi" w:eastAsia="Calibri" w:hAnsiTheme="majorBidi" w:cstheme="majorBidi"/>
        </w:rPr>
        <w:t xml:space="preserve"> </w:t>
      </w:r>
    </w:p>
    <w:p w:rsidR="00F13024" w:rsidRPr="00F13024" w:rsidRDefault="00F13024" w:rsidP="00F13024">
      <w:pPr>
        <w:pStyle w:val="BodyText"/>
        <w:numPr>
          <w:ilvl w:val="0"/>
          <w:numId w:val="12"/>
        </w:numPr>
      </w:pPr>
      <w:r w:rsidRPr="00F13024">
        <w:t>Node 7 (DODAG 1) and Node 26 (DODAG 2)</w:t>
      </w:r>
    </w:p>
    <w:p w:rsidR="00F13024" w:rsidRPr="00F13024" w:rsidRDefault="00F13024" w:rsidP="00F13024">
      <w:pPr>
        <w:pStyle w:val="BodyText"/>
        <w:numPr>
          <w:ilvl w:val="0"/>
          <w:numId w:val="12"/>
        </w:numPr>
      </w:pPr>
      <w:r w:rsidRPr="00F13024">
        <w:t>Node 17 (DODAG 2) and Node 12 (DODAG 1)</w:t>
      </w:r>
    </w:p>
    <w:p w:rsidR="00F13024" w:rsidRPr="00F13024" w:rsidRDefault="00F13024" w:rsidP="00F13024">
      <w:pPr>
        <w:pStyle w:val="BodyText"/>
        <w:numPr>
          <w:ilvl w:val="0"/>
          <w:numId w:val="12"/>
        </w:numPr>
      </w:pPr>
      <w:r w:rsidRPr="00F13024">
        <w:t>Node 8 (DODAG 1) and Node 19 (DODAG 2)</w:t>
      </w:r>
    </w:p>
    <w:p w:rsidR="00F13024" w:rsidRPr="00F13024" w:rsidRDefault="00F13024" w:rsidP="00F13024">
      <w:pPr>
        <w:pStyle w:val="BodyText"/>
        <w:numPr>
          <w:ilvl w:val="0"/>
          <w:numId w:val="12"/>
        </w:numPr>
      </w:pPr>
      <w:r w:rsidRPr="00F13024">
        <w:t>Node 10 (DODAG 1) and Node 20 (DODAG 2)</w:t>
      </w:r>
    </w:p>
    <w:p w:rsidR="00F13024" w:rsidRPr="00F13024" w:rsidRDefault="00F13024" w:rsidP="005C539B">
      <w:r w:rsidRPr="00F13024">
        <w:t xml:space="preserve">Then the network traffic was collected in a manner similar to what was discussed in earlier steps. Four components were added to the dataset to represent these four scenarios. The distribution of </w:t>
      </w:r>
      <w:r w:rsidR="005C539B">
        <w:t xml:space="preserve">the collected </w:t>
      </w:r>
      <w:r w:rsidRPr="00F13024">
        <w:t xml:space="preserve">samples </w:t>
      </w:r>
      <w:r w:rsidR="005C539B">
        <w:t xml:space="preserve">from a representative instance </w:t>
      </w:r>
      <w:r w:rsidRPr="00F13024">
        <w:t xml:space="preserve">is shown in </w:t>
      </w:r>
      <w:r w:rsidRPr="00F13024">
        <w:fldChar w:fldCharType="begin"/>
      </w:r>
      <w:r w:rsidRPr="00F13024">
        <w:instrText xml:space="preserve"> REF _Ref161537281 \h  \* MERGEFORMAT </w:instrText>
      </w:r>
      <w:r w:rsidRPr="00F13024">
        <w:fldChar w:fldCharType="separate"/>
      </w:r>
      <w:r w:rsidR="00AA2760" w:rsidRPr="00F13024">
        <w:t xml:space="preserve">Table </w:t>
      </w:r>
      <w:r w:rsidR="00AA2760">
        <w:rPr>
          <w:noProof/>
        </w:rPr>
        <w:t>14</w:t>
      </w:r>
      <w:r w:rsidRPr="00F13024">
        <w:fldChar w:fldCharType="end"/>
      </w:r>
      <w:r w:rsidRPr="00F13024">
        <w:t>.</w:t>
      </w:r>
    </w:p>
    <w:p w:rsidR="00F13024" w:rsidRPr="00F13024" w:rsidRDefault="00F13024" w:rsidP="005C539B">
      <w:pPr>
        <w:pStyle w:val="Caption-Table"/>
        <w:spacing w:line="276" w:lineRule="auto"/>
      </w:pPr>
      <w:bookmarkStart w:id="116" w:name="_Ref161537281"/>
      <w:bookmarkStart w:id="117" w:name="_Toc161655689"/>
      <w:bookmarkStart w:id="118" w:name="_Toc162790069"/>
      <w:r w:rsidRPr="00F13024">
        <w:lastRenderedPageBreak/>
        <w:t xml:space="preserve">Table </w:t>
      </w:r>
      <w:r w:rsidRPr="00F13024">
        <w:fldChar w:fldCharType="begin"/>
      </w:r>
      <w:r w:rsidRPr="00F13024">
        <w:instrText xml:space="preserve"> SEQ Table \* ARABIC </w:instrText>
      </w:r>
      <w:r w:rsidRPr="00F13024">
        <w:fldChar w:fldCharType="separate"/>
      </w:r>
      <w:r w:rsidR="00AA2760">
        <w:rPr>
          <w:noProof/>
        </w:rPr>
        <w:t>14</w:t>
      </w:r>
      <w:r w:rsidRPr="00F13024">
        <w:rPr>
          <w:noProof/>
        </w:rPr>
        <w:fldChar w:fldCharType="end"/>
      </w:r>
      <w:bookmarkEnd w:id="116"/>
      <w:r w:rsidRPr="00F13024">
        <w:t xml:space="preserve"> – </w:t>
      </w:r>
      <w:r w:rsidR="005C539B">
        <w:t xml:space="preserve">Packet </w:t>
      </w:r>
      <w:r w:rsidRPr="00F13024">
        <w:t xml:space="preserve">Distribution </w:t>
      </w:r>
      <w:r w:rsidR="005C539B">
        <w:t>in</w:t>
      </w:r>
      <w:r w:rsidRPr="00F13024">
        <w:t xml:space="preserve"> the Medium-Sized Dual-DODAG Network under Dual Sinkhole Attacks.</w:t>
      </w:r>
      <w:bookmarkEnd w:id="117"/>
      <w:bookmarkEnd w:id="118"/>
      <w:r w:rsidRPr="00F13024">
        <w:rPr>
          <w:noProof/>
        </w:rPr>
        <w:t xml:space="preserve"> </w:t>
      </w:r>
    </w:p>
    <w:tbl>
      <w:tblPr>
        <w:tblStyle w:val="TableGrid"/>
        <w:tblW w:w="0" w:type="auto"/>
        <w:jc w:val="center"/>
        <w:tblLook w:val="04A0" w:firstRow="1" w:lastRow="0" w:firstColumn="1" w:lastColumn="0" w:noHBand="0" w:noVBand="1"/>
      </w:tblPr>
      <w:tblGrid>
        <w:gridCol w:w="2490"/>
        <w:gridCol w:w="1915"/>
        <w:gridCol w:w="1800"/>
      </w:tblGrid>
      <w:tr w:rsidR="00F13024" w:rsidRPr="00F13024" w:rsidTr="00F13024">
        <w:trPr>
          <w:jc w:val="center"/>
        </w:trPr>
        <w:tc>
          <w:tcPr>
            <w:tcW w:w="2490" w:type="dxa"/>
          </w:tcPr>
          <w:p w:rsidR="00F13024" w:rsidRPr="00F13024" w:rsidRDefault="00F13024" w:rsidP="00F13024">
            <w:pPr>
              <w:pStyle w:val="TableColHead"/>
            </w:pPr>
            <w:r w:rsidRPr="00F13024">
              <w:t>Packet Type</w:t>
            </w:r>
          </w:p>
        </w:tc>
        <w:tc>
          <w:tcPr>
            <w:tcW w:w="1915" w:type="dxa"/>
          </w:tcPr>
          <w:p w:rsidR="00F13024" w:rsidRPr="00F13024" w:rsidRDefault="00F13024" w:rsidP="00F13024">
            <w:pPr>
              <w:pStyle w:val="TableColHead"/>
            </w:pPr>
            <w:r w:rsidRPr="00F13024">
              <w:t>Count</w:t>
            </w:r>
          </w:p>
        </w:tc>
        <w:tc>
          <w:tcPr>
            <w:tcW w:w="1800" w:type="dxa"/>
          </w:tcPr>
          <w:p w:rsidR="00F13024" w:rsidRPr="00F13024" w:rsidRDefault="00F13024" w:rsidP="00F13024">
            <w:pPr>
              <w:pStyle w:val="TableColHead"/>
            </w:pPr>
            <w:r w:rsidRPr="00F13024">
              <w:t>Percentage</w:t>
            </w:r>
          </w:p>
        </w:tc>
      </w:tr>
      <w:tr w:rsidR="00F13024" w:rsidRPr="00F13024" w:rsidTr="00F13024">
        <w:trPr>
          <w:jc w:val="center"/>
        </w:trPr>
        <w:tc>
          <w:tcPr>
            <w:tcW w:w="2490" w:type="dxa"/>
          </w:tcPr>
          <w:p w:rsidR="00F13024" w:rsidRPr="00F13024" w:rsidRDefault="00F13024" w:rsidP="00F13024">
            <w:pPr>
              <w:pStyle w:val="TableEntry"/>
            </w:pPr>
            <w:r w:rsidRPr="00F13024">
              <w:t>ICMPv6 – DIS</w:t>
            </w:r>
          </w:p>
        </w:tc>
        <w:tc>
          <w:tcPr>
            <w:tcW w:w="1915" w:type="dxa"/>
          </w:tcPr>
          <w:p w:rsidR="00F13024" w:rsidRPr="00F13024" w:rsidRDefault="00F13024" w:rsidP="00F13024">
            <w:pPr>
              <w:pStyle w:val="TableEntry"/>
              <w:jc w:val="center"/>
            </w:pPr>
            <w:r w:rsidRPr="00F13024">
              <w:t>456</w:t>
            </w:r>
          </w:p>
        </w:tc>
        <w:tc>
          <w:tcPr>
            <w:tcW w:w="1800" w:type="dxa"/>
          </w:tcPr>
          <w:p w:rsidR="00F13024" w:rsidRPr="00F13024" w:rsidRDefault="00F13024" w:rsidP="00F13024">
            <w:pPr>
              <w:pStyle w:val="TableEntry"/>
              <w:jc w:val="center"/>
            </w:pPr>
            <w:r w:rsidRPr="00F13024">
              <w:t>3%</w:t>
            </w:r>
          </w:p>
        </w:tc>
      </w:tr>
      <w:tr w:rsidR="00F13024" w:rsidRPr="00F13024" w:rsidTr="00F13024">
        <w:trPr>
          <w:jc w:val="center"/>
        </w:trPr>
        <w:tc>
          <w:tcPr>
            <w:tcW w:w="2490" w:type="dxa"/>
          </w:tcPr>
          <w:p w:rsidR="00F13024" w:rsidRPr="00F13024" w:rsidRDefault="00F13024" w:rsidP="00F13024">
            <w:pPr>
              <w:pStyle w:val="TableEntry"/>
            </w:pPr>
            <w:r w:rsidRPr="00F13024">
              <w:t>ICMPv6 – DIO</w:t>
            </w:r>
          </w:p>
        </w:tc>
        <w:tc>
          <w:tcPr>
            <w:tcW w:w="1915" w:type="dxa"/>
          </w:tcPr>
          <w:p w:rsidR="00F13024" w:rsidRPr="00F13024" w:rsidRDefault="00F13024" w:rsidP="00F13024">
            <w:pPr>
              <w:pStyle w:val="TableEntry"/>
              <w:jc w:val="center"/>
            </w:pPr>
            <w:r w:rsidRPr="00F13024">
              <w:t>5,639</w:t>
            </w:r>
          </w:p>
        </w:tc>
        <w:tc>
          <w:tcPr>
            <w:tcW w:w="1800" w:type="dxa"/>
          </w:tcPr>
          <w:p w:rsidR="00F13024" w:rsidRPr="00F13024" w:rsidRDefault="00F13024" w:rsidP="00F13024">
            <w:pPr>
              <w:pStyle w:val="TableEntry"/>
              <w:jc w:val="center"/>
            </w:pPr>
            <w:r w:rsidRPr="00F13024">
              <w:t>32%</w:t>
            </w:r>
          </w:p>
        </w:tc>
      </w:tr>
      <w:tr w:rsidR="00F13024" w:rsidRPr="00F13024" w:rsidTr="00F13024">
        <w:trPr>
          <w:jc w:val="center"/>
        </w:trPr>
        <w:tc>
          <w:tcPr>
            <w:tcW w:w="2490" w:type="dxa"/>
          </w:tcPr>
          <w:p w:rsidR="00F13024" w:rsidRPr="00F13024" w:rsidRDefault="00F13024" w:rsidP="00F13024">
            <w:pPr>
              <w:pStyle w:val="TableEntry"/>
            </w:pPr>
            <w:r w:rsidRPr="00F13024">
              <w:t>ICMPv6 – DAO</w:t>
            </w:r>
          </w:p>
        </w:tc>
        <w:tc>
          <w:tcPr>
            <w:tcW w:w="1915" w:type="dxa"/>
          </w:tcPr>
          <w:p w:rsidR="00F13024" w:rsidRPr="00F13024" w:rsidRDefault="00F13024" w:rsidP="00F13024">
            <w:pPr>
              <w:pStyle w:val="TableEntry"/>
              <w:jc w:val="center"/>
            </w:pPr>
            <w:r w:rsidRPr="00F13024">
              <w:t>8,884</w:t>
            </w:r>
          </w:p>
        </w:tc>
        <w:tc>
          <w:tcPr>
            <w:tcW w:w="1800" w:type="dxa"/>
          </w:tcPr>
          <w:p w:rsidR="00F13024" w:rsidRPr="00F13024" w:rsidRDefault="00F13024" w:rsidP="00F13024">
            <w:pPr>
              <w:pStyle w:val="TableEntry"/>
              <w:jc w:val="center"/>
            </w:pPr>
            <w:r w:rsidRPr="00F13024">
              <w:t>51%</w:t>
            </w:r>
          </w:p>
        </w:tc>
      </w:tr>
      <w:tr w:rsidR="00F13024" w:rsidRPr="00F13024" w:rsidTr="00F13024">
        <w:trPr>
          <w:jc w:val="center"/>
        </w:trPr>
        <w:tc>
          <w:tcPr>
            <w:tcW w:w="2490" w:type="dxa"/>
          </w:tcPr>
          <w:p w:rsidR="00F13024" w:rsidRPr="00F13024" w:rsidRDefault="00F13024" w:rsidP="00F13024">
            <w:pPr>
              <w:pStyle w:val="TableEntry"/>
            </w:pPr>
            <w:r w:rsidRPr="00F13024">
              <w:t>ICMPv6 – DAO ACK</w:t>
            </w:r>
          </w:p>
        </w:tc>
        <w:tc>
          <w:tcPr>
            <w:tcW w:w="1915" w:type="dxa"/>
          </w:tcPr>
          <w:p w:rsidR="00F13024" w:rsidRPr="00F13024" w:rsidRDefault="00F13024" w:rsidP="00F13024">
            <w:pPr>
              <w:pStyle w:val="TableEntry"/>
              <w:jc w:val="center"/>
            </w:pPr>
            <w:r w:rsidRPr="00F13024">
              <w:t>595</w:t>
            </w:r>
          </w:p>
        </w:tc>
        <w:tc>
          <w:tcPr>
            <w:tcW w:w="1800" w:type="dxa"/>
          </w:tcPr>
          <w:p w:rsidR="00F13024" w:rsidRPr="00F13024" w:rsidRDefault="00F13024" w:rsidP="00F13024">
            <w:pPr>
              <w:pStyle w:val="TableEntry"/>
              <w:jc w:val="center"/>
            </w:pPr>
            <w:r w:rsidRPr="00F13024">
              <w:t>3%</w:t>
            </w:r>
          </w:p>
        </w:tc>
      </w:tr>
      <w:tr w:rsidR="00F13024" w:rsidRPr="00F13024" w:rsidTr="00F13024">
        <w:trPr>
          <w:jc w:val="center"/>
        </w:trPr>
        <w:tc>
          <w:tcPr>
            <w:tcW w:w="2490" w:type="dxa"/>
          </w:tcPr>
          <w:p w:rsidR="00F13024" w:rsidRPr="00F13024" w:rsidRDefault="00F13024" w:rsidP="00F13024">
            <w:pPr>
              <w:pStyle w:val="TableEntry"/>
            </w:pPr>
            <w:r w:rsidRPr="00F13024">
              <w:t>UDP</w:t>
            </w:r>
          </w:p>
        </w:tc>
        <w:tc>
          <w:tcPr>
            <w:tcW w:w="1915" w:type="dxa"/>
          </w:tcPr>
          <w:p w:rsidR="00F13024" w:rsidRPr="00F13024" w:rsidRDefault="00F13024" w:rsidP="00F13024">
            <w:pPr>
              <w:pStyle w:val="TableEntry"/>
              <w:jc w:val="center"/>
            </w:pPr>
            <w:r w:rsidRPr="00F13024">
              <w:t>1,874</w:t>
            </w:r>
          </w:p>
        </w:tc>
        <w:tc>
          <w:tcPr>
            <w:tcW w:w="1800" w:type="dxa"/>
          </w:tcPr>
          <w:p w:rsidR="00F13024" w:rsidRPr="00F13024" w:rsidRDefault="00F13024" w:rsidP="00F13024">
            <w:pPr>
              <w:pStyle w:val="TableEntry"/>
              <w:jc w:val="center"/>
            </w:pPr>
            <w:r w:rsidRPr="00F13024">
              <w:t>11%</w:t>
            </w:r>
          </w:p>
        </w:tc>
      </w:tr>
      <w:tr w:rsidR="00F13024" w:rsidRPr="00F13024" w:rsidTr="00F13024">
        <w:trPr>
          <w:jc w:val="center"/>
        </w:trPr>
        <w:tc>
          <w:tcPr>
            <w:tcW w:w="2490" w:type="dxa"/>
          </w:tcPr>
          <w:p w:rsidR="00F13024" w:rsidRPr="00F13024" w:rsidRDefault="00F13024" w:rsidP="00F13024">
            <w:pPr>
              <w:pStyle w:val="TableEntry"/>
              <w:rPr>
                <w:b/>
                <w:bCs/>
              </w:rPr>
            </w:pPr>
            <w:r w:rsidRPr="00F13024">
              <w:rPr>
                <w:b/>
                <w:bCs/>
              </w:rPr>
              <w:t>Totals</w:t>
            </w:r>
          </w:p>
        </w:tc>
        <w:tc>
          <w:tcPr>
            <w:tcW w:w="1915" w:type="dxa"/>
          </w:tcPr>
          <w:p w:rsidR="00F13024" w:rsidRPr="00F13024" w:rsidRDefault="00F13024" w:rsidP="00F13024">
            <w:pPr>
              <w:pStyle w:val="TableEntry"/>
              <w:jc w:val="center"/>
              <w:rPr>
                <w:b/>
                <w:bCs/>
              </w:rPr>
            </w:pPr>
            <w:r w:rsidRPr="00F13024">
              <w:rPr>
                <w:b/>
                <w:bCs/>
              </w:rPr>
              <w:t>17,448</w:t>
            </w:r>
          </w:p>
        </w:tc>
        <w:tc>
          <w:tcPr>
            <w:tcW w:w="1800" w:type="dxa"/>
          </w:tcPr>
          <w:p w:rsidR="00F13024" w:rsidRPr="00F13024" w:rsidRDefault="00F13024" w:rsidP="00F13024">
            <w:pPr>
              <w:pStyle w:val="TableEntry"/>
              <w:jc w:val="center"/>
              <w:rPr>
                <w:b/>
                <w:bCs/>
              </w:rPr>
            </w:pPr>
            <w:r w:rsidRPr="00F13024">
              <w:rPr>
                <w:b/>
                <w:bCs/>
              </w:rPr>
              <w:fldChar w:fldCharType="begin"/>
            </w:r>
            <w:r w:rsidRPr="00F13024">
              <w:rPr>
                <w:b/>
                <w:bCs/>
              </w:rPr>
              <w:instrText xml:space="preserve"> =SUM(ABOVE)*100 \# "0.00%" </w:instrText>
            </w:r>
            <w:r w:rsidRPr="00F13024">
              <w:rPr>
                <w:b/>
                <w:bCs/>
              </w:rPr>
              <w:fldChar w:fldCharType="separate"/>
            </w:r>
            <w:r w:rsidR="00AA2760">
              <w:rPr>
                <w:b/>
                <w:bCs/>
                <w:noProof/>
              </w:rPr>
              <w:t>100.00</w:t>
            </w:r>
            <w:r w:rsidR="00AA2760" w:rsidRPr="00F13024">
              <w:rPr>
                <w:b/>
                <w:bCs/>
                <w:noProof/>
              </w:rPr>
              <w:t>%</w:t>
            </w:r>
            <w:r w:rsidRPr="00F13024">
              <w:rPr>
                <w:b/>
                <w:bCs/>
              </w:rPr>
              <w:fldChar w:fldCharType="end"/>
            </w:r>
          </w:p>
        </w:tc>
      </w:tr>
    </w:tbl>
    <w:p w:rsidR="005C539B" w:rsidRDefault="005C539B" w:rsidP="005C539B">
      <w:pPr>
        <w:pStyle w:val="Heading1"/>
      </w:pPr>
      <w:r>
        <w:t>Complete composition of the UOS_IOTSH_2024 Dataset</w:t>
      </w:r>
    </w:p>
    <w:p w:rsidR="00F13024" w:rsidRPr="00F13024" w:rsidRDefault="00F13024" w:rsidP="005C539B">
      <w:r w:rsidRPr="00F13024">
        <w:t>Once the samples for all of the different scenarios were collected, we ended up with a dataset comprised of 9 different categories covering different network sizes, different network topologies, and different attacker counts. In total, the dataset covers 57 different attack scenarios, and includes more than one million samples of network traffic</w:t>
      </w:r>
      <w:r w:rsidR="005C539B">
        <w:t xml:space="preserve"> as shown in </w:t>
      </w:r>
      <w:r w:rsidR="005C539B">
        <w:fldChar w:fldCharType="begin"/>
      </w:r>
      <w:r w:rsidR="005C539B">
        <w:instrText xml:space="preserve"> REF _Ref163137019 \h </w:instrText>
      </w:r>
      <w:r w:rsidR="005C539B">
        <w:fldChar w:fldCharType="separate"/>
      </w:r>
      <w:r w:rsidR="00AA2760" w:rsidRPr="00F13024">
        <w:t xml:space="preserve">Table </w:t>
      </w:r>
      <w:r w:rsidR="00AA2760">
        <w:rPr>
          <w:noProof/>
        </w:rPr>
        <w:t>15</w:t>
      </w:r>
      <w:r w:rsidR="005C539B">
        <w:fldChar w:fldCharType="end"/>
      </w:r>
      <w:r w:rsidRPr="00F13024">
        <w:t>.</w:t>
      </w:r>
    </w:p>
    <w:p w:rsidR="00F13024" w:rsidRPr="00F13024" w:rsidRDefault="00F13024" w:rsidP="00F13024">
      <w:pPr>
        <w:pStyle w:val="Caption-Table"/>
        <w:spacing w:line="276" w:lineRule="auto"/>
      </w:pPr>
      <w:bookmarkStart w:id="119" w:name="_Toc161655690"/>
      <w:bookmarkStart w:id="120" w:name="_Toc162790070"/>
      <w:bookmarkStart w:id="121" w:name="_Ref163137019"/>
      <w:r w:rsidRPr="00F13024">
        <w:t xml:space="preserve">Table </w:t>
      </w:r>
      <w:r w:rsidRPr="00F13024">
        <w:fldChar w:fldCharType="begin"/>
      </w:r>
      <w:r w:rsidRPr="00F13024">
        <w:instrText xml:space="preserve"> SEQ Table \* ARABIC </w:instrText>
      </w:r>
      <w:r w:rsidRPr="00F13024">
        <w:fldChar w:fldCharType="separate"/>
      </w:r>
      <w:r w:rsidR="00AA2760">
        <w:rPr>
          <w:noProof/>
        </w:rPr>
        <w:t>15</w:t>
      </w:r>
      <w:r w:rsidRPr="00F13024">
        <w:rPr>
          <w:noProof/>
        </w:rPr>
        <w:fldChar w:fldCharType="end"/>
      </w:r>
      <w:bookmarkEnd w:id="121"/>
      <w:r w:rsidRPr="00F13024">
        <w:t xml:space="preserve"> – Composition of the UOS_IOTSH_2024 Dataset</w:t>
      </w:r>
      <w:bookmarkEnd w:id="119"/>
      <w:bookmarkEnd w:id="120"/>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1620"/>
        <w:gridCol w:w="1530"/>
        <w:gridCol w:w="1500"/>
      </w:tblGrid>
      <w:tr w:rsidR="00F13024" w:rsidRPr="00F13024" w:rsidTr="005C539B">
        <w:trPr>
          <w:trHeight w:val="936"/>
          <w:jc w:val="center"/>
        </w:trPr>
        <w:tc>
          <w:tcPr>
            <w:tcW w:w="4050" w:type="dxa"/>
            <w:shd w:val="clear" w:color="auto" w:fill="auto"/>
            <w:vAlign w:val="center"/>
            <w:hideMark/>
          </w:tcPr>
          <w:p w:rsidR="00F13024" w:rsidRPr="00F13024" w:rsidRDefault="00F13024" w:rsidP="00F13024">
            <w:pPr>
              <w:pStyle w:val="TableColHead"/>
            </w:pPr>
            <w:r w:rsidRPr="00F13024">
              <w:t>Component</w:t>
            </w:r>
          </w:p>
        </w:tc>
        <w:tc>
          <w:tcPr>
            <w:tcW w:w="1620" w:type="dxa"/>
            <w:shd w:val="clear" w:color="auto" w:fill="auto"/>
            <w:vAlign w:val="center"/>
            <w:hideMark/>
          </w:tcPr>
          <w:p w:rsidR="00F13024" w:rsidRPr="00F13024" w:rsidRDefault="00F13024" w:rsidP="00F13024">
            <w:pPr>
              <w:pStyle w:val="TableColHead"/>
              <w:jc w:val="center"/>
            </w:pPr>
            <w:r w:rsidRPr="00F13024">
              <w:t>Number of Scenarios per Component</w:t>
            </w:r>
          </w:p>
        </w:tc>
        <w:tc>
          <w:tcPr>
            <w:tcW w:w="1530" w:type="dxa"/>
            <w:shd w:val="clear" w:color="auto" w:fill="auto"/>
            <w:vAlign w:val="center"/>
            <w:hideMark/>
          </w:tcPr>
          <w:p w:rsidR="00F13024" w:rsidRPr="00F13024" w:rsidRDefault="00F13024" w:rsidP="00F13024">
            <w:pPr>
              <w:pStyle w:val="TableColHead"/>
              <w:jc w:val="center"/>
            </w:pPr>
            <w:r w:rsidRPr="00F13024">
              <w:t>Number of Samples per Scenario</w:t>
            </w:r>
          </w:p>
        </w:tc>
        <w:tc>
          <w:tcPr>
            <w:tcW w:w="1500" w:type="dxa"/>
            <w:shd w:val="clear" w:color="auto" w:fill="auto"/>
            <w:vAlign w:val="center"/>
            <w:hideMark/>
          </w:tcPr>
          <w:p w:rsidR="00F13024" w:rsidRPr="00F13024" w:rsidRDefault="00F13024" w:rsidP="00F13024">
            <w:pPr>
              <w:pStyle w:val="TableColHead"/>
              <w:jc w:val="center"/>
            </w:pPr>
            <w:r w:rsidRPr="00F13024">
              <w:t>Number of Samples per Component</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Small Single-DODAG Network under Normal Behavior</w:t>
            </w:r>
          </w:p>
        </w:tc>
        <w:tc>
          <w:tcPr>
            <w:tcW w:w="1620" w:type="dxa"/>
            <w:shd w:val="clear" w:color="auto" w:fill="auto"/>
            <w:vAlign w:val="center"/>
            <w:hideMark/>
          </w:tcPr>
          <w:p w:rsidR="00F13024" w:rsidRPr="00F13024" w:rsidRDefault="00F13024" w:rsidP="00F13024">
            <w:pPr>
              <w:pStyle w:val="TableEntry"/>
              <w:jc w:val="center"/>
            </w:pPr>
            <w:r w:rsidRPr="00F13024">
              <w:t>1</w:t>
            </w:r>
          </w:p>
        </w:tc>
        <w:tc>
          <w:tcPr>
            <w:tcW w:w="1530" w:type="dxa"/>
            <w:shd w:val="clear" w:color="auto" w:fill="auto"/>
            <w:vAlign w:val="center"/>
            <w:hideMark/>
          </w:tcPr>
          <w:p w:rsidR="00F13024" w:rsidRPr="00F13024" w:rsidRDefault="00F13024" w:rsidP="00F13024">
            <w:pPr>
              <w:jc w:val="center"/>
            </w:pPr>
            <w:r w:rsidRPr="00F13024">
              <w:t>5,923</w:t>
            </w:r>
          </w:p>
        </w:tc>
        <w:tc>
          <w:tcPr>
            <w:tcW w:w="1500" w:type="dxa"/>
            <w:shd w:val="clear" w:color="auto" w:fill="auto"/>
            <w:vAlign w:val="center"/>
            <w:hideMark/>
          </w:tcPr>
          <w:p w:rsidR="00F13024" w:rsidRPr="00F13024" w:rsidRDefault="00F13024" w:rsidP="00F13024">
            <w:pPr>
              <w:jc w:val="center"/>
            </w:pPr>
            <w:r w:rsidRPr="00F13024">
              <w:t>5,923</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Medium-sized Single-DODAG Network under Normal Behavior</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1</w:t>
            </w:r>
          </w:p>
        </w:tc>
        <w:tc>
          <w:tcPr>
            <w:tcW w:w="1530" w:type="dxa"/>
            <w:shd w:val="clear" w:color="auto" w:fill="auto"/>
            <w:noWrap/>
            <w:vAlign w:val="center"/>
            <w:hideMark/>
          </w:tcPr>
          <w:p w:rsidR="00F13024" w:rsidRPr="00F13024" w:rsidRDefault="00F13024" w:rsidP="00F13024">
            <w:pPr>
              <w:jc w:val="center"/>
            </w:pPr>
            <w:r w:rsidRPr="00F13024">
              <w:t>36,759</w:t>
            </w:r>
          </w:p>
        </w:tc>
        <w:tc>
          <w:tcPr>
            <w:tcW w:w="1500" w:type="dxa"/>
            <w:shd w:val="clear" w:color="auto" w:fill="auto"/>
            <w:vAlign w:val="center"/>
            <w:hideMark/>
          </w:tcPr>
          <w:p w:rsidR="00F13024" w:rsidRPr="00F13024" w:rsidRDefault="00F13024" w:rsidP="00F13024">
            <w:pPr>
              <w:jc w:val="center"/>
            </w:pPr>
            <w:r w:rsidRPr="00F13024">
              <w:t>36,759</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Medium-sized Dual-DODAG Network under Normal Behavior</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1</w:t>
            </w:r>
          </w:p>
        </w:tc>
        <w:tc>
          <w:tcPr>
            <w:tcW w:w="1530" w:type="dxa"/>
            <w:shd w:val="clear" w:color="auto" w:fill="auto"/>
            <w:noWrap/>
            <w:vAlign w:val="center"/>
            <w:hideMark/>
          </w:tcPr>
          <w:p w:rsidR="00F13024" w:rsidRPr="00F13024" w:rsidRDefault="00F13024" w:rsidP="00F13024">
            <w:pPr>
              <w:jc w:val="center"/>
            </w:pPr>
            <w:r w:rsidRPr="00F13024">
              <w:t>16,699</w:t>
            </w:r>
          </w:p>
        </w:tc>
        <w:tc>
          <w:tcPr>
            <w:tcW w:w="1500" w:type="dxa"/>
            <w:shd w:val="clear" w:color="auto" w:fill="auto"/>
            <w:vAlign w:val="center"/>
            <w:hideMark/>
          </w:tcPr>
          <w:p w:rsidR="00F13024" w:rsidRPr="00F13024" w:rsidRDefault="00F13024" w:rsidP="00F13024">
            <w:pPr>
              <w:jc w:val="center"/>
            </w:pPr>
            <w:r w:rsidRPr="00F13024">
              <w:t>16,699</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Small Single-DODAG Network under a Single Sinkhole Attack</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12</w:t>
            </w:r>
          </w:p>
        </w:tc>
        <w:tc>
          <w:tcPr>
            <w:tcW w:w="1530" w:type="dxa"/>
            <w:shd w:val="clear" w:color="auto" w:fill="auto"/>
            <w:noWrap/>
            <w:vAlign w:val="center"/>
            <w:hideMark/>
          </w:tcPr>
          <w:p w:rsidR="00F13024" w:rsidRPr="00F13024" w:rsidRDefault="00F13024" w:rsidP="00F13024">
            <w:pPr>
              <w:jc w:val="center"/>
            </w:pPr>
            <w:r w:rsidRPr="00F13024">
              <w:t>5,582</w:t>
            </w:r>
          </w:p>
        </w:tc>
        <w:tc>
          <w:tcPr>
            <w:tcW w:w="1500" w:type="dxa"/>
            <w:shd w:val="clear" w:color="auto" w:fill="auto"/>
            <w:vAlign w:val="center"/>
            <w:hideMark/>
          </w:tcPr>
          <w:p w:rsidR="00F13024" w:rsidRPr="00F13024" w:rsidRDefault="00F13024" w:rsidP="00F13024">
            <w:pPr>
              <w:jc w:val="center"/>
            </w:pPr>
            <w:r w:rsidRPr="00F13024">
              <w:t>66,984</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Medium-sized Single-DODAG Network under a Single Sinkhole Attack</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24</w:t>
            </w:r>
          </w:p>
        </w:tc>
        <w:tc>
          <w:tcPr>
            <w:tcW w:w="1530" w:type="dxa"/>
            <w:shd w:val="clear" w:color="auto" w:fill="auto"/>
            <w:noWrap/>
            <w:vAlign w:val="center"/>
            <w:hideMark/>
          </w:tcPr>
          <w:p w:rsidR="00F13024" w:rsidRPr="00F13024" w:rsidRDefault="00F13024" w:rsidP="00F13024">
            <w:pPr>
              <w:jc w:val="center"/>
            </w:pPr>
            <w:r w:rsidRPr="00F13024">
              <w:t>37,342</w:t>
            </w:r>
          </w:p>
        </w:tc>
        <w:tc>
          <w:tcPr>
            <w:tcW w:w="1500" w:type="dxa"/>
            <w:shd w:val="clear" w:color="auto" w:fill="auto"/>
            <w:vAlign w:val="center"/>
          </w:tcPr>
          <w:p w:rsidR="00F13024" w:rsidRPr="00F13024" w:rsidRDefault="00F13024" w:rsidP="00F13024">
            <w:pPr>
              <w:jc w:val="center"/>
            </w:pPr>
            <w:r w:rsidRPr="00F13024">
              <w:t>896,208</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Medium-sized Dual-DODAG Network under a Single Sinkhole Attack</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8</w:t>
            </w:r>
          </w:p>
        </w:tc>
        <w:tc>
          <w:tcPr>
            <w:tcW w:w="1530" w:type="dxa"/>
            <w:shd w:val="clear" w:color="auto" w:fill="auto"/>
            <w:noWrap/>
            <w:vAlign w:val="center"/>
            <w:hideMark/>
          </w:tcPr>
          <w:p w:rsidR="00F13024" w:rsidRPr="00F13024" w:rsidRDefault="00F13024" w:rsidP="00F13024">
            <w:pPr>
              <w:jc w:val="center"/>
            </w:pPr>
            <w:r w:rsidRPr="00F13024">
              <w:t>16,743</w:t>
            </w:r>
          </w:p>
        </w:tc>
        <w:tc>
          <w:tcPr>
            <w:tcW w:w="1500" w:type="dxa"/>
            <w:shd w:val="clear" w:color="auto" w:fill="auto"/>
            <w:vAlign w:val="center"/>
            <w:hideMark/>
          </w:tcPr>
          <w:p w:rsidR="00F13024" w:rsidRPr="00F13024" w:rsidRDefault="00F13024" w:rsidP="00F13024">
            <w:pPr>
              <w:jc w:val="center"/>
            </w:pPr>
            <w:r w:rsidRPr="00F13024">
              <w:t>133,944</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Small Single-DODAG Network under Dual Sinkhole Attacks</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4</w:t>
            </w:r>
          </w:p>
        </w:tc>
        <w:tc>
          <w:tcPr>
            <w:tcW w:w="1530" w:type="dxa"/>
            <w:shd w:val="clear" w:color="auto" w:fill="auto"/>
            <w:noWrap/>
            <w:vAlign w:val="center"/>
            <w:hideMark/>
          </w:tcPr>
          <w:p w:rsidR="00F13024" w:rsidRPr="00F13024" w:rsidRDefault="00F13024" w:rsidP="00F13024">
            <w:pPr>
              <w:jc w:val="center"/>
            </w:pPr>
            <w:r w:rsidRPr="00F13024">
              <w:t>5,767</w:t>
            </w:r>
          </w:p>
        </w:tc>
        <w:tc>
          <w:tcPr>
            <w:tcW w:w="1500" w:type="dxa"/>
            <w:shd w:val="clear" w:color="auto" w:fill="auto"/>
            <w:vAlign w:val="center"/>
            <w:hideMark/>
          </w:tcPr>
          <w:p w:rsidR="00F13024" w:rsidRPr="00F13024" w:rsidRDefault="00F13024" w:rsidP="00F13024">
            <w:pPr>
              <w:jc w:val="center"/>
            </w:pPr>
            <w:r w:rsidRPr="00F13024">
              <w:t>23,068</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 Sized Single-RPL Network under Dual Sinkhole Attacks</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5</w:t>
            </w:r>
          </w:p>
        </w:tc>
        <w:tc>
          <w:tcPr>
            <w:tcW w:w="1530" w:type="dxa"/>
            <w:shd w:val="clear" w:color="auto" w:fill="auto"/>
            <w:noWrap/>
            <w:vAlign w:val="center"/>
            <w:hideMark/>
          </w:tcPr>
          <w:p w:rsidR="00F13024" w:rsidRPr="00F13024" w:rsidRDefault="00F13024" w:rsidP="00F13024">
            <w:pPr>
              <w:jc w:val="center"/>
            </w:pPr>
            <w:r w:rsidRPr="00F13024">
              <w:t>36,373</w:t>
            </w:r>
          </w:p>
        </w:tc>
        <w:tc>
          <w:tcPr>
            <w:tcW w:w="1500" w:type="dxa"/>
            <w:shd w:val="clear" w:color="auto" w:fill="auto"/>
            <w:vAlign w:val="center"/>
          </w:tcPr>
          <w:p w:rsidR="00F13024" w:rsidRPr="00F13024" w:rsidRDefault="00F13024" w:rsidP="00F13024">
            <w:pPr>
              <w:jc w:val="center"/>
            </w:pPr>
            <w:r w:rsidRPr="00F13024">
              <w:t>181,865</w:t>
            </w:r>
          </w:p>
        </w:tc>
      </w:tr>
      <w:tr w:rsidR="00F13024" w:rsidRPr="00F13024" w:rsidTr="005C539B">
        <w:trPr>
          <w:trHeight w:val="432"/>
          <w:jc w:val="center"/>
        </w:trPr>
        <w:tc>
          <w:tcPr>
            <w:tcW w:w="4050" w:type="dxa"/>
            <w:shd w:val="clear" w:color="auto" w:fill="auto"/>
            <w:vAlign w:val="center"/>
            <w:hideMark/>
          </w:tcPr>
          <w:p w:rsidR="00F13024" w:rsidRPr="00F13024" w:rsidRDefault="00F13024" w:rsidP="00F13024">
            <w:pPr>
              <w:pStyle w:val="TableEntry"/>
              <w:jc w:val="left"/>
            </w:pPr>
            <w:r w:rsidRPr="00F13024">
              <w:t>Medium Sized Dual-DODAG Network under Dual Sinkhole Attacks</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sz w:val="22"/>
              </w:rPr>
            </w:pPr>
            <w:r w:rsidRPr="00F13024">
              <w:rPr>
                <w:rFonts w:ascii="Calibri" w:hAnsi="Calibri" w:cs="Calibri"/>
                <w:sz w:val="22"/>
              </w:rPr>
              <w:t>4</w:t>
            </w:r>
          </w:p>
        </w:tc>
        <w:tc>
          <w:tcPr>
            <w:tcW w:w="1530" w:type="dxa"/>
            <w:shd w:val="clear" w:color="auto" w:fill="auto"/>
            <w:noWrap/>
            <w:vAlign w:val="center"/>
            <w:hideMark/>
          </w:tcPr>
          <w:p w:rsidR="00F13024" w:rsidRPr="00F13024" w:rsidRDefault="00F13024" w:rsidP="00F13024">
            <w:pPr>
              <w:jc w:val="center"/>
            </w:pPr>
            <w:r w:rsidRPr="00F13024">
              <w:t>17,449</w:t>
            </w:r>
          </w:p>
        </w:tc>
        <w:tc>
          <w:tcPr>
            <w:tcW w:w="1500" w:type="dxa"/>
            <w:shd w:val="clear" w:color="auto" w:fill="auto"/>
            <w:vAlign w:val="center"/>
            <w:hideMark/>
          </w:tcPr>
          <w:p w:rsidR="00F13024" w:rsidRPr="00F13024" w:rsidRDefault="00F13024" w:rsidP="00F13024">
            <w:pPr>
              <w:jc w:val="center"/>
            </w:pPr>
            <w:r w:rsidRPr="00F13024">
              <w:t>69,796</w:t>
            </w:r>
          </w:p>
        </w:tc>
      </w:tr>
      <w:tr w:rsidR="00F13024" w:rsidRPr="00F13024" w:rsidTr="005C539B">
        <w:trPr>
          <w:trHeight w:val="720"/>
          <w:jc w:val="center"/>
        </w:trPr>
        <w:tc>
          <w:tcPr>
            <w:tcW w:w="4050" w:type="dxa"/>
            <w:shd w:val="clear" w:color="auto" w:fill="auto"/>
            <w:vAlign w:val="center"/>
            <w:hideMark/>
          </w:tcPr>
          <w:p w:rsidR="00F13024" w:rsidRPr="00F13024" w:rsidRDefault="00F13024" w:rsidP="00F13024">
            <w:pPr>
              <w:pStyle w:val="TableEntry"/>
              <w:jc w:val="center"/>
              <w:rPr>
                <w:rFonts w:ascii="Calibri" w:hAnsi="Calibri" w:cs="Calibri"/>
                <w:b/>
                <w:bCs/>
                <w:sz w:val="22"/>
              </w:rPr>
            </w:pPr>
            <w:r w:rsidRPr="00F13024">
              <w:rPr>
                <w:rFonts w:ascii="Calibri" w:hAnsi="Calibri" w:cs="Calibri"/>
                <w:b/>
                <w:bCs/>
                <w:sz w:val="22"/>
              </w:rPr>
              <w:t>Total</w:t>
            </w:r>
          </w:p>
        </w:tc>
        <w:tc>
          <w:tcPr>
            <w:tcW w:w="1620" w:type="dxa"/>
            <w:shd w:val="clear" w:color="auto" w:fill="auto"/>
            <w:noWrap/>
            <w:vAlign w:val="center"/>
            <w:hideMark/>
          </w:tcPr>
          <w:p w:rsidR="00F13024" w:rsidRPr="00F13024" w:rsidRDefault="00F13024" w:rsidP="00F13024">
            <w:pPr>
              <w:pStyle w:val="TableEntry"/>
              <w:jc w:val="center"/>
              <w:rPr>
                <w:rFonts w:ascii="Calibri" w:hAnsi="Calibri" w:cs="Calibri"/>
                <w:b/>
                <w:bCs/>
                <w:sz w:val="22"/>
              </w:rPr>
            </w:pPr>
            <w:r w:rsidRPr="00F13024">
              <w:rPr>
                <w:rFonts w:ascii="Calibri" w:hAnsi="Calibri" w:cs="Calibri"/>
                <w:b/>
                <w:bCs/>
                <w:sz w:val="22"/>
              </w:rPr>
              <w:fldChar w:fldCharType="begin"/>
            </w:r>
            <w:r w:rsidRPr="00F13024">
              <w:rPr>
                <w:rFonts w:ascii="Calibri" w:hAnsi="Calibri" w:cs="Calibri"/>
                <w:b/>
                <w:bCs/>
                <w:sz w:val="22"/>
              </w:rPr>
              <w:instrText xml:space="preserve"> =SUM(ABOVE) </w:instrText>
            </w:r>
            <w:r w:rsidRPr="00F13024">
              <w:rPr>
                <w:rFonts w:ascii="Calibri" w:hAnsi="Calibri" w:cs="Calibri"/>
                <w:b/>
                <w:bCs/>
                <w:sz w:val="22"/>
              </w:rPr>
              <w:fldChar w:fldCharType="separate"/>
            </w:r>
            <w:r w:rsidR="00AA2760">
              <w:rPr>
                <w:rFonts w:ascii="Calibri" w:hAnsi="Calibri" w:cs="Calibri"/>
                <w:b/>
                <w:bCs/>
                <w:noProof/>
                <w:sz w:val="22"/>
              </w:rPr>
              <w:t>60</w:t>
            </w:r>
            <w:r w:rsidRPr="00F13024">
              <w:rPr>
                <w:rFonts w:ascii="Calibri" w:hAnsi="Calibri" w:cs="Calibri"/>
                <w:b/>
                <w:bCs/>
                <w:sz w:val="22"/>
              </w:rPr>
              <w:fldChar w:fldCharType="end"/>
            </w:r>
          </w:p>
        </w:tc>
        <w:tc>
          <w:tcPr>
            <w:tcW w:w="1530" w:type="dxa"/>
            <w:shd w:val="clear" w:color="auto" w:fill="auto"/>
            <w:noWrap/>
            <w:vAlign w:val="center"/>
            <w:hideMark/>
          </w:tcPr>
          <w:p w:rsidR="00F13024" w:rsidRPr="00F13024" w:rsidRDefault="00F13024" w:rsidP="00F13024">
            <w:pPr>
              <w:pStyle w:val="TableEntry"/>
              <w:jc w:val="center"/>
              <w:rPr>
                <w:rFonts w:ascii="Calibri" w:hAnsi="Calibri" w:cs="Calibri"/>
                <w:b/>
                <w:bCs/>
                <w:sz w:val="22"/>
              </w:rPr>
            </w:pPr>
          </w:p>
        </w:tc>
        <w:tc>
          <w:tcPr>
            <w:tcW w:w="1500" w:type="dxa"/>
            <w:shd w:val="clear" w:color="auto" w:fill="auto"/>
            <w:vAlign w:val="center"/>
            <w:hideMark/>
          </w:tcPr>
          <w:p w:rsidR="00F13024" w:rsidRPr="00F13024" w:rsidRDefault="00F13024" w:rsidP="00F13024">
            <w:pPr>
              <w:pStyle w:val="TableEntry"/>
              <w:jc w:val="center"/>
              <w:rPr>
                <w:rFonts w:ascii="Calibri" w:hAnsi="Calibri" w:cs="Calibri"/>
                <w:b/>
                <w:bCs/>
                <w:noProof/>
                <w:sz w:val="22"/>
              </w:rPr>
            </w:pPr>
            <w:r w:rsidRPr="00F13024">
              <w:rPr>
                <w:rFonts w:ascii="Calibri" w:hAnsi="Calibri" w:cs="Calibri"/>
                <w:b/>
                <w:bCs/>
                <w:noProof/>
                <w:sz w:val="22"/>
              </w:rPr>
              <w:t>1,431,246</w:t>
            </w:r>
          </w:p>
        </w:tc>
      </w:tr>
    </w:tbl>
    <w:p w:rsidR="00F13024" w:rsidRPr="00F13024" w:rsidRDefault="00F13024" w:rsidP="00F13024"/>
    <w:p w:rsidR="00F13024" w:rsidRPr="00F13024" w:rsidRDefault="00F13024" w:rsidP="005C539B">
      <w:pPr>
        <w:pStyle w:val="Heading1"/>
      </w:pPr>
      <w:bookmarkStart w:id="122" w:name="_Toc162153384"/>
      <w:bookmarkStart w:id="123" w:name="_Toc162789999"/>
      <w:r w:rsidRPr="00F13024">
        <w:lastRenderedPageBreak/>
        <w:t>Data Preprocessing for the UOS_IOTSH_2024 Dataset</w:t>
      </w:r>
      <w:bookmarkEnd w:id="122"/>
      <w:bookmarkEnd w:id="123"/>
    </w:p>
    <w:p w:rsidR="00F13024" w:rsidRPr="00F13024" w:rsidRDefault="00F13024" w:rsidP="005C539B">
      <w:r w:rsidRPr="00F13024">
        <w:t xml:space="preserve">Some of the features mentioned in </w:t>
      </w:r>
      <w:r w:rsidRPr="00F13024">
        <w:fldChar w:fldCharType="begin"/>
      </w:r>
      <w:r w:rsidRPr="00F13024">
        <w:instrText xml:space="preserve"> REF _Ref158668101 \h  \* MERGEFORMAT </w:instrText>
      </w:r>
      <w:r w:rsidRPr="00F13024">
        <w:fldChar w:fldCharType="separate"/>
      </w:r>
      <w:r w:rsidR="00AA2760" w:rsidRPr="00F13024">
        <w:t xml:space="preserve">Table </w:t>
      </w:r>
      <w:r w:rsidR="00AA2760">
        <w:rPr>
          <w:noProof/>
        </w:rPr>
        <w:t>2</w:t>
      </w:r>
      <w:r w:rsidRPr="00F13024">
        <w:fldChar w:fldCharType="end"/>
      </w:r>
      <w:r w:rsidRPr="00F13024">
        <w:t xml:space="preserve"> required some preparatory modifications before they can be used in training of ML and DL models. Consequently, the following pre-processing steps were applied to all extracted packets before being included in the dataset:</w:t>
      </w:r>
    </w:p>
    <w:p w:rsidR="00F13024" w:rsidRPr="00F13024" w:rsidRDefault="00F13024" w:rsidP="00F13024">
      <w:pPr>
        <w:pStyle w:val="ListParagraph"/>
        <w:numPr>
          <w:ilvl w:val="0"/>
          <w:numId w:val="13"/>
        </w:numPr>
        <w:rPr>
          <w:color w:val="auto"/>
        </w:rPr>
      </w:pPr>
      <w:r w:rsidRPr="00F13024">
        <w:rPr>
          <w:color w:val="auto"/>
        </w:rPr>
        <w:t>Conversion of the hexadecimal values in the “source IP address” and “destination IP address” columns using one-hot encoding to enable the ML/DL models to learn distinct patterns linked to each IP address.</w:t>
      </w:r>
    </w:p>
    <w:p w:rsidR="00F13024" w:rsidRPr="00F13024" w:rsidRDefault="00F13024" w:rsidP="00F13024">
      <w:pPr>
        <w:pStyle w:val="ListParagraph"/>
        <w:numPr>
          <w:ilvl w:val="0"/>
          <w:numId w:val="13"/>
        </w:numPr>
      </w:pPr>
      <w:r w:rsidRPr="00F13024">
        <w:rPr>
          <w:color w:val="auto"/>
        </w:rPr>
        <w:t xml:space="preserve">Encoding “Info” column which displays the message type (DIO, DAO, DIS, and ACK) in string format. The same step is also performed to the “Protocol” column that determines the protocol type (ICMPv6, UDP, and IEEE 802.15.4). The different string values were </w:t>
      </w:r>
      <w:r w:rsidRPr="00F13024">
        <w:t>encoded to enable the ML and DL models to understand their values.</w:t>
      </w:r>
    </w:p>
    <w:p w:rsidR="005C539B" w:rsidRDefault="005C539B" w:rsidP="00F13024"/>
    <w:p w:rsidR="00F13024" w:rsidRPr="00F13024" w:rsidRDefault="00F13024" w:rsidP="00F13024">
      <w:r w:rsidRPr="00F13024">
        <w:t>These steps did not affect the content of the fields, but rather changed the representation of the data into a format better understandable by the modeling environment.</w:t>
      </w:r>
    </w:p>
    <w:p w:rsidR="00F13024" w:rsidRDefault="00F13024" w:rsidP="005C539B">
      <w:pPr>
        <w:pStyle w:val="Heading1"/>
      </w:pPr>
      <w:bookmarkStart w:id="124" w:name="_Toc162153385"/>
      <w:bookmarkStart w:id="125" w:name="_Toc162790000"/>
      <w:r w:rsidRPr="00F13024">
        <w:t>Sample Labelling for the UOS_IOTSH_2024 Dataset</w:t>
      </w:r>
      <w:bookmarkEnd w:id="124"/>
      <w:bookmarkEnd w:id="125"/>
    </w:p>
    <w:p w:rsidR="005C539B" w:rsidRDefault="005C539B" w:rsidP="005C539B">
      <w:r w:rsidRPr="00170D6B">
        <w:t>The sinkhole attack disrupts the network topology causing effects possibly reaching very far across the network. Accordingly, it is possible that the entire network traffic may be affected after the attack. Therefore, one should consider the traffic of the entire network while trying to detect the attack. Based on this understanding, a labelling approach based on the status of the entire network rather than a specific node</w:t>
      </w:r>
      <w:r>
        <w:t xml:space="preserve"> was chosen</w:t>
      </w:r>
      <w:r w:rsidRPr="00170D6B">
        <w:t xml:space="preserve">. </w:t>
      </w:r>
      <w:r>
        <w:t>A</w:t>
      </w:r>
      <w:r w:rsidRPr="00170D6B">
        <w:t xml:space="preserve"> ‘</w:t>
      </w:r>
      <w:r w:rsidRPr="00170D6B">
        <w:rPr>
          <w:i/>
          <w:iCs/>
        </w:rPr>
        <w:t>network operating normally</w:t>
      </w:r>
      <w:r w:rsidRPr="00170D6B">
        <w:t xml:space="preserve">’ label </w:t>
      </w:r>
      <w:r>
        <w:t xml:space="preserve">was applied </w:t>
      </w:r>
      <w:r w:rsidRPr="00170D6B">
        <w:t>to all of the traffic in the dataset ‘</w:t>
      </w:r>
      <w:r w:rsidRPr="00170D6B">
        <w:rPr>
          <w:i/>
          <w:iCs/>
        </w:rPr>
        <w:t>before</w:t>
      </w:r>
      <w:r w:rsidRPr="00170D6B">
        <w:t>’ the attack is launched, and a ‘</w:t>
      </w:r>
      <w:r w:rsidRPr="00170D6B">
        <w:rPr>
          <w:i/>
          <w:iCs/>
        </w:rPr>
        <w:t>network under attack</w:t>
      </w:r>
      <w:r w:rsidRPr="00170D6B">
        <w:t>’ label to all of the traffic ‘</w:t>
      </w:r>
      <w:r w:rsidRPr="00170D6B">
        <w:rPr>
          <w:i/>
          <w:iCs/>
        </w:rPr>
        <w:t>after</w:t>
      </w:r>
      <w:r w:rsidRPr="00170D6B">
        <w:t>’ the attack is launched. This labelling approach will enable the detection of anomalies in the network behavior caused by the attack, but will not enable identifying the malicious node specifically.</w:t>
      </w:r>
    </w:p>
    <w:p w:rsidR="005C539B" w:rsidRPr="00170D6B" w:rsidRDefault="005C539B" w:rsidP="005C539B"/>
    <w:p w:rsidR="005C539B" w:rsidRPr="00170D6B" w:rsidRDefault="005C539B" w:rsidP="005C539B">
      <w:r>
        <w:t>T</w:t>
      </w:r>
      <w:r w:rsidRPr="00170D6B">
        <w:t xml:space="preserve">he sample distribution illustrated in </w:t>
      </w:r>
      <w:r w:rsidRPr="00170D6B">
        <w:fldChar w:fldCharType="begin"/>
      </w:r>
      <w:r w:rsidRPr="00170D6B">
        <w:instrText xml:space="preserve"> REF _Ref158665293 \h  \* MERGEFORMAT </w:instrText>
      </w:r>
      <w:r w:rsidRPr="00170D6B">
        <w:fldChar w:fldCharType="separate"/>
      </w:r>
      <w:r w:rsidR="00AA2760" w:rsidRPr="0029236A">
        <w:t xml:space="preserve">Figure </w:t>
      </w:r>
      <w:r w:rsidR="00AA2760">
        <w:rPr>
          <w:noProof/>
        </w:rPr>
        <w:t>7</w:t>
      </w:r>
      <w:r w:rsidRPr="00170D6B">
        <w:fldChar w:fldCharType="end"/>
      </w:r>
      <w:r>
        <w:t xml:space="preserve"> was achieved</w:t>
      </w:r>
      <w:r w:rsidRPr="00170D6B">
        <w:t>. The distribution was slightly unbalanced favoring ‘</w:t>
      </w:r>
      <w:r w:rsidRPr="00170D6B">
        <w:rPr>
          <w:i/>
          <w:iCs/>
        </w:rPr>
        <w:t>normal</w:t>
      </w:r>
      <w:r w:rsidRPr="00170D6B">
        <w:t xml:space="preserve">’ samples. This can be attributed to the fact </w:t>
      </w:r>
      <w:r w:rsidRPr="00625AB7">
        <w:t>that more traffic</w:t>
      </w:r>
      <w:r w:rsidRPr="00170D6B">
        <w:t xml:space="preserve"> is exchanged during the early stages of the DODAG construction (the first 100 seconds) compared to the amount exchanged during the DODAG update once the attack is launched (after the first 100 seconds).</w:t>
      </w:r>
    </w:p>
    <w:p w:rsidR="005C539B" w:rsidRPr="00170D6B" w:rsidRDefault="005C539B" w:rsidP="005C539B">
      <w:pPr>
        <w:pStyle w:val="Figure"/>
      </w:pPr>
      <w:r>
        <w:drawing>
          <wp:inline distT="0" distB="0" distL="0" distR="0" wp14:anchorId="2498B9F5" wp14:editId="1222BCDB">
            <wp:extent cx="4495800" cy="2011680"/>
            <wp:effectExtent l="0" t="0" r="0" b="7620"/>
            <wp:docPr id="12567473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539B" w:rsidRPr="00170D6B" w:rsidRDefault="005C539B" w:rsidP="005C539B">
      <w:pPr>
        <w:pStyle w:val="Caption-Figure"/>
      </w:pPr>
      <w:bookmarkStart w:id="126" w:name="_Ref158665293"/>
      <w:bookmarkStart w:id="127" w:name="_Toc161625216"/>
      <w:bookmarkStart w:id="128" w:name="_Toc162530636"/>
      <w:r w:rsidRPr="0029236A">
        <w:t xml:space="preserve">Figure </w:t>
      </w:r>
      <w:r w:rsidRPr="005C539B">
        <w:fldChar w:fldCharType="begin"/>
      </w:r>
      <w:r w:rsidRPr="0029236A">
        <w:instrText xml:space="preserve"> SEQ Figure \* ARABIC </w:instrText>
      </w:r>
      <w:r w:rsidRPr="005C539B">
        <w:fldChar w:fldCharType="separate"/>
      </w:r>
      <w:r w:rsidR="00AA2760">
        <w:rPr>
          <w:noProof/>
        </w:rPr>
        <w:t>7</w:t>
      </w:r>
      <w:r w:rsidRPr="005C539B">
        <w:rPr>
          <w:noProof/>
        </w:rPr>
        <w:fldChar w:fldCharType="end"/>
      </w:r>
      <w:bookmarkEnd w:id="126"/>
      <w:r w:rsidRPr="0029236A">
        <w:t xml:space="preserve"> – Sample Distribution in the </w:t>
      </w:r>
      <w:r>
        <w:t>Collected Dataset</w:t>
      </w:r>
      <w:r w:rsidRPr="0029236A">
        <w:t>.</w:t>
      </w:r>
      <w:bookmarkEnd w:id="127"/>
      <w:bookmarkEnd w:id="128"/>
    </w:p>
    <w:p w:rsidR="002E0329" w:rsidRDefault="00D431D7" w:rsidP="00D431D7">
      <w:pPr>
        <w:pStyle w:val="Heading1"/>
        <w:numPr>
          <w:ilvl w:val="0"/>
          <w:numId w:val="0"/>
        </w:numPr>
        <w:ind w:left="432" w:hanging="432"/>
      </w:pPr>
      <w:r>
        <w:lastRenderedPageBreak/>
        <w:t>References</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sz w:val="20"/>
          <w:szCs w:val="18"/>
        </w:rPr>
        <w:fldChar w:fldCharType="begin" w:fldLock="1"/>
      </w:r>
      <w:r w:rsidRPr="00AA2760">
        <w:rPr>
          <w:sz w:val="20"/>
          <w:szCs w:val="18"/>
        </w:rPr>
        <w:instrText xml:space="preserve">ADDIN Mendeley Bibliography CSL_BIBLIOGRAPHY </w:instrText>
      </w:r>
      <w:r w:rsidRPr="00AA2760">
        <w:rPr>
          <w:sz w:val="20"/>
          <w:szCs w:val="18"/>
        </w:rPr>
        <w:fldChar w:fldCharType="separate"/>
      </w:r>
      <w:r w:rsidRPr="00AA2760">
        <w:rPr>
          <w:rFonts w:cs="Times New Roman"/>
          <w:noProof/>
          <w:sz w:val="20"/>
          <w:szCs w:val="20"/>
        </w:rPr>
        <w:t>[1]</w:t>
      </w:r>
      <w:r w:rsidRPr="00AA2760">
        <w:rPr>
          <w:rFonts w:cs="Times New Roman"/>
          <w:noProof/>
          <w:sz w:val="20"/>
          <w:szCs w:val="20"/>
        </w:rPr>
        <w:tab/>
        <w:t xml:space="preserve">Raza S, Wallgren L and Voigt T 2013 SVELTE: Real-time intrusion detection in the Internet of Things </w:t>
      </w:r>
      <w:r w:rsidRPr="00AA2760">
        <w:rPr>
          <w:rFonts w:cs="Times New Roman"/>
          <w:i/>
          <w:iCs/>
          <w:noProof/>
          <w:sz w:val="20"/>
          <w:szCs w:val="20"/>
        </w:rPr>
        <w:t>Ad Hoc Networks</w:t>
      </w:r>
      <w:r w:rsidRPr="00AA2760">
        <w:rPr>
          <w:rFonts w:cs="Times New Roman"/>
          <w:noProof/>
          <w:sz w:val="20"/>
          <w:szCs w:val="20"/>
        </w:rPr>
        <w:t xml:space="preserve"> </w:t>
      </w:r>
      <w:r w:rsidRPr="00AA2760">
        <w:rPr>
          <w:rFonts w:cs="Times New Roman"/>
          <w:b/>
          <w:bCs/>
          <w:noProof/>
          <w:sz w:val="20"/>
          <w:szCs w:val="20"/>
        </w:rPr>
        <w:t>11</w:t>
      </w:r>
      <w:r w:rsidRPr="00AA2760">
        <w:rPr>
          <w:rFonts w:cs="Times New Roman"/>
          <w:noProof/>
          <w:sz w:val="20"/>
          <w:szCs w:val="20"/>
        </w:rPr>
        <w:t xml:space="preserve"> 2661–74</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[2]</w:t>
      </w:r>
      <w:r w:rsidRPr="00AA2760">
        <w:rPr>
          <w:rFonts w:cs="Times New Roman"/>
          <w:noProof/>
          <w:sz w:val="20"/>
          <w:szCs w:val="20"/>
        </w:rPr>
        <w:tab/>
        <w:t xml:space="preserve">Mirshahjafari S M H and Ghahfarokhi B S 2019 Sinkhole+CloneID: A hybrid attack on RPL performance and detection method </w:t>
      </w:r>
      <w:r w:rsidRPr="00AA2760">
        <w:rPr>
          <w:rFonts w:cs="Times New Roman"/>
          <w:i/>
          <w:iCs/>
          <w:noProof/>
          <w:sz w:val="20"/>
          <w:szCs w:val="20"/>
        </w:rPr>
        <w:t>Inf. Secur. J.</w:t>
      </w:r>
      <w:r w:rsidRPr="00AA2760">
        <w:rPr>
          <w:rFonts w:cs="Times New Roman"/>
          <w:noProof/>
          <w:sz w:val="20"/>
          <w:szCs w:val="20"/>
        </w:rPr>
        <w:t xml:space="preserve"> </w:t>
      </w:r>
      <w:r w:rsidRPr="00AA2760">
        <w:rPr>
          <w:rFonts w:cs="Times New Roman"/>
          <w:b/>
          <w:bCs/>
          <w:noProof/>
          <w:sz w:val="20"/>
          <w:szCs w:val="20"/>
        </w:rPr>
        <w:t>28</w:t>
      </w:r>
      <w:r w:rsidRPr="00AA2760">
        <w:rPr>
          <w:rFonts w:cs="Times New Roman"/>
          <w:noProof/>
          <w:sz w:val="20"/>
          <w:szCs w:val="20"/>
        </w:rPr>
        <w:t xml:space="preserve"> 107–19</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[3]</w:t>
      </w:r>
      <w:r w:rsidRPr="00AA2760">
        <w:rPr>
          <w:rFonts w:cs="Times New Roman"/>
          <w:noProof/>
          <w:sz w:val="20"/>
          <w:szCs w:val="20"/>
        </w:rPr>
        <w:tab/>
        <w:t xml:space="preserve">Bostani H and Sheikhan M 2017 Hybrid of anomaly-based and specification-based IDS for Internet of Things using unsupervised OPF based on MapReduce approach </w:t>
      </w:r>
      <w:r w:rsidRPr="00AA2760">
        <w:rPr>
          <w:rFonts w:cs="Times New Roman"/>
          <w:i/>
          <w:iCs/>
          <w:noProof/>
          <w:sz w:val="20"/>
          <w:szCs w:val="20"/>
        </w:rPr>
        <w:t>Comput. Commun.</w:t>
      </w:r>
      <w:r w:rsidRPr="00AA2760">
        <w:rPr>
          <w:rFonts w:cs="Times New Roman"/>
          <w:noProof/>
          <w:sz w:val="20"/>
          <w:szCs w:val="20"/>
        </w:rPr>
        <w:t xml:space="preserve"> </w:t>
      </w:r>
      <w:r w:rsidRPr="00AA2760">
        <w:rPr>
          <w:rFonts w:cs="Times New Roman"/>
          <w:b/>
          <w:bCs/>
          <w:noProof/>
          <w:sz w:val="20"/>
          <w:szCs w:val="20"/>
        </w:rPr>
        <w:t>98</w:t>
      </w:r>
      <w:r w:rsidRPr="00AA2760">
        <w:rPr>
          <w:rFonts w:cs="Times New Roman"/>
          <w:noProof/>
          <w:sz w:val="20"/>
          <w:szCs w:val="20"/>
        </w:rPr>
        <w:t xml:space="preserve"> 52–71</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[4]</w:t>
      </w:r>
      <w:r w:rsidRPr="00AA2760">
        <w:rPr>
          <w:rFonts w:cs="Times New Roman"/>
          <w:noProof/>
          <w:sz w:val="20"/>
          <w:szCs w:val="20"/>
        </w:rPr>
        <w:tab/>
        <w:t xml:space="preserve">Alzubaidi M, Anbar M, Chong Y W and Al-Sarawi S 2018 Hybrid monitoring technique for detecting abnormal behaviour in rpl-based network </w:t>
      </w:r>
      <w:r w:rsidRPr="00AA2760">
        <w:rPr>
          <w:rFonts w:cs="Times New Roman"/>
          <w:i/>
          <w:iCs/>
          <w:noProof/>
          <w:sz w:val="20"/>
          <w:szCs w:val="20"/>
        </w:rPr>
        <w:t>J. Commun.</w:t>
      </w:r>
      <w:r w:rsidRPr="00AA2760">
        <w:rPr>
          <w:rFonts w:cs="Times New Roman"/>
          <w:noProof/>
          <w:sz w:val="20"/>
          <w:szCs w:val="20"/>
        </w:rPr>
        <w:t xml:space="preserve"> </w:t>
      </w:r>
      <w:r w:rsidRPr="00AA2760">
        <w:rPr>
          <w:rFonts w:cs="Times New Roman"/>
          <w:b/>
          <w:bCs/>
          <w:noProof/>
          <w:sz w:val="20"/>
          <w:szCs w:val="20"/>
        </w:rPr>
        <w:t>13</w:t>
      </w:r>
      <w:r w:rsidRPr="00AA2760">
        <w:rPr>
          <w:rFonts w:cs="Times New Roman"/>
          <w:noProof/>
          <w:sz w:val="20"/>
          <w:szCs w:val="20"/>
        </w:rPr>
        <w:t xml:space="preserve"> 198–208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[5]</w:t>
      </w:r>
      <w:r w:rsidRPr="00AA2760">
        <w:rPr>
          <w:rFonts w:cs="Times New Roman"/>
          <w:noProof/>
          <w:sz w:val="20"/>
          <w:szCs w:val="20"/>
        </w:rPr>
        <w:tab/>
        <w:t xml:space="preserve">Taghanaki S R, Jamshidi K and Bohlooli A 2019 DEEM: A decentralized and energy efficient method for detecting sinkhole attacks on the internet of things </w:t>
      </w:r>
      <w:r w:rsidRPr="00AA2760">
        <w:rPr>
          <w:rFonts w:cs="Times New Roman"/>
          <w:i/>
          <w:iCs/>
          <w:noProof/>
          <w:sz w:val="20"/>
          <w:szCs w:val="20"/>
        </w:rPr>
        <w:t>2019 9th Int. Conf. Comput. Knowl. Eng. ICCKE 2019</w:t>
      </w:r>
      <w:r w:rsidRPr="00AA2760">
        <w:rPr>
          <w:rFonts w:cs="Times New Roman"/>
          <w:noProof/>
          <w:sz w:val="20"/>
          <w:szCs w:val="20"/>
        </w:rPr>
        <w:t xml:space="preserve"> </w:t>
      </w:r>
      <w:r w:rsidRPr="00AA2760">
        <w:rPr>
          <w:rFonts w:cs="Times New Roman"/>
          <w:b/>
          <w:bCs/>
          <w:noProof/>
          <w:sz w:val="20"/>
          <w:szCs w:val="20"/>
        </w:rPr>
        <w:t>2019</w:t>
      </w:r>
      <w:r w:rsidRPr="00AA2760">
        <w:rPr>
          <w:rFonts w:cs="Times New Roman"/>
          <w:noProof/>
          <w:sz w:val="20"/>
          <w:szCs w:val="20"/>
        </w:rPr>
        <w:t xml:space="preserve"> 325–30</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[6]</w:t>
      </w:r>
      <w:r w:rsidRPr="00AA2760">
        <w:rPr>
          <w:rFonts w:cs="Times New Roman"/>
          <w:noProof/>
          <w:sz w:val="20"/>
          <w:szCs w:val="20"/>
        </w:rPr>
        <w:tab/>
        <w:t xml:space="preserve">Yang W, Wang Y, Lai Z, Wan Y and Cheng Z 2019 Security Vulnerabilities and Countermeasures in the RPL-Based Internet of Things </w:t>
      </w:r>
      <w:r w:rsidRPr="00AA2760">
        <w:rPr>
          <w:rFonts w:cs="Times New Roman"/>
          <w:i/>
          <w:iCs/>
          <w:noProof/>
          <w:sz w:val="20"/>
          <w:szCs w:val="20"/>
        </w:rPr>
        <w:t>Proceedings - 2018 International Conference on Cyber-Enabled Distributed Computing and Knowledge Discovery, CyberC 2018</w:t>
      </w:r>
      <w:r w:rsidRPr="00AA2760">
        <w:rPr>
          <w:rFonts w:cs="Times New Roman"/>
          <w:noProof/>
          <w:sz w:val="20"/>
          <w:szCs w:val="20"/>
        </w:rPr>
        <w:t xml:space="preserve"> (Conf. Cyber-Enabled Distrib. Comput. Knowl. Discov. CyberC 2018) pp 49–54</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[7]</w:t>
      </w:r>
      <w:r w:rsidRPr="00AA2760">
        <w:rPr>
          <w:rFonts w:cs="Times New Roman"/>
          <w:noProof/>
          <w:sz w:val="20"/>
          <w:szCs w:val="20"/>
        </w:rPr>
        <w:tab/>
        <w:t xml:space="preserve">Muzammal S M, Murugesan R K, Jhanjhi N Z, Humayun M, Ibrahim A O and Abdelmaboud A 2022 A Trust-Based Model for Secure Routing against RPL Attacks in Internet of Things </w:t>
      </w:r>
      <w:r w:rsidRPr="00AA2760">
        <w:rPr>
          <w:rFonts w:cs="Times New Roman"/>
          <w:i/>
          <w:iCs/>
          <w:noProof/>
          <w:sz w:val="20"/>
          <w:szCs w:val="20"/>
        </w:rPr>
        <w:t>Sensors</w:t>
      </w:r>
      <w:r w:rsidRPr="00AA2760">
        <w:rPr>
          <w:rFonts w:cs="Times New Roman"/>
          <w:noProof/>
          <w:sz w:val="20"/>
          <w:szCs w:val="20"/>
        </w:rPr>
        <w:t xml:space="preserve"> </w:t>
      </w:r>
      <w:r w:rsidRPr="00AA2760">
        <w:rPr>
          <w:rFonts w:cs="Times New Roman"/>
          <w:b/>
          <w:bCs/>
          <w:noProof/>
          <w:sz w:val="20"/>
          <w:szCs w:val="20"/>
        </w:rPr>
        <w:t>22</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[8]</w:t>
      </w:r>
      <w:r w:rsidRPr="00AA2760">
        <w:rPr>
          <w:rFonts w:cs="Times New Roman"/>
          <w:noProof/>
          <w:sz w:val="20"/>
          <w:szCs w:val="20"/>
        </w:rPr>
        <w:tab/>
        <w:t xml:space="preserve">Airehrour D, Gutierrez J A and Ray S K 2019 SecTrust-RPL: A secure trust-aware RPL routing protocol for Internet of Things </w:t>
      </w:r>
      <w:r w:rsidRPr="00AA2760">
        <w:rPr>
          <w:rFonts w:cs="Times New Roman"/>
          <w:i/>
          <w:iCs/>
          <w:noProof/>
          <w:sz w:val="20"/>
          <w:szCs w:val="20"/>
        </w:rPr>
        <w:t>Futur. Gener. Comput. Syst.</w:t>
      </w:r>
      <w:r w:rsidRPr="00AA2760">
        <w:rPr>
          <w:rFonts w:cs="Times New Roman"/>
          <w:noProof/>
          <w:sz w:val="20"/>
          <w:szCs w:val="20"/>
        </w:rPr>
        <w:t xml:space="preserve"> </w:t>
      </w:r>
      <w:r w:rsidRPr="00AA2760">
        <w:rPr>
          <w:rFonts w:cs="Times New Roman"/>
          <w:b/>
          <w:bCs/>
          <w:noProof/>
          <w:sz w:val="20"/>
          <w:szCs w:val="20"/>
        </w:rPr>
        <w:t>93</w:t>
      </w:r>
      <w:r w:rsidRPr="00AA2760">
        <w:rPr>
          <w:rFonts w:cs="Times New Roman"/>
          <w:noProof/>
          <w:sz w:val="20"/>
          <w:szCs w:val="20"/>
        </w:rPr>
        <w:t xml:space="preserve"> 860–76</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[9]</w:t>
      </w:r>
      <w:r w:rsidRPr="00AA2760">
        <w:rPr>
          <w:rFonts w:cs="Times New Roman"/>
          <w:noProof/>
          <w:sz w:val="20"/>
          <w:szCs w:val="20"/>
        </w:rPr>
        <w:tab/>
        <w:t xml:space="preserve">Napiah M N, Bin Idris M Y I, Ramli R and Ahmedy I 2018 Compression Header Analyzer Intrusion Detection System (CHA - IDS) for 6LoWPAN Communication Protocol </w:t>
      </w:r>
      <w:r w:rsidRPr="00AA2760">
        <w:rPr>
          <w:rFonts w:cs="Times New Roman"/>
          <w:i/>
          <w:iCs/>
          <w:noProof/>
          <w:sz w:val="20"/>
          <w:szCs w:val="20"/>
        </w:rPr>
        <w:t>IEEE Access</w:t>
      </w:r>
      <w:r w:rsidRPr="00AA2760">
        <w:rPr>
          <w:rFonts w:cs="Times New Roman"/>
          <w:noProof/>
          <w:sz w:val="20"/>
          <w:szCs w:val="20"/>
        </w:rPr>
        <w:t xml:space="preserve"> </w:t>
      </w:r>
      <w:r w:rsidRPr="00AA2760">
        <w:rPr>
          <w:rFonts w:cs="Times New Roman"/>
          <w:b/>
          <w:bCs/>
          <w:noProof/>
          <w:sz w:val="20"/>
          <w:szCs w:val="20"/>
        </w:rPr>
        <w:t>6</w:t>
      </w:r>
      <w:r w:rsidRPr="00AA2760">
        <w:rPr>
          <w:rFonts w:cs="Times New Roman"/>
          <w:noProof/>
          <w:sz w:val="20"/>
          <w:szCs w:val="20"/>
        </w:rPr>
        <w:t xml:space="preserve"> 16623–38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[10]</w:t>
      </w:r>
      <w:r w:rsidRPr="00AA2760">
        <w:rPr>
          <w:rFonts w:cs="Times New Roman"/>
          <w:noProof/>
          <w:sz w:val="20"/>
          <w:szCs w:val="20"/>
        </w:rPr>
        <w:tab/>
        <w:t xml:space="preserve">Patel B and Shah P 2021 Direct Neighbour Sink Reputed Trust Based Intrusion Detection System to Mitigate Sinkhole Attack in RPL for IoT Networks </w:t>
      </w:r>
      <w:r w:rsidRPr="00AA2760">
        <w:rPr>
          <w:rFonts w:cs="Times New Roman"/>
          <w:i/>
          <w:iCs/>
          <w:noProof/>
          <w:sz w:val="20"/>
          <w:szCs w:val="20"/>
        </w:rPr>
        <w:t>J. Eng. Sci. Technol. Rev.</w:t>
      </w:r>
      <w:r w:rsidRPr="00AA2760">
        <w:rPr>
          <w:rFonts w:cs="Times New Roman"/>
          <w:noProof/>
          <w:sz w:val="20"/>
          <w:szCs w:val="20"/>
        </w:rPr>
        <w:t xml:space="preserve"> </w:t>
      </w:r>
      <w:r w:rsidRPr="00AA2760">
        <w:rPr>
          <w:rFonts w:cs="Times New Roman"/>
          <w:b/>
          <w:bCs/>
          <w:noProof/>
          <w:sz w:val="20"/>
          <w:szCs w:val="20"/>
        </w:rPr>
        <w:t>14</w:t>
      </w:r>
      <w:r w:rsidRPr="00AA2760">
        <w:rPr>
          <w:rFonts w:cs="Times New Roman"/>
          <w:noProof/>
          <w:sz w:val="20"/>
          <w:szCs w:val="20"/>
        </w:rPr>
        <w:t xml:space="preserve"> 38–45</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[11]</w:t>
      </w:r>
      <w:r w:rsidRPr="00AA2760">
        <w:rPr>
          <w:rFonts w:cs="Times New Roman"/>
          <w:noProof/>
          <w:sz w:val="20"/>
          <w:szCs w:val="20"/>
        </w:rPr>
        <w:tab/>
        <w:t xml:space="preserve">Cervantes C, Poplade D, Nogueira M and Santos A 2015 Detection of sinkhole attacks for supporting secure routing on 6LoWPAN for Internet of Things </w:t>
      </w:r>
      <w:r w:rsidRPr="00AA2760">
        <w:rPr>
          <w:rFonts w:cs="Times New Roman"/>
          <w:i/>
          <w:iCs/>
          <w:noProof/>
          <w:sz w:val="20"/>
          <w:szCs w:val="20"/>
        </w:rPr>
        <w:t>Proceedings of the 2015 IFIP/IEEE International Symposium on Integrated Network Management, IM 2015</w:t>
      </w:r>
      <w:r w:rsidRPr="00AA2760">
        <w:rPr>
          <w:rFonts w:cs="Times New Roman"/>
          <w:noProof/>
          <w:sz w:val="20"/>
          <w:szCs w:val="20"/>
        </w:rPr>
        <w:t xml:space="preserve"> (Symp. Integr. Netw. Manag. IM 2015) pp 606–11</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[12]</w:t>
      </w:r>
      <w:r w:rsidRPr="00AA2760">
        <w:rPr>
          <w:rFonts w:cs="Times New Roman"/>
          <w:noProof/>
          <w:sz w:val="20"/>
          <w:szCs w:val="20"/>
        </w:rPr>
        <w:tab/>
        <w:t xml:space="preserve">Tabari M Y and Mataji Z 2020 Detecting Sinkhole Attack in RPL-based Internet of Things Routing Protocol </w:t>
      </w:r>
      <w:r w:rsidRPr="00AA2760">
        <w:rPr>
          <w:rFonts w:cs="Times New Roman"/>
          <w:i/>
          <w:iCs/>
          <w:noProof/>
          <w:sz w:val="20"/>
          <w:szCs w:val="20"/>
        </w:rPr>
        <w:t>J. AI Data …</w:t>
      </w:r>
      <w:r w:rsidRPr="00AA2760">
        <w:rPr>
          <w:rFonts w:cs="Times New Roman"/>
          <w:noProof/>
          <w:sz w:val="20"/>
          <w:szCs w:val="20"/>
        </w:rPr>
        <w:t xml:space="preserve"> </w:t>
      </w:r>
      <w:r w:rsidRPr="00AA2760">
        <w:rPr>
          <w:rFonts w:cs="Times New Roman"/>
          <w:b/>
          <w:bCs/>
          <w:noProof/>
          <w:sz w:val="20"/>
          <w:szCs w:val="20"/>
        </w:rPr>
        <w:t>9</w:t>
      </w:r>
      <w:r w:rsidRPr="00AA2760">
        <w:rPr>
          <w:rFonts w:cs="Times New Roman"/>
          <w:noProof/>
          <w:sz w:val="20"/>
          <w:szCs w:val="20"/>
        </w:rPr>
        <w:t xml:space="preserve"> 73–85</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[13]</w:t>
      </w:r>
      <w:r w:rsidRPr="00AA2760">
        <w:rPr>
          <w:rFonts w:cs="Times New Roman"/>
          <w:noProof/>
          <w:sz w:val="20"/>
          <w:szCs w:val="20"/>
        </w:rPr>
        <w:tab/>
        <w:t xml:space="preserve">Surendar M and Umamakeswari A 2016 InDReS: An Intrusion Detection and response system for Internet of Things with 6LoWPAN </w:t>
      </w:r>
      <w:r w:rsidRPr="00AA2760">
        <w:rPr>
          <w:rFonts w:cs="Times New Roman"/>
          <w:i/>
          <w:iCs/>
          <w:noProof/>
          <w:sz w:val="20"/>
          <w:szCs w:val="20"/>
        </w:rPr>
        <w:t>Proceedings of the 2016 IEEE International Conference on Wireless Communications, Signal Processing and Networking, WiSPNET 2016</w:t>
      </w:r>
      <w:r w:rsidRPr="00AA2760">
        <w:rPr>
          <w:rFonts w:cs="Times New Roman"/>
          <w:noProof/>
          <w:sz w:val="20"/>
          <w:szCs w:val="20"/>
        </w:rPr>
        <w:t xml:space="preserve"> (WiSPNET 2016: Conf. Wirel. Commun. Signal Process. Networking) pp 1903–8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[14]</w:t>
      </w:r>
      <w:r w:rsidRPr="00AA2760">
        <w:rPr>
          <w:rFonts w:cs="Times New Roman"/>
          <w:noProof/>
          <w:sz w:val="20"/>
          <w:szCs w:val="20"/>
        </w:rPr>
        <w:tab/>
        <w:t xml:space="preserve">Zaminkar M, Sarkohaki F and Fotohi R 2021 A method based on encryption and node rating for securing the RPL protocol communications in the IoT ecosystem </w:t>
      </w:r>
      <w:r w:rsidRPr="00AA2760">
        <w:rPr>
          <w:rFonts w:cs="Times New Roman"/>
          <w:i/>
          <w:iCs/>
          <w:noProof/>
          <w:sz w:val="20"/>
          <w:szCs w:val="20"/>
        </w:rPr>
        <w:t>Int. J. Commun. Syst.</w:t>
      </w:r>
      <w:r w:rsidRPr="00AA2760">
        <w:rPr>
          <w:rFonts w:cs="Times New Roman"/>
          <w:noProof/>
          <w:sz w:val="20"/>
          <w:szCs w:val="20"/>
        </w:rPr>
        <w:t xml:space="preserve"> </w:t>
      </w:r>
      <w:r w:rsidRPr="00AA2760">
        <w:rPr>
          <w:rFonts w:cs="Times New Roman"/>
          <w:b/>
          <w:bCs/>
          <w:noProof/>
          <w:sz w:val="20"/>
          <w:szCs w:val="20"/>
        </w:rPr>
        <w:t>34</w:t>
      </w:r>
      <w:r w:rsidRPr="00AA2760">
        <w:rPr>
          <w:rFonts w:cs="Times New Roman"/>
          <w:noProof/>
          <w:sz w:val="20"/>
          <w:szCs w:val="20"/>
        </w:rPr>
        <w:t xml:space="preserve"> 1–18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[15]</w:t>
      </w:r>
      <w:r w:rsidRPr="00AA2760">
        <w:rPr>
          <w:rFonts w:cs="Times New Roman"/>
          <w:noProof/>
          <w:sz w:val="20"/>
          <w:szCs w:val="20"/>
        </w:rPr>
        <w:tab/>
        <w:t xml:space="preserve">Zaminkar M and Fotohi R 2020 SoS-RPL: Securing Internet of Things Against Sinkhole Attack Using RPL Protocol-Based Node Rating and Ranking Mechanism </w:t>
      </w:r>
      <w:r w:rsidRPr="00AA2760">
        <w:rPr>
          <w:rFonts w:cs="Times New Roman"/>
          <w:i/>
          <w:iCs/>
          <w:noProof/>
          <w:sz w:val="20"/>
          <w:szCs w:val="20"/>
        </w:rPr>
        <w:t>Wirel. Pers. Commun.</w:t>
      </w:r>
      <w:r w:rsidRPr="00AA2760">
        <w:rPr>
          <w:rFonts w:cs="Times New Roman"/>
          <w:noProof/>
          <w:sz w:val="20"/>
          <w:szCs w:val="20"/>
        </w:rPr>
        <w:t xml:space="preserve"> </w:t>
      </w:r>
      <w:r w:rsidRPr="00AA2760">
        <w:rPr>
          <w:rFonts w:cs="Times New Roman"/>
          <w:b/>
          <w:bCs/>
          <w:noProof/>
          <w:sz w:val="20"/>
          <w:szCs w:val="20"/>
        </w:rPr>
        <w:t>114</w:t>
      </w:r>
      <w:r w:rsidRPr="00AA2760">
        <w:rPr>
          <w:rFonts w:cs="Times New Roman"/>
          <w:noProof/>
          <w:sz w:val="20"/>
          <w:szCs w:val="20"/>
        </w:rPr>
        <w:t xml:space="preserve"> 1287–312</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[16]</w:t>
      </w:r>
      <w:r w:rsidRPr="00AA2760">
        <w:rPr>
          <w:rFonts w:cs="Times New Roman"/>
          <w:noProof/>
          <w:sz w:val="20"/>
          <w:szCs w:val="20"/>
        </w:rPr>
        <w:tab/>
        <w:t xml:space="preserve">Choudhary S and Kesswani N 2019 Cluster-based intrusion detection method for internet of things </w:t>
      </w:r>
      <w:r w:rsidRPr="00AA2760">
        <w:rPr>
          <w:rFonts w:cs="Times New Roman"/>
          <w:i/>
          <w:iCs/>
          <w:noProof/>
          <w:sz w:val="20"/>
          <w:szCs w:val="20"/>
        </w:rPr>
        <w:t>Proceedings of IEEE/ACS International Conference on Computer Systems and Applications, AICCSA</w:t>
      </w:r>
      <w:r w:rsidRPr="00AA2760">
        <w:rPr>
          <w:rFonts w:cs="Times New Roman"/>
          <w:noProof/>
          <w:sz w:val="20"/>
          <w:szCs w:val="20"/>
        </w:rPr>
        <w:t xml:space="preserve"> vol 2019-Novem (vol. 2019-Novem: Conf. Comput. Syst. Appl. AICCSA) pp 1–8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[17]</w:t>
      </w:r>
      <w:r w:rsidRPr="00AA2760">
        <w:rPr>
          <w:rFonts w:cs="Times New Roman"/>
          <w:noProof/>
          <w:sz w:val="20"/>
          <w:szCs w:val="20"/>
        </w:rPr>
        <w:tab/>
        <w:t xml:space="preserve">Farooq U, Asim M, Tariq N, Baker T and Awad A I 2022 Multi-Mobile Agent Trust Framework for Mitigating Internal Attacks and Augmenting RPL Security </w:t>
      </w:r>
      <w:r w:rsidRPr="00AA2760">
        <w:rPr>
          <w:rFonts w:cs="Times New Roman"/>
          <w:i/>
          <w:iCs/>
          <w:noProof/>
          <w:sz w:val="20"/>
          <w:szCs w:val="20"/>
        </w:rPr>
        <w:t>Sensors</w:t>
      </w:r>
      <w:r w:rsidRPr="00AA2760">
        <w:rPr>
          <w:rFonts w:cs="Times New Roman"/>
          <w:noProof/>
          <w:sz w:val="20"/>
          <w:szCs w:val="20"/>
        </w:rPr>
        <w:t xml:space="preserve"> </w:t>
      </w:r>
      <w:r w:rsidRPr="00AA2760">
        <w:rPr>
          <w:rFonts w:cs="Times New Roman"/>
          <w:b/>
          <w:bCs/>
          <w:noProof/>
          <w:sz w:val="20"/>
          <w:szCs w:val="20"/>
        </w:rPr>
        <w:t>22</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20"/>
        </w:rPr>
      </w:pPr>
      <w:r w:rsidRPr="00AA2760">
        <w:rPr>
          <w:rFonts w:cs="Times New Roman"/>
          <w:noProof/>
          <w:sz w:val="20"/>
          <w:szCs w:val="20"/>
        </w:rPr>
        <w:t>[18]</w:t>
      </w:r>
      <w:r w:rsidRPr="00AA2760">
        <w:rPr>
          <w:rFonts w:cs="Times New Roman"/>
          <w:noProof/>
          <w:sz w:val="20"/>
          <w:szCs w:val="20"/>
        </w:rPr>
        <w:tab/>
        <w:t xml:space="preserve">Prathapchandran K and Janani T 2021 A trust aware security mechanism to detect sinkhole attack in RPL-based IoT environment using random forest – RFTRUST </w:t>
      </w:r>
      <w:r w:rsidRPr="00AA2760">
        <w:rPr>
          <w:rFonts w:cs="Times New Roman"/>
          <w:i/>
          <w:iCs/>
          <w:noProof/>
          <w:sz w:val="20"/>
          <w:szCs w:val="20"/>
        </w:rPr>
        <w:t>Comput. Networks</w:t>
      </w:r>
      <w:r w:rsidRPr="00AA2760">
        <w:rPr>
          <w:rFonts w:cs="Times New Roman"/>
          <w:noProof/>
          <w:sz w:val="20"/>
          <w:szCs w:val="20"/>
        </w:rPr>
        <w:t xml:space="preserve"> </w:t>
      </w:r>
      <w:r w:rsidRPr="00AA2760">
        <w:rPr>
          <w:rFonts w:cs="Times New Roman"/>
          <w:b/>
          <w:bCs/>
          <w:noProof/>
          <w:sz w:val="20"/>
          <w:szCs w:val="20"/>
        </w:rPr>
        <w:t>198</w:t>
      </w:r>
    </w:p>
    <w:p w:rsidR="00D431D7" w:rsidRPr="00AA2760" w:rsidRDefault="00D431D7" w:rsidP="00D431D7">
      <w:pPr>
        <w:keepLines/>
        <w:autoSpaceDE w:val="0"/>
        <w:autoSpaceDN w:val="0"/>
        <w:adjustRightInd w:val="0"/>
        <w:spacing w:after="120" w:line="240" w:lineRule="auto"/>
        <w:ind w:left="640" w:hanging="640"/>
        <w:rPr>
          <w:rFonts w:cs="Times New Roman"/>
          <w:noProof/>
          <w:sz w:val="20"/>
          <w:szCs w:val="18"/>
        </w:rPr>
      </w:pPr>
      <w:r w:rsidRPr="00AA2760">
        <w:rPr>
          <w:rFonts w:cs="Times New Roman"/>
          <w:noProof/>
          <w:sz w:val="20"/>
          <w:szCs w:val="20"/>
        </w:rPr>
        <w:t>[19]</w:t>
      </w:r>
      <w:r w:rsidRPr="00AA2760">
        <w:rPr>
          <w:rFonts w:cs="Times New Roman"/>
          <w:noProof/>
          <w:sz w:val="20"/>
          <w:szCs w:val="20"/>
        </w:rPr>
        <w:tab/>
        <w:t xml:space="preserve">Kamel S O M and Elhamayed S A 2020 Mitigating the impact of iot routing attacks on power consumption in iot healthcare environment using convolutional neural network </w:t>
      </w:r>
      <w:r w:rsidRPr="00AA2760">
        <w:rPr>
          <w:rFonts w:cs="Times New Roman"/>
          <w:i/>
          <w:iCs/>
          <w:noProof/>
          <w:sz w:val="20"/>
          <w:szCs w:val="20"/>
        </w:rPr>
        <w:t>Int. J. Comput. Netw. Inf. Secur.</w:t>
      </w:r>
      <w:r w:rsidRPr="00AA2760">
        <w:rPr>
          <w:rFonts w:cs="Times New Roman"/>
          <w:noProof/>
          <w:sz w:val="20"/>
          <w:szCs w:val="20"/>
        </w:rPr>
        <w:t xml:space="preserve"> </w:t>
      </w:r>
      <w:r w:rsidRPr="00AA2760">
        <w:rPr>
          <w:rFonts w:cs="Times New Roman"/>
          <w:b/>
          <w:bCs/>
          <w:noProof/>
          <w:sz w:val="20"/>
          <w:szCs w:val="20"/>
        </w:rPr>
        <w:t>12</w:t>
      </w:r>
      <w:r w:rsidRPr="00AA2760">
        <w:rPr>
          <w:rFonts w:cs="Times New Roman"/>
          <w:noProof/>
          <w:sz w:val="20"/>
          <w:szCs w:val="20"/>
        </w:rPr>
        <w:t xml:space="preserve"> 11–29</w:t>
      </w:r>
    </w:p>
    <w:p w:rsidR="00D431D7" w:rsidRPr="00D431D7" w:rsidRDefault="00D431D7" w:rsidP="00D431D7">
      <w:pPr>
        <w:keepLines/>
        <w:spacing w:after="120" w:line="240" w:lineRule="auto"/>
      </w:pPr>
      <w:r w:rsidRPr="00AA2760">
        <w:rPr>
          <w:sz w:val="20"/>
          <w:szCs w:val="18"/>
        </w:rPr>
        <w:fldChar w:fldCharType="end"/>
      </w:r>
    </w:p>
    <w:sectPr w:rsidR="00D431D7" w:rsidRPr="00D431D7" w:rsidSect="00821C96">
      <w:pgSz w:w="11906" w:h="16838" w:code="9"/>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DB7"/>
    <w:multiLevelType w:val="hybridMultilevel"/>
    <w:tmpl w:val="68F01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D0AA0"/>
    <w:multiLevelType w:val="hybridMultilevel"/>
    <w:tmpl w:val="BB2E5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0A5CDD"/>
    <w:multiLevelType w:val="hybridMultilevel"/>
    <w:tmpl w:val="86FE5F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1149A"/>
    <w:multiLevelType w:val="hybridMultilevel"/>
    <w:tmpl w:val="1F1E1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25B2F"/>
    <w:multiLevelType w:val="hybridMultilevel"/>
    <w:tmpl w:val="BE46FDDA"/>
    <w:lvl w:ilvl="0" w:tplc="728E45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B92F11"/>
    <w:multiLevelType w:val="hybridMultilevel"/>
    <w:tmpl w:val="55D2C88C"/>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92360"/>
    <w:multiLevelType w:val="hybridMultilevel"/>
    <w:tmpl w:val="AC165FC0"/>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C7FAD"/>
    <w:multiLevelType w:val="hybridMultilevel"/>
    <w:tmpl w:val="C10C5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164DA6"/>
    <w:multiLevelType w:val="hybridMultilevel"/>
    <w:tmpl w:val="3C561918"/>
    <w:lvl w:ilvl="0" w:tplc="728E45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EB3B16"/>
    <w:multiLevelType w:val="hybridMultilevel"/>
    <w:tmpl w:val="0A0A7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55B0D40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604D"/>
    <w:multiLevelType w:val="hybridMultilevel"/>
    <w:tmpl w:val="46C20ED4"/>
    <w:lvl w:ilvl="0" w:tplc="C41C04D2">
      <w:start w:val="1"/>
      <w:numFmt w:val="decimal"/>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1" w15:restartNumberingAfterBreak="0">
    <w:nsid w:val="1F511593"/>
    <w:multiLevelType w:val="hybridMultilevel"/>
    <w:tmpl w:val="51F6DB1A"/>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F11CA"/>
    <w:multiLevelType w:val="hybridMultilevel"/>
    <w:tmpl w:val="35FC8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690767"/>
    <w:multiLevelType w:val="hybridMultilevel"/>
    <w:tmpl w:val="5AFCE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5B21B2"/>
    <w:multiLevelType w:val="multilevel"/>
    <w:tmpl w:val="973AF4E0"/>
    <w:lvl w:ilvl="0">
      <w:start w:val="1"/>
      <w:numFmt w:val="decimal"/>
      <w:suff w:val="space"/>
      <w:lvlText w:val="Chapter %1 - "/>
      <w:lvlJc w:val="left"/>
      <w:pPr>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504"/>
        </w:tabs>
        <w:ind w:left="0" w:firstLine="0"/>
      </w:pPr>
      <w:rPr>
        <w:rFonts w:hint="default"/>
      </w:rPr>
    </w:lvl>
    <w:lvl w:ilvl="3">
      <w:start w:val="1"/>
      <w:numFmt w:val="decimal"/>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78D081E"/>
    <w:multiLevelType w:val="hybridMultilevel"/>
    <w:tmpl w:val="55D2C88C"/>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748DB"/>
    <w:multiLevelType w:val="hybridMultilevel"/>
    <w:tmpl w:val="9976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56B53"/>
    <w:multiLevelType w:val="hybridMultilevel"/>
    <w:tmpl w:val="41C6982E"/>
    <w:lvl w:ilvl="0" w:tplc="8FD2E04C">
      <w:start w:val="1"/>
      <w:numFmt w:val="decimal"/>
      <w:lvlText w:val="%1."/>
      <w:lvlJc w:val="left"/>
      <w:pPr>
        <w:ind w:left="360" w:hanging="360"/>
      </w:pPr>
      <w:rPr>
        <w:rFonts w:hint="default"/>
      </w:rPr>
    </w:lvl>
    <w:lvl w:ilvl="1" w:tplc="4C090019" w:tentative="1">
      <w:start w:val="1"/>
      <w:numFmt w:val="lowerLetter"/>
      <w:lvlText w:val="%2."/>
      <w:lvlJc w:val="left"/>
      <w:pPr>
        <w:ind w:left="720" w:hanging="360"/>
      </w:pPr>
    </w:lvl>
    <w:lvl w:ilvl="2" w:tplc="4C09001B" w:tentative="1">
      <w:start w:val="1"/>
      <w:numFmt w:val="lowerRoman"/>
      <w:lvlText w:val="%3."/>
      <w:lvlJc w:val="right"/>
      <w:pPr>
        <w:ind w:left="1440" w:hanging="180"/>
      </w:pPr>
    </w:lvl>
    <w:lvl w:ilvl="3" w:tplc="4C09000F" w:tentative="1">
      <w:start w:val="1"/>
      <w:numFmt w:val="decimal"/>
      <w:lvlText w:val="%4."/>
      <w:lvlJc w:val="left"/>
      <w:pPr>
        <w:ind w:left="2160" w:hanging="360"/>
      </w:pPr>
    </w:lvl>
    <w:lvl w:ilvl="4" w:tplc="4C090019" w:tentative="1">
      <w:start w:val="1"/>
      <w:numFmt w:val="lowerLetter"/>
      <w:lvlText w:val="%5."/>
      <w:lvlJc w:val="left"/>
      <w:pPr>
        <w:ind w:left="2880" w:hanging="360"/>
      </w:pPr>
    </w:lvl>
    <w:lvl w:ilvl="5" w:tplc="4C09001B" w:tentative="1">
      <w:start w:val="1"/>
      <w:numFmt w:val="lowerRoman"/>
      <w:lvlText w:val="%6."/>
      <w:lvlJc w:val="right"/>
      <w:pPr>
        <w:ind w:left="3600" w:hanging="180"/>
      </w:pPr>
    </w:lvl>
    <w:lvl w:ilvl="6" w:tplc="4C09000F" w:tentative="1">
      <w:start w:val="1"/>
      <w:numFmt w:val="decimal"/>
      <w:lvlText w:val="%7."/>
      <w:lvlJc w:val="left"/>
      <w:pPr>
        <w:ind w:left="4320" w:hanging="360"/>
      </w:pPr>
    </w:lvl>
    <w:lvl w:ilvl="7" w:tplc="4C090019" w:tentative="1">
      <w:start w:val="1"/>
      <w:numFmt w:val="lowerLetter"/>
      <w:lvlText w:val="%8."/>
      <w:lvlJc w:val="left"/>
      <w:pPr>
        <w:ind w:left="5040" w:hanging="360"/>
      </w:pPr>
    </w:lvl>
    <w:lvl w:ilvl="8" w:tplc="4C09001B" w:tentative="1">
      <w:start w:val="1"/>
      <w:numFmt w:val="lowerRoman"/>
      <w:lvlText w:val="%9."/>
      <w:lvlJc w:val="right"/>
      <w:pPr>
        <w:ind w:left="5760" w:hanging="180"/>
      </w:pPr>
    </w:lvl>
  </w:abstractNum>
  <w:abstractNum w:abstractNumId="18" w15:restartNumberingAfterBreak="0">
    <w:nsid w:val="362E2F75"/>
    <w:multiLevelType w:val="hybridMultilevel"/>
    <w:tmpl w:val="A84C0CE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9" w15:restartNumberingAfterBreak="0">
    <w:nsid w:val="38775BFF"/>
    <w:multiLevelType w:val="hybridMultilevel"/>
    <w:tmpl w:val="3A180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BF5F69"/>
    <w:multiLevelType w:val="hybridMultilevel"/>
    <w:tmpl w:val="35B4ACD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1" w15:restartNumberingAfterBreak="0">
    <w:nsid w:val="41A93918"/>
    <w:multiLevelType w:val="hybridMultilevel"/>
    <w:tmpl w:val="6A52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CA2A02"/>
    <w:multiLevelType w:val="multilevel"/>
    <w:tmpl w:val="74F20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28324C0"/>
    <w:multiLevelType w:val="hybridMultilevel"/>
    <w:tmpl w:val="3CC24FAC"/>
    <w:lvl w:ilvl="0" w:tplc="728E45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614793"/>
    <w:multiLevelType w:val="hybridMultilevel"/>
    <w:tmpl w:val="266A0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2A6BC0"/>
    <w:multiLevelType w:val="hybridMultilevel"/>
    <w:tmpl w:val="CDFE05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97D1E"/>
    <w:multiLevelType w:val="hybridMultilevel"/>
    <w:tmpl w:val="51F6DB1A"/>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414C7"/>
    <w:multiLevelType w:val="hybridMultilevel"/>
    <w:tmpl w:val="7638E18C"/>
    <w:lvl w:ilvl="0" w:tplc="728E45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E41E0"/>
    <w:multiLevelType w:val="hybridMultilevel"/>
    <w:tmpl w:val="E13EB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4F7B43"/>
    <w:multiLevelType w:val="hybridMultilevel"/>
    <w:tmpl w:val="359A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65CBD"/>
    <w:multiLevelType w:val="hybridMultilevel"/>
    <w:tmpl w:val="05060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55B0D40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AF1654"/>
    <w:multiLevelType w:val="hybridMultilevel"/>
    <w:tmpl w:val="B838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E2A7E"/>
    <w:multiLevelType w:val="hybridMultilevel"/>
    <w:tmpl w:val="DF542996"/>
    <w:lvl w:ilvl="0" w:tplc="728E45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BF1D48"/>
    <w:multiLevelType w:val="hybridMultilevel"/>
    <w:tmpl w:val="50E03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14"/>
  </w:num>
  <w:num w:numId="4">
    <w:abstractNumId w:val="12"/>
  </w:num>
  <w:num w:numId="5">
    <w:abstractNumId w:val="21"/>
  </w:num>
  <w:num w:numId="6">
    <w:abstractNumId w:val="16"/>
  </w:num>
  <w:num w:numId="7">
    <w:abstractNumId w:val="17"/>
  </w:num>
  <w:num w:numId="8">
    <w:abstractNumId w:val="30"/>
  </w:num>
  <w:num w:numId="9">
    <w:abstractNumId w:val="20"/>
  </w:num>
  <w:num w:numId="10">
    <w:abstractNumId w:val="26"/>
  </w:num>
  <w:num w:numId="11">
    <w:abstractNumId w:val="29"/>
  </w:num>
  <w:num w:numId="12">
    <w:abstractNumId w:val="18"/>
  </w:num>
  <w:num w:numId="13">
    <w:abstractNumId w:val="4"/>
  </w:num>
  <w:num w:numId="14">
    <w:abstractNumId w:val="8"/>
  </w:num>
  <w:num w:numId="15">
    <w:abstractNumId w:val="7"/>
  </w:num>
  <w:num w:numId="16">
    <w:abstractNumId w:val="5"/>
  </w:num>
  <w:num w:numId="17">
    <w:abstractNumId w:val="23"/>
  </w:num>
  <w:num w:numId="18">
    <w:abstractNumId w:val="28"/>
  </w:num>
  <w:num w:numId="19">
    <w:abstractNumId w:val="2"/>
  </w:num>
  <w:num w:numId="20">
    <w:abstractNumId w:val="3"/>
  </w:num>
  <w:num w:numId="21">
    <w:abstractNumId w:val="32"/>
  </w:num>
  <w:num w:numId="22">
    <w:abstractNumId w:val="0"/>
  </w:num>
  <w:num w:numId="23">
    <w:abstractNumId w:val="13"/>
  </w:num>
  <w:num w:numId="24">
    <w:abstractNumId w:val="10"/>
  </w:num>
  <w:num w:numId="25">
    <w:abstractNumId w:val="24"/>
  </w:num>
  <w:num w:numId="26">
    <w:abstractNumId w:val="6"/>
  </w:num>
  <w:num w:numId="27">
    <w:abstractNumId w:val="19"/>
  </w:num>
  <w:num w:numId="28">
    <w:abstractNumId w:val="33"/>
  </w:num>
  <w:num w:numId="29">
    <w:abstractNumId w:val="9"/>
  </w:num>
  <w:num w:numId="30">
    <w:abstractNumId w:val="31"/>
  </w:num>
  <w:num w:numId="31">
    <w:abstractNumId w:val="11"/>
  </w:num>
  <w:num w:numId="32">
    <w:abstractNumId w:val="1"/>
  </w:num>
  <w:num w:numId="33">
    <w:abstractNumId w:val="2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24"/>
    <w:rsid w:val="00052853"/>
    <w:rsid w:val="00094C8F"/>
    <w:rsid w:val="00112086"/>
    <w:rsid w:val="001D1B9F"/>
    <w:rsid w:val="0020288F"/>
    <w:rsid w:val="002E0329"/>
    <w:rsid w:val="003355E1"/>
    <w:rsid w:val="004F731C"/>
    <w:rsid w:val="005C539B"/>
    <w:rsid w:val="007F7401"/>
    <w:rsid w:val="00821C96"/>
    <w:rsid w:val="008D20F6"/>
    <w:rsid w:val="008D5527"/>
    <w:rsid w:val="009932FB"/>
    <w:rsid w:val="00AA2760"/>
    <w:rsid w:val="00AC392A"/>
    <w:rsid w:val="00CC3D39"/>
    <w:rsid w:val="00D431D7"/>
    <w:rsid w:val="00DC588F"/>
    <w:rsid w:val="00E639B5"/>
    <w:rsid w:val="00F13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17DF"/>
  <w15:chartTrackingRefBased/>
  <w15:docId w15:val="{D794A4C4-DC7F-4D30-BF8B-9C6AD848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88F"/>
    <w:pPr>
      <w:spacing w:after="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D431D7"/>
    <w:pPr>
      <w:keepNext/>
      <w:keepLines/>
      <w:numPr>
        <w:numId w:val="33"/>
      </w:numPr>
      <w:spacing w:before="240" w:after="120"/>
      <w:jc w:val="left"/>
      <w:outlineLvl w:val="0"/>
    </w:pPr>
    <w:rPr>
      <w:rFonts w:asciiTheme="majorBidi" w:eastAsiaTheme="majorEastAsia" w:hAnsiTheme="majorBidi" w:cstheme="majorBidi"/>
      <w:color w:val="2E74B5" w:themeColor="accent1" w:themeShade="BF"/>
      <w:sz w:val="28"/>
      <w:szCs w:val="24"/>
    </w:rPr>
  </w:style>
  <w:style w:type="paragraph" w:styleId="Heading2">
    <w:name w:val="heading 2"/>
    <w:basedOn w:val="Normal"/>
    <w:next w:val="Normal"/>
    <w:link w:val="Heading2Char"/>
    <w:uiPriority w:val="9"/>
    <w:unhideWhenUsed/>
    <w:qFormat/>
    <w:rsid w:val="003355E1"/>
    <w:pPr>
      <w:keepNext/>
      <w:keepLines/>
      <w:numPr>
        <w:ilvl w:val="1"/>
        <w:numId w:val="33"/>
      </w:numPr>
      <w:spacing w:before="240" w:after="120"/>
      <w:outlineLvl w:val="1"/>
    </w:pPr>
    <w:rPr>
      <w:rFonts w:asciiTheme="majorBidi" w:eastAsiaTheme="majorEastAsia" w:hAnsiTheme="majorBid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024"/>
    <w:pPr>
      <w:keepNext/>
      <w:keepLines/>
      <w:numPr>
        <w:ilvl w:val="2"/>
        <w:numId w:val="33"/>
      </w:numPr>
      <w:outlineLvl w:val="2"/>
    </w:pPr>
    <w:rPr>
      <w:rFonts w:asciiTheme="majorBidi" w:eastAsiaTheme="majorEastAsia" w:hAnsiTheme="majorBidi" w:cstheme="majorBidi"/>
      <w:color w:val="1F4D78" w:themeColor="accent1" w:themeShade="7F"/>
      <w:szCs w:val="24"/>
    </w:rPr>
  </w:style>
  <w:style w:type="paragraph" w:styleId="Heading4">
    <w:name w:val="heading 4"/>
    <w:basedOn w:val="Normal"/>
    <w:next w:val="Normal"/>
    <w:link w:val="Heading4Char"/>
    <w:uiPriority w:val="9"/>
    <w:unhideWhenUsed/>
    <w:qFormat/>
    <w:rsid w:val="00F13024"/>
    <w:pPr>
      <w:keepNext/>
      <w:keepLines/>
      <w:numPr>
        <w:ilvl w:val="3"/>
        <w:numId w:val="3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3024"/>
    <w:pPr>
      <w:keepNext/>
      <w:keepLines/>
      <w:numPr>
        <w:ilvl w:val="4"/>
        <w:numId w:val="3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3024"/>
    <w:pPr>
      <w:keepNext/>
      <w:keepLines/>
      <w:numPr>
        <w:ilvl w:val="5"/>
        <w:numId w:val="3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3024"/>
    <w:pPr>
      <w:keepNext/>
      <w:keepLines/>
      <w:numPr>
        <w:ilvl w:val="6"/>
        <w:numId w:val="3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3024"/>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3024"/>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D7"/>
    <w:rPr>
      <w:rFonts w:asciiTheme="majorBidi" w:eastAsiaTheme="majorEastAsia" w:hAnsiTheme="majorBidi" w:cstheme="majorBidi"/>
      <w:color w:val="2E74B5" w:themeColor="accent1" w:themeShade="BF"/>
      <w:sz w:val="28"/>
      <w:szCs w:val="24"/>
    </w:rPr>
  </w:style>
  <w:style w:type="character" w:customStyle="1" w:styleId="Heading2Char">
    <w:name w:val="Heading 2 Char"/>
    <w:basedOn w:val="DefaultParagraphFont"/>
    <w:link w:val="Heading2"/>
    <w:uiPriority w:val="9"/>
    <w:rsid w:val="003355E1"/>
    <w:rPr>
      <w:rFonts w:asciiTheme="majorBidi" w:eastAsiaTheme="majorEastAsia" w:hAnsiTheme="majorBidi" w:cstheme="majorBidi"/>
      <w:color w:val="2E74B5" w:themeColor="accent1" w:themeShade="BF"/>
      <w:sz w:val="26"/>
      <w:szCs w:val="26"/>
    </w:rPr>
  </w:style>
  <w:style w:type="character" w:customStyle="1" w:styleId="Heading3Char">
    <w:name w:val="Heading 3 Char"/>
    <w:basedOn w:val="DefaultParagraphFont"/>
    <w:link w:val="Heading3"/>
    <w:uiPriority w:val="9"/>
    <w:rsid w:val="00F13024"/>
    <w:rPr>
      <w:rFonts w:asciiTheme="majorBidi" w:eastAsiaTheme="majorEastAsia" w:hAnsiTheme="majorBidi" w:cstheme="majorBidi"/>
      <w:color w:val="1F4D78" w:themeColor="accent1" w:themeShade="7F"/>
      <w:sz w:val="24"/>
      <w:szCs w:val="24"/>
    </w:rPr>
  </w:style>
  <w:style w:type="character" w:customStyle="1" w:styleId="Heading4Char">
    <w:name w:val="Heading 4 Char"/>
    <w:basedOn w:val="DefaultParagraphFont"/>
    <w:link w:val="Heading4"/>
    <w:uiPriority w:val="9"/>
    <w:rsid w:val="00F1302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1302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1302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1302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130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302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3024"/>
    <w:pPr>
      <w:ind w:left="720"/>
      <w:contextualSpacing/>
    </w:pPr>
    <w:rPr>
      <w:rFonts w:ascii="Times" w:eastAsia="ヒラギノ角ゴ Pro W3" w:hAnsi="Times" w:cs="Times New Roman"/>
      <w:color w:val="000000"/>
      <w:szCs w:val="24"/>
    </w:rPr>
  </w:style>
  <w:style w:type="paragraph" w:customStyle="1" w:styleId="Figure">
    <w:name w:val="Figure"/>
    <w:basedOn w:val="Normal"/>
    <w:next w:val="Normal"/>
    <w:qFormat/>
    <w:rsid w:val="00F13024"/>
    <w:pPr>
      <w:keepNext/>
      <w:spacing w:before="120" w:line="240" w:lineRule="auto"/>
      <w:jc w:val="center"/>
    </w:pPr>
    <w:rPr>
      <w:rFonts w:ascii="Times" w:eastAsia="ヒラギノ角ゴ Pro W3" w:hAnsi="Times" w:cs="Times New Roman"/>
      <w:noProof/>
      <w:color w:val="000000"/>
      <w:szCs w:val="24"/>
    </w:rPr>
  </w:style>
  <w:style w:type="paragraph" w:customStyle="1" w:styleId="Caption-Figure">
    <w:name w:val="Caption - Figure"/>
    <w:basedOn w:val="Caption"/>
    <w:next w:val="Normal"/>
    <w:qFormat/>
    <w:rsid w:val="00F13024"/>
    <w:pPr>
      <w:spacing w:before="240" w:line="360" w:lineRule="auto"/>
      <w:jc w:val="center"/>
    </w:pPr>
    <w:rPr>
      <w:rFonts w:ascii="Times" w:eastAsia="ヒラギノ角ゴ Pro W3" w:hAnsi="Times" w:cs="Times New Roman"/>
      <w:i w:val="0"/>
      <w:iCs w:val="0"/>
      <w:color w:val="000000" w:themeColor="text1"/>
      <w:sz w:val="24"/>
    </w:rPr>
  </w:style>
  <w:style w:type="paragraph" w:styleId="Caption">
    <w:name w:val="caption"/>
    <w:basedOn w:val="Normal"/>
    <w:next w:val="Normal"/>
    <w:uiPriority w:val="35"/>
    <w:unhideWhenUsed/>
    <w:qFormat/>
    <w:rsid w:val="00F13024"/>
    <w:pPr>
      <w:spacing w:after="200" w:line="240" w:lineRule="auto"/>
    </w:pPr>
    <w:rPr>
      <w:i/>
      <w:iCs/>
      <w:color w:val="44546A" w:themeColor="text2"/>
      <w:sz w:val="18"/>
      <w:szCs w:val="18"/>
    </w:rPr>
  </w:style>
  <w:style w:type="table" w:styleId="TableGrid">
    <w:name w:val="Table Grid"/>
    <w:basedOn w:val="TableNormal"/>
    <w:uiPriority w:val="39"/>
    <w:rsid w:val="00F1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 - Table"/>
    <w:basedOn w:val="Caption"/>
    <w:next w:val="Normal"/>
    <w:qFormat/>
    <w:rsid w:val="00F13024"/>
    <w:pPr>
      <w:keepNext/>
      <w:keepLines/>
      <w:spacing w:before="120" w:after="120" w:line="360" w:lineRule="auto"/>
      <w:jc w:val="center"/>
    </w:pPr>
    <w:rPr>
      <w:rFonts w:ascii="Times" w:eastAsia="ヒラギノ角ゴ Pro W3" w:hAnsi="Times" w:cs="Times New Roman"/>
      <w:i w:val="0"/>
      <w:iCs w:val="0"/>
      <w:color w:val="000000" w:themeColor="text1"/>
      <w:sz w:val="24"/>
    </w:rPr>
  </w:style>
  <w:style w:type="table" w:styleId="ListTable3-Accent3">
    <w:name w:val="List Table 3 Accent 3"/>
    <w:basedOn w:val="TableNormal"/>
    <w:uiPriority w:val="48"/>
    <w:rsid w:val="00F13024"/>
    <w:pPr>
      <w:spacing w:after="0" w:line="240" w:lineRule="auto"/>
    </w:pPr>
    <w:rPr>
      <w:rFonts w:ascii="Calibri" w:eastAsia="Calibri" w:hAnsi="Calibri" w:cs="Arial"/>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eGrid1">
    <w:name w:val="Table Grid1"/>
    <w:basedOn w:val="TableNormal"/>
    <w:next w:val="TableGrid"/>
    <w:uiPriority w:val="39"/>
    <w:rsid w:val="00F1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1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w:basedOn w:val="Normal"/>
    <w:link w:val="BodyTextChar"/>
    <w:uiPriority w:val="7"/>
    <w:qFormat/>
    <w:rsid w:val="00F13024"/>
    <w:pPr>
      <w:ind w:firstLine="720"/>
    </w:pPr>
    <w:rPr>
      <w:rFonts w:cs="Times New Roman"/>
      <w:szCs w:val="24"/>
      <w:shd w:val="clear" w:color="auto" w:fill="FFFFFF"/>
    </w:rPr>
  </w:style>
  <w:style w:type="character" w:customStyle="1" w:styleId="BodyTextChar">
    <w:name w:val="Body Text Char"/>
    <w:aliases w:val="Body Char"/>
    <w:basedOn w:val="DefaultParagraphFont"/>
    <w:link w:val="BodyText"/>
    <w:uiPriority w:val="7"/>
    <w:rsid w:val="00F13024"/>
    <w:rPr>
      <w:rFonts w:ascii="Times New Roman" w:hAnsi="Times New Roman" w:cs="Times New Roman"/>
      <w:sz w:val="24"/>
      <w:szCs w:val="24"/>
    </w:rPr>
  </w:style>
  <w:style w:type="table" w:customStyle="1" w:styleId="GridTable1Light1">
    <w:name w:val="Grid Table 1 Light1"/>
    <w:basedOn w:val="TableNormal"/>
    <w:next w:val="GridTable1Light"/>
    <w:uiPriority w:val="46"/>
    <w:rsid w:val="00F13024"/>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F130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next w:val="PlainTable2"/>
    <w:uiPriority w:val="42"/>
    <w:rsid w:val="00F1302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F130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3">
    <w:name w:val="Table Grid3"/>
    <w:basedOn w:val="TableNormal"/>
    <w:next w:val="TableGrid"/>
    <w:uiPriority w:val="39"/>
    <w:rsid w:val="00F13024"/>
    <w:pPr>
      <w:spacing w:after="0" w:line="240" w:lineRule="auto"/>
    </w:pPr>
    <w:rPr>
      <w:kern w:val="2"/>
      <w:lang w:val="en-A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qFormat/>
    <w:rsid w:val="00F13024"/>
    <w:pPr>
      <w:spacing w:line="240" w:lineRule="auto"/>
    </w:pPr>
    <w:rPr>
      <w:rFonts w:asciiTheme="majorBidi" w:hAnsiTheme="majorBidi" w:cstheme="majorBidi"/>
    </w:rPr>
  </w:style>
  <w:style w:type="paragraph" w:customStyle="1" w:styleId="TableColHead">
    <w:name w:val="Table Col Head"/>
    <w:basedOn w:val="Normal"/>
    <w:next w:val="Normal"/>
    <w:qFormat/>
    <w:rsid w:val="005C539B"/>
    <w:pPr>
      <w:keepNext/>
      <w:jc w:val="left"/>
    </w:pPr>
    <w:rPr>
      <w:b/>
      <w:bCs/>
    </w:rPr>
  </w:style>
  <w:style w:type="paragraph" w:customStyle="1" w:styleId="TableEntry">
    <w:name w:val="Table Entry"/>
    <w:basedOn w:val="Normal"/>
    <w:qFormat/>
    <w:rsid w:val="005C539B"/>
    <w:pPr>
      <w:keepNext/>
      <w:keepLines/>
    </w:pPr>
  </w:style>
  <w:style w:type="paragraph" w:styleId="TableofFigures">
    <w:name w:val="table of figures"/>
    <w:basedOn w:val="Normal"/>
    <w:next w:val="Normal"/>
    <w:uiPriority w:val="99"/>
    <w:unhideWhenUsed/>
    <w:rsid w:val="00F13024"/>
    <w:pPr>
      <w:tabs>
        <w:tab w:val="right" w:leader="dot" w:pos="9000"/>
      </w:tabs>
      <w:spacing w:after="120" w:line="360" w:lineRule="auto"/>
      <w:ind w:left="1080" w:right="720" w:hanging="1080"/>
      <w:jc w:val="left"/>
    </w:pPr>
    <w:rPr>
      <w:noProof/>
    </w:rPr>
  </w:style>
  <w:style w:type="character" w:styleId="Hyperlink">
    <w:name w:val="Hyperlink"/>
    <w:basedOn w:val="DefaultParagraphFont"/>
    <w:uiPriority w:val="99"/>
    <w:unhideWhenUsed/>
    <w:rsid w:val="00F13024"/>
    <w:rPr>
      <w:color w:val="0563C1" w:themeColor="hyperlink"/>
      <w:u w:val="single"/>
    </w:rPr>
  </w:style>
  <w:style w:type="paragraph" w:styleId="TOCHeading">
    <w:name w:val="TOC Heading"/>
    <w:basedOn w:val="Heading1"/>
    <w:next w:val="Normal"/>
    <w:uiPriority w:val="39"/>
    <w:unhideWhenUsed/>
    <w:qFormat/>
    <w:rsid w:val="00F13024"/>
    <w:pPr>
      <w:numPr>
        <w:numId w:val="0"/>
      </w:num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F13024"/>
    <w:pPr>
      <w:keepNext/>
      <w:tabs>
        <w:tab w:val="right" w:leader="dot" w:pos="9000"/>
      </w:tabs>
      <w:spacing w:before="240" w:after="100" w:line="240" w:lineRule="auto"/>
    </w:pPr>
    <w:rPr>
      <w:noProof/>
    </w:rPr>
  </w:style>
  <w:style w:type="paragraph" w:styleId="TOC2">
    <w:name w:val="toc 2"/>
    <w:basedOn w:val="Normal"/>
    <w:next w:val="Normal"/>
    <w:autoRedefine/>
    <w:uiPriority w:val="39"/>
    <w:unhideWhenUsed/>
    <w:rsid w:val="00F13024"/>
    <w:pPr>
      <w:tabs>
        <w:tab w:val="left" w:pos="880"/>
        <w:tab w:val="right" w:leader="dot" w:pos="9000"/>
      </w:tabs>
      <w:spacing w:after="100" w:line="240" w:lineRule="auto"/>
      <w:ind w:left="893" w:right="720" w:hanging="648"/>
    </w:pPr>
    <w:rPr>
      <w:noProof/>
    </w:rPr>
  </w:style>
  <w:style w:type="paragraph" w:styleId="TOC3">
    <w:name w:val="toc 3"/>
    <w:basedOn w:val="Normal"/>
    <w:next w:val="Normal"/>
    <w:autoRedefine/>
    <w:uiPriority w:val="39"/>
    <w:unhideWhenUsed/>
    <w:rsid w:val="00F13024"/>
    <w:pPr>
      <w:tabs>
        <w:tab w:val="left" w:pos="1320"/>
        <w:tab w:val="right" w:leader="dot" w:pos="9000"/>
      </w:tabs>
      <w:spacing w:after="100" w:line="240" w:lineRule="auto"/>
      <w:ind w:left="1267" w:right="720" w:hanging="792"/>
    </w:pPr>
    <w:rPr>
      <w:noProof/>
    </w:rPr>
  </w:style>
  <w:style w:type="paragraph" w:styleId="NoSpacing">
    <w:name w:val="No Spacing"/>
    <w:uiPriority w:val="1"/>
    <w:qFormat/>
    <w:rsid w:val="00F13024"/>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F13024"/>
    <w:rPr>
      <w:color w:val="808080"/>
    </w:rPr>
  </w:style>
  <w:style w:type="paragraph" w:styleId="TOC4">
    <w:name w:val="toc 4"/>
    <w:basedOn w:val="Normal"/>
    <w:next w:val="Normal"/>
    <w:autoRedefine/>
    <w:uiPriority w:val="39"/>
    <w:unhideWhenUsed/>
    <w:rsid w:val="00F13024"/>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F13024"/>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F13024"/>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F13024"/>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F13024"/>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F13024"/>
    <w:pPr>
      <w:spacing w:after="100" w:line="259" w:lineRule="auto"/>
      <w:ind w:left="1760"/>
      <w:jc w:val="left"/>
    </w:pPr>
    <w:rPr>
      <w:rFonts w:asciiTheme="minorHAnsi" w:eastAsiaTheme="minorEastAsia" w:hAnsiTheme="minorHAnsi"/>
      <w:sz w:val="22"/>
    </w:rPr>
  </w:style>
  <w:style w:type="paragraph" w:customStyle="1" w:styleId="No-TOC-Heading">
    <w:name w:val="No-TOC-Heading"/>
    <w:uiPriority w:val="6"/>
    <w:rsid w:val="00F13024"/>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F13024"/>
    <w:pPr>
      <w:spacing w:after="2640"/>
      <w:jc w:val="center"/>
    </w:pPr>
    <w:rPr>
      <w:rFonts w:cs="Times New Roman"/>
      <w:szCs w:val="24"/>
    </w:rPr>
  </w:style>
  <w:style w:type="paragraph" w:customStyle="1" w:styleId="Month-Year">
    <w:name w:val="Month-Year"/>
    <w:basedOn w:val="Normal"/>
    <w:uiPriority w:val="10"/>
    <w:qFormat/>
    <w:rsid w:val="00F13024"/>
    <w:pPr>
      <w:jc w:val="center"/>
    </w:pPr>
    <w:rPr>
      <w:rFonts w:cs="Times New Roman"/>
      <w:szCs w:val="24"/>
    </w:rPr>
  </w:style>
  <w:style w:type="paragraph" w:styleId="Footer">
    <w:name w:val="footer"/>
    <w:basedOn w:val="Normal"/>
    <w:link w:val="FooterChar"/>
    <w:uiPriority w:val="99"/>
    <w:unhideWhenUsed/>
    <w:rsid w:val="00F13024"/>
    <w:pPr>
      <w:tabs>
        <w:tab w:val="center" w:pos="4680"/>
        <w:tab w:val="right" w:pos="9360"/>
      </w:tabs>
      <w:spacing w:line="240" w:lineRule="auto"/>
      <w:jc w:val="center"/>
    </w:pPr>
    <w:rPr>
      <w:rFonts w:cs="Times New Roman"/>
      <w:szCs w:val="24"/>
    </w:rPr>
  </w:style>
  <w:style w:type="character" w:customStyle="1" w:styleId="FooterChar">
    <w:name w:val="Footer Char"/>
    <w:basedOn w:val="DefaultParagraphFont"/>
    <w:link w:val="Footer"/>
    <w:uiPriority w:val="99"/>
    <w:rsid w:val="00F13024"/>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F13024"/>
    <w:pPr>
      <w:ind w:firstLine="0"/>
      <w:jc w:val="left"/>
    </w:pPr>
  </w:style>
  <w:style w:type="paragraph" w:styleId="Header">
    <w:name w:val="header"/>
    <w:basedOn w:val="Normal"/>
    <w:link w:val="HeaderChar"/>
    <w:uiPriority w:val="99"/>
    <w:unhideWhenUsed/>
    <w:rsid w:val="00F13024"/>
    <w:pPr>
      <w:tabs>
        <w:tab w:val="center" w:pos="4680"/>
        <w:tab w:val="right" w:pos="9360"/>
      </w:tabs>
      <w:spacing w:line="240" w:lineRule="auto"/>
    </w:pPr>
  </w:style>
  <w:style w:type="character" w:customStyle="1" w:styleId="HeaderChar">
    <w:name w:val="Header Char"/>
    <w:basedOn w:val="DefaultParagraphFont"/>
    <w:link w:val="Header"/>
    <w:uiPriority w:val="99"/>
    <w:rsid w:val="00F13024"/>
    <w:rPr>
      <w:rFonts w:ascii="Times New Roman" w:hAnsi="Times New Roman"/>
      <w:sz w:val="24"/>
    </w:rPr>
  </w:style>
  <w:style w:type="paragraph" w:customStyle="1" w:styleId="paragraph">
    <w:name w:val="paragraph"/>
    <w:basedOn w:val="Normal"/>
    <w:rsid w:val="00F13024"/>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F13024"/>
  </w:style>
  <w:style w:type="character" w:customStyle="1" w:styleId="eop">
    <w:name w:val="eop"/>
    <w:basedOn w:val="DefaultParagraphFont"/>
    <w:rsid w:val="00F13024"/>
  </w:style>
  <w:style w:type="paragraph" w:styleId="NormalWeb">
    <w:name w:val="Normal (Web)"/>
    <w:basedOn w:val="Normal"/>
    <w:uiPriority w:val="99"/>
    <w:unhideWhenUsed/>
    <w:rsid w:val="00F13024"/>
    <w:pPr>
      <w:spacing w:before="100" w:beforeAutospacing="1" w:after="100" w:afterAutospacing="1" w:line="240" w:lineRule="auto"/>
      <w:jc w:val="left"/>
    </w:pPr>
    <w:rPr>
      <w:rFonts w:eastAsiaTheme="minorEastAsia" w:cs="Times New Roman"/>
      <w:szCs w:val="24"/>
    </w:rPr>
  </w:style>
  <w:style w:type="paragraph" w:styleId="Revision">
    <w:name w:val="Revision"/>
    <w:hidden/>
    <w:uiPriority w:val="99"/>
    <w:semiHidden/>
    <w:rsid w:val="00F13024"/>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F13024"/>
    <w:rPr>
      <w:sz w:val="16"/>
      <w:szCs w:val="16"/>
    </w:rPr>
  </w:style>
  <w:style w:type="paragraph" w:styleId="CommentText">
    <w:name w:val="annotation text"/>
    <w:basedOn w:val="Normal"/>
    <w:link w:val="CommentTextChar"/>
    <w:uiPriority w:val="99"/>
    <w:unhideWhenUsed/>
    <w:rsid w:val="00F13024"/>
    <w:pPr>
      <w:spacing w:line="240" w:lineRule="auto"/>
    </w:pPr>
    <w:rPr>
      <w:sz w:val="20"/>
      <w:szCs w:val="20"/>
    </w:rPr>
  </w:style>
  <w:style w:type="character" w:customStyle="1" w:styleId="CommentTextChar">
    <w:name w:val="Comment Text Char"/>
    <w:basedOn w:val="DefaultParagraphFont"/>
    <w:link w:val="CommentText"/>
    <w:uiPriority w:val="99"/>
    <w:rsid w:val="00F130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3024"/>
    <w:rPr>
      <w:b/>
      <w:bCs/>
    </w:rPr>
  </w:style>
  <w:style w:type="character" w:customStyle="1" w:styleId="CommentSubjectChar">
    <w:name w:val="Comment Subject Char"/>
    <w:basedOn w:val="CommentTextChar"/>
    <w:link w:val="CommentSubject"/>
    <w:uiPriority w:val="99"/>
    <w:semiHidden/>
    <w:rsid w:val="00F13024"/>
    <w:rPr>
      <w:rFonts w:ascii="Times New Roman" w:hAnsi="Times New Roman"/>
      <w:b/>
      <w:bCs/>
      <w:sz w:val="20"/>
      <w:szCs w:val="20"/>
    </w:rPr>
  </w:style>
  <w:style w:type="paragraph" w:styleId="BalloonText">
    <w:name w:val="Balloon Text"/>
    <w:basedOn w:val="Normal"/>
    <w:link w:val="BalloonTextChar"/>
    <w:uiPriority w:val="99"/>
    <w:semiHidden/>
    <w:unhideWhenUsed/>
    <w:rsid w:val="00F130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024"/>
    <w:rPr>
      <w:rFonts w:ascii="Segoe UI" w:hAnsi="Segoe UI" w:cs="Segoe UI"/>
      <w:sz w:val="18"/>
      <w:szCs w:val="18"/>
    </w:rPr>
  </w:style>
  <w:style w:type="paragraph" w:styleId="Title">
    <w:name w:val="Title"/>
    <w:basedOn w:val="Normal"/>
    <w:next w:val="Normal"/>
    <w:link w:val="TitleChar"/>
    <w:uiPriority w:val="10"/>
    <w:qFormat/>
    <w:rsid w:val="00F1302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Samples Distribution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1DB-4D6F-9397-28056F3EC53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1DB-4D6F-9397-28056F3EC532}"/>
              </c:ext>
            </c:extLst>
          </c:dPt>
          <c:dLbls>
            <c:dLbl>
              <c:idx val="0"/>
              <c:spPr>
                <a:noFill/>
                <a:ln>
                  <a:noFill/>
                </a:ln>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1-31DB-4D6F-9397-28056F3EC532}"/>
                </c:ext>
              </c:extLst>
            </c:dLbl>
            <c:dLbl>
              <c:idx val="1"/>
              <c:spPr>
                <a:noFill/>
                <a:ln>
                  <a:noFill/>
                </a:ln>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3-31DB-4D6F-9397-28056F3EC532}"/>
                </c:ext>
              </c:extLst>
            </c:dLbl>
            <c:spPr>
              <a:pattFill prst="pct75">
                <a:fgClr>
                  <a:schemeClr val="dk1">
                    <a:lumMod val="75000"/>
                    <a:lumOff val="25000"/>
                  </a:schemeClr>
                </a:fgClr>
                <a:bgClr>
                  <a:schemeClr val="dk1">
                    <a:lumMod val="65000"/>
                    <a:lumOff val="35000"/>
                  </a:schemeClr>
                </a:bgClr>
              </a:pattFill>
              <a:ln>
                <a:noFill/>
              </a:ln>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Normal</c:v>
                </c:pt>
                <c:pt idx="1">
                  <c:v>Attack </c:v>
                </c:pt>
              </c:strCache>
            </c:strRef>
          </c:cat>
          <c:val>
            <c:numRef>
              <c:f>Sheet1!$B$2:$B$3</c:f>
              <c:numCache>
                <c:formatCode>General</c:formatCode>
                <c:ptCount val="2"/>
                <c:pt idx="0">
                  <c:v>3651</c:v>
                </c:pt>
                <c:pt idx="1">
                  <c:v>1931</c:v>
                </c:pt>
              </c:numCache>
            </c:numRef>
          </c:val>
          <c:extLst>
            <c:ext xmlns:c16="http://schemas.microsoft.com/office/drawing/2014/chart" uri="{C3380CC4-5D6E-409C-BE32-E72D297353CC}">
              <c16:uniqueId val="{00000004-31DB-4D6F-9397-28056F3EC53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2419765237678613"/>
          <c:y val="0.35652963624945661"/>
          <c:w val="0.24570975503062117"/>
          <c:h val="0.2212310961129858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7B6945-8717-454F-851D-CEB191B1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14040</Words>
  <Characters>80031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 Soudan</dc:creator>
  <cp:keywords/>
  <dc:description/>
  <cp:lastModifiedBy>Bassel Soudan</cp:lastModifiedBy>
  <cp:revision>1</cp:revision>
  <dcterms:created xsi:type="dcterms:W3CDTF">2024-04-04T10:16:00Z</dcterms:created>
  <dcterms:modified xsi:type="dcterms:W3CDTF">2024-04-04T11:50:00Z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http://www.zotero.org/styles/artificial-intelligence-in-medicine</vt:lpwstr>
  </property>
  <property fmtid="{D5CDD505-2E9C-101B-9397-08002B2CF9AE}" pid="5" name="Mendeley Recent Style Name 1_1">
    <vt:lpwstr>Artificial Intelligence In Medicine</vt:lpwstr>
  </property>
  <property fmtid="{D5CDD505-2E9C-101B-9397-08002B2CF9AE}" pid="6" name="Mendeley Recent Style Id 2_1">
    <vt:lpwstr>http://www.zotero.org/styles/computational-intelligence</vt:lpwstr>
  </property>
  <property fmtid="{D5CDD505-2E9C-101B-9397-08002B2CF9AE}" pid="7" name="Mendeley Recent Style Name 2_1">
    <vt:lpwstr>Computational Intelligence</vt:lpwstr>
  </property>
  <property fmtid="{D5CDD505-2E9C-101B-9397-08002B2CF9AE}" pid="8" name="Mendeley Recent Style Id 3_1">
    <vt:lpwstr>http://www.zotero.org/styles/engineering-research-express</vt:lpwstr>
  </property>
  <property fmtid="{D5CDD505-2E9C-101B-9397-08002B2CF9AE}" pid="9" name="Mendeley Recent Style Name 3_1">
    <vt:lpwstr>Engineering Research Express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http://www.zotero.org/styles/internet-of-things</vt:lpwstr>
  </property>
  <property fmtid="{D5CDD505-2E9C-101B-9397-08002B2CF9AE}" pid="13" name="Mendeley Recent Style Name 5_1">
    <vt:lpwstr>Internet of Things</vt:lpwstr>
  </property>
  <property fmtid="{D5CDD505-2E9C-101B-9397-08002B2CF9AE}" pid="14" name="Mendeley Recent Style Id 6_1">
    <vt:lpwstr>http://www.zotero.org/styles/journal-of-biomedical-informatics</vt:lpwstr>
  </property>
  <property fmtid="{D5CDD505-2E9C-101B-9397-08002B2CF9AE}" pid="15" name="Mendeley Recent Style Name 6_1">
    <vt:lpwstr>Journal of Biomedical Informatics</vt:lpwstr>
  </property>
  <property fmtid="{D5CDD505-2E9C-101B-9397-08002B2CF9AE}" pid="16" name="Mendeley Recent Style Id 7_1">
    <vt:lpwstr>http://www.zotero.org/styles/journal-of-cleaner-production</vt:lpwstr>
  </property>
  <property fmtid="{D5CDD505-2E9C-101B-9397-08002B2CF9AE}" pid="17" name="Mendeley Recent Style Name 7_1">
    <vt:lpwstr>Journal of Cleaner Production</vt:lpwstr>
  </property>
  <property fmtid="{D5CDD505-2E9C-101B-9397-08002B2CF9AE}" pid="18" name="Mendeley Recent Style Id 8_1">
    <vt:lpwstr>http://www.zotero.org/styles/neural-computing-and-applications</vt:lpwstr>
  </property>
  <property fmtid="{D5CDD505-2E9C-101B-9397-08002B2CF9AE}" pid="19" name="Mendeley Recent Style Name 8_1">
    <vt:lpwstr>Neural Computing and Applications</vt:lpwstr>
  </property>
  <property fmtid="{D5CDD505-2E9C-101B-9397-08002B2CF9AE}" pid="20" name="Mendeley Recent Style Id 9_1">
    <vt:lpwstr>http://www.zotero.org/styles/smart-health</vt:lpwstr>
  </property>
  <property fmtid="{D5CDD505-2E9C-101B-9397-08002B2CF9AE}" pid="21" name="Mendeley Recent Style Name 9_1">
    <vt:lpwstr>Smart Health</vt:lpwstr>
  </property>
  <property fmtid="{D5CDD505-2E9C-101B-9397-08002B2CF9AE}" pid="22" name="Mendeley Document_1">
    <vt:lpwstr>True</vt:lpwstr>
  </property>
  <property fmtid="{D5CDD505-2E9C-101B-9397-08002B2CF9AE}" pid="23" name="Mendeley Unique User Id_1">
    <vt:lpwstr>8c9ebfb9-e286-37f4-8cb2-93995f503504</vt:lpwstr>
  </property>
  <property fmtid="{D5CDD505-2E9C-101B-9397-08002B2CF9AE}" pid="24" name="Mendeley Citation Style_1">
    <vt:lpwstr>http://www.zotero.org/styles/engineering-research-express</vt:lpwstr>
  </property>
</Properties>
</file>