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56c44e4e7080059bf63f933b3acb6ab1828d97"/>
    <w:p>
      <w:pPr>
        <w:pStyle w:val="Heading1"/>
      </w:pPr>
      <w:r>
        <w:t xml:space="preserve">CAUTI / VAP / UE Research and Deliverables Plan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February 26,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SICU quality deliverables for committee execution and PI tracking</w:t>
      </w:r>
    </w:p>
    <w:bookmarkStart w:id="20" w:name="program-goal"/>
    <w:p>
      <w:pPr>
        <w:pStyle w:val="Heading2"/>
      </w:pPr>
      <w:r>
        <w:t xml:space="preserve">Program Goal</w:t>
      </w:r>
    </w:p>
    <w:p>
      <w:pPr>
        <w:pStyle w:val="FirstParagraph"/>
      </w:pPr>
      <w:r>
        <w:t xml:space="preserve">Create a single practical workplan that converts current discussions into measurable CAUTI, VAP, and UE improvements over 90 days.</w:t>
      </w:r>
    </w:p>
    <w:bookmarkEnd w:id="20"/>
    <w:bookmarkStart w:id="21" w:name="deliverables-by-workstream"/>
    <w:p>
      <w:pPr>
        <w:pStyle w:val="Heading2"/>
      </w:pPr>
      <w:r>
        <w:t xml:space="preserve">Deliverables by Workstream</w:t>
      </w:r>
    </w:p>
    <w:bookmarkEnd w:id="21"/>
    <w:bookmarkStart w:id="24" w:name="cauti-workstream"/>
    <w:p>
      <w:pPr>
        <w:pStyle w:val="Heading2"/>
      </w:pPr>
      <w:r>
        <w:t xml:space="preserve">1) CAUTI Workstream</w:t>
      </w:r>
    </w:p>
    <w:bookmarkStart w:id="22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1"/>
        </w:numPr>
      </w:pPr>
      <w:r>
        <w:t xml:space="preserve">Final trauma/SICU Foley guideline (committee-approved version).</w:t>
      </w:r>
    </w:p>
    <w:p>
      <w:pPr>
        <w:pStyle w:val="Compact"/>
        <w:numPr>
          <w:ilvl w:val="0"/>
          <w:numId w:val="1001"/>
        </w:numPr>
      </w:pPr>
      <w:r>
        <w:t xml:space="preserve">One-page resident/APP bedside quick guide.</w:t>
      </w:r>
    </w:p>
    <w:p>
      <w:pPr>
        <w:pStyle w:val="Compact"/>
        <w:numPr>
          <w:ilvl w:val="0"/>
          <w:numId w:val="1001"/>
        </w:numPr>
      </w:pPr>
      <w:r>
        <w:t xml:space="preserve">Urine-culture stewardship trigger card for rounds.</w:t>
      </w:r>
    </w:p>
    <w:p>
      <w:pPr>
        <w:pStyle w:val="Compact"/>
        <w:numPr>
          <w:ilvl w:val="0"/>
          <w:numId w:val="1001"/>
        </w:numPr>
      </w:pPr>
      <w:r>
        <w:t xml:space="preserve">CAUTI national benchmark and CMS impact brief for leadership alignment.</w:t>
      </w:r>
    </w:p>
    <w:p>
      <w:pPr>
        <w:pStyle w:val="Compact"/>
        <w:numPr>
          <w:ilvl w:val="0"/>
          <w:numId w:val="1001"/>
        </w:numPr>
      </w:pPr>
      <w:r>
        <w:t xml:space="preserve">Monthly CAUTI process dashboard:</w:t>
      </w:r>
    </w:p>
    <w:p>
      <w:pPr>
        <w:pStyle w:val="Compact"/>
        <w:numPr>
          <w:ilvl w:val="0"/>
          <w:numId w:val="1002"/>
        </w:numPr>
      </w:pPr>
      <w:r>
        <w:t xml:space="preserve">Foley device utilization</w:t>
      </w:r>
    </w:p>
    <w:p>
      <w:pPr>
        <w:pStyle w:val="Compact"/>
        <w:numPr>
          <w:ilvl w:val="0"/>
          <w:numId w:val="1002"/>
        </w:numPr>
      </w:pPr>
      <w:r>
        <w:t xml:space="preserve">Foley-days with documented indication</w:t>
      </w:r>
    </w:p>
    <w:p>
      <w:pPr>
        <w:pStyle w:val="Compact"/>
        <w:numPr>
          <w:ilvl w:val="0"/>
          <w:numId w:val="1002"/>
        </w:numPr>
      </w:pPr>
      <w:r>
        <w:t xml:space="preserve">Non-indicated urine cultures</w:t>
      </w:r>
    </w:p>
    <w:p>
      <w:pPr>
        <w:pStyle w:val="Compact"/>
        <w:numPr>
          <w:ilvl w:val="0"/>
          <w:numId w:val="1002"/>
        </w:numPr>
      </w:pPr>
      <w:r>
        <w:t xml:space="preserve">CAUTI events/SIR</w:t>
      </w:r>
    </w:p>
    <w:bookmarkEnd w:id="22"/>
    <w:bookmarkStart w:id="23" w:name="data-sources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03"/>
        </w:numPr>
      </w:pPr>
      <w:r>
        <w:t xml:space="preserve">EMR order and documentation fields</w:t>
      </w:r>
    </w:p>
    <w:p>
      <w:pPr>
        <w:pStyle w:val="Compact"/>
        <w:numPr>
          <w:ilvl w:val="0"/>
          <w:numId w:val="1003"/>
        </w:numPr>
      </w:pPr>
      <w:r>
        <w:t xml:space="preserve">Infection prevention event log</w:t>
      </w:r>
    </w:p>
    <w:p>
      <w:pPr>
        <w:pStyle w:val="Compact"/>
        <w:numPr>
          <w:ilvl w:val="0"/>
          <w:numId w:val="1003"/>
        </w:numPr>
      </w:pPr>
      <w:r>
        <w:t xml:space="preserve">Unit audit sampling</w:t>
      </w:r>
    </w:p>
    <w:bookmarkEnd w:id="23"/>
    <w:bookmarkEnd w:id="24"/>
    <w:bookmarkStart w:id="27" w:name="vap-workstream"/>
    <w:p>
      <w:pPr>
        <w:pStyle w:val="Heading2"/>
      </w:pPr>
      <w:r>
        <w:t xml:space="preserve">2) VAP Workstream</w:t>
      </w:r>
    </w:p>
    <w:bookmarkStart w:id="25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4"/>
        </w:numPr>
      </w:pPr>
      <w:r>
        <w:t xml:space="preserve">RN/RT oral-care accountability standard (who does what, when).</w:t>
      </w:r>
    </w:p>
    <w:p>
      <w:pPr>
        <w:pStyle w:val="Compact"/>
        <w:numPr>
          <w:ilvl w:val="0"/>
          <w:numId w:val="1004"/>
        </w:numPr>
      </w:pPr>
      <w:r>
        <w:t xml:space="preserve">Subglottic ET rollout implementation tracker.</w:t>
      </w:r>
    </w:p>
    <w:p>
      <w:pPr>
        <w:pStyle w:val="Compact"/>
        <w:numPr>
          <w:ilvl w:val="0"/>
          <w:numId w:val="1004"/>
        </w:numPr>
      </w:pPr>
      <w:r>
        <w:t xml:space="preserve">SAT/SBT compliance tracker (time-start and completion reason).</w:t>
      </w:r>
    </w:p>
    <w:p>
      <w:pPr>
        <w:pStyle w:val="Compact"/>
        <w:numPr>
          <w:ilvl w:val="0"/>
          <w:numId w:val="1004"/>
        </w:numPr>
      </w:pPr>
      <w:r>
        <w:t xml:space="preserve">Monthly VAP/vent-day dashboard with baseline and trend.</w:t>
      </w:r>
    </w:p>
    <w:bookmarkEnd w:id="25"/>
    <w:bookmarkStart w:id="26" w:name="data-sources-1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05"/>
        </w:numPr>
      </w:pPr>
      <w:r>
        <w:t xml:space="preserve">RT logs and vent-day counts</w:t>
      </w:r>
    </w:p>
    <w:p>
      <w:pPr>
        <w:pStyle w:val="Compact"/>
        <w:numPr>
          <w:ilvl w:val="0"/>
          <w:numId w:val="1005"/>
        </w:numPr>
      </w:pPr>
      <w:r>
        <w:t xml:space="preserve">EMR task completion data</w:t>
      </w:r>
    </w:p>
    <w:p>
      <w:pPr>
        <w:pStyle w:val="Compact"/>
        <w:numPr>
          <w:ilvl w:val="0"/>
          <w:numId w:val="1005"/>
        </w:numPr>
      </w:pPr>
      <w:r>
        <w:t xml:space="preserve">Quality reporting extracts</w:t>
      </w:r>
    </w:p>
    <w:bookmarkEnd w:id="26"/>
    <w:bookmarkEnd w:id="27"/>
    <w:bookmarkStart w:id="30" w:name="ue-workstream"/>
    <w:p>
      <w:pPr>
        <w:pStyle w:val="Heading2"/>
      </w:pPr>
      <w:r>
        <w:t xml:space="preserve">3) UE Workstream</w:t>
      </w:r>
    </w:p>
    <w:bookmarkStart w:id="28" w:name="deliverables-2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6"/>
        </w:numPr>
      </w:pPr>
      <w:r>
        <w:t xml:space="preserve">One-page UE event form (RN + RT + provider completion in 1 hour).</w:t>
      </w:r>
    </w:p>
    <w:p>
      <w:pPr>
        <w:pStyle w:val="Compact"/>
        <w:numPr>
          <w:ilvl w:val="0"/>
          <w:numId w:val="1006"/>
        </w:numPr>
      </w:pPr>
      <w:r>
        <w:t xml:space="preserve">UE event tracker (rate per 100 ventilator days).</w:t>
      </w:r>
    </w:p>
    <w:p>
      <w:pPr>
        <w:pStyle w:val="Compact"/>
        <w:numPr>
          <w:ilvl w:val="0"/>
          <w:numId w:val="1006"/>
        </w:numPr>
      </w:pPr>
      <w:r>
        <w:t xml:space="preserve">Post-event huddle checklist.</w:t>
      </w:r>
    </w:p>
    <w:p>
      <w:pPr>
        <w:pStyle w:val="Compact"/>
        <w:numPr>
          <w:ilvl w:val="0"/>
          <w:numId w:val="1006"/>
        </w:numPr>
      </w:pPr>
      <w:r>
        <w:t xml:space="preserve">Monthly UE review section in SICU PI meeting template.</w:t>
      </w:r>
    </w:p>
    <w:bookmarkEnd w:id="28"/>
    <w:bookmarkStart w:id="29" w:name="data-sources-2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07"/>
        </w:numPr>
      </w:pPr>
      <w:r>
        <w:t xml:space="preserve">Bedside UE forms</w:t>
      </w:r>
    </w:p>
    <w:p>
      <w:pPr>
        <w:pStyle w:val="Compact"/>
        <w:numPr>
          <w:ilvl w:val="0"/>
          <w:numId w:val="1007"/>
        </w:numPr>
      </w:pPr>
      <w:r>
        <w:t xml:space="preserve">RT ventilator day denominator</w:t>
      </w:r>
    </w:p>
    <w:p>
      <w:pPr>
        <w:pStyle w:val="Compact"/>
        <w:numPr>
          <w:ilvl w:val="0"/>
          <w:numId w:val="1007"/>
        </w:numPr>
      </w:pPr>
      <w:r>
        <w:t xml:space="preserve">PI committee logs</w:t>
      </w:r>
    </w:p>
    <w:bookmarkEnd w:id="29"/>
    <w:bookmarkEnd w:id="30"/>
    <w:bookmarkStart w:id="32" w:name="case-review-standardization"/>
    <w:p>
      <w:pPr>
        <w:pStyle w:val="Heading2"/>
      </w:pPr>
      <w:r>
        <w:t xml:space="preserve">4) Case Review Standardization</w:t>
      </w:r>
    </w:p>
    <w:bookmarkStart w:id="31" w:name="deliverables-3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8"/>
        </w:numPr>
      </w:pPr>
      <w:r>
        <w:t xml:space="preserve">Case-closure template language for SICU minutes.</w:t>
      </w:r>
    </w:p>
    <w:p>
      <w:pPr>
        <w:pStyle w:val="Compact"/>
        <w:numPr>
          <w:ilvl w:val="0"/>
          <w:numId w:val="1008"/>
        </w:numPr>
      </w:pPr>
      <w:r>
        <w:t xml:space="preserve">Event-classification checklist (CAUTI/HAP/VAP/other) to reduce mislabeling.</w:t>
      </w:r>
    </w:p>
    <w:p>
      <w:pPr>
        <w:pStyle w:val="Compact"/>
        <w:numPr>
          <w:ilvl w:val="0"/>
          <w:numId w:val="1008"/>
        </w:numPr>
      </w:pPr>
      <w:r>
        <w:t xml:space="preserve">Required-elements checklist for self-extubation documentation.</w:t>
      </w:r>
    </w:p>
    <w:bookmarkEnd w:id="31"/>
    <w:bookmarkEnd w:id="32"/>
    <w:bookmarkStart w:id="33" w:name="day-timeline"/>
    <w:p>
      <w:pPr>
        <w:pStyle w:val="Heading2"/>
      </w:pPr>
      <w:r>
        <w:t xml:space="preserve">30-60-90 Day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Priority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0-30 days</w:t>
            </w:r>
          </w:p>
        </w:tc>
        <w:tc>
          <w:tcPr/>
          <w:p>
            <w:pPr>
              <w:pStyle w:val="Compact"/>
            </w:pPr>
            <w:r>
              <w:t xml:space="preserve">2026-02-26 to 2026-03-27</w:t>
            </w:r>
          </w:p>
        </w:tc>
        <w:tc>
          <w:tcPr/>
          <w:p>
            <w:pPr>
              <w:pStyle w:val="Compact"/>
            </w:pPr>
            <w:r>
              <w:t xml:space="preserve">Finalize templates (Foley quick guide, UE event form, closure language); start baseline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31-60 days</w:t>
            </w:r>
          </w:p>
        </w:tc>
        <w:tc>
          <w:tcPr/>
          <w:p>
            <w:pPr>
              <w:pStyle w:val="Compact"/>
            </w:pPr>
            <w:r>
              <w:t xml:space="preserve">2026-03-28 to 2026-04-26</w:t>
            </w:r>
          </w:p>
        </w:tc>
        <w:tc>
          <w:tcPr/>
          <w:p>
            <w:pPr>
              <w:pStyle w:val="Compact"/>
            </w:pPr>
            <w:r>
              <w:t xml:space="preserve">Launch active audits (CAUTI culture triggers, oral care compliance, SAT/SBT timing); first full monthly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61-90 days</w:t>
            </w:r>
          </w:p>
        </w:tc>
        <w:tc>
          <w:tcPr/>
          <w:p>
            <w:pPr>
              <w:pStyle w:val="Compact"/>
            </w:pPr>
            <w:r>
              <w:t xml:space="preserve">2026-04-27 to 2026-05-26</w:t>
            </w:r>
          </w:p>
        </w:tc>
        <w:tc>
          <w:tcPr/>
          <w:p>
            <w:pPr>
              <w:pStyle w:val="Compact"/>
            </w:pPr>
            <w:r>
              <w:t xml:space="preserve">Run first performance review cycle; adjust thresholds/workflows; publish phase-2 recommendations</w:t>
            </w:r>
          </w:p>
        </w:tc>
      </w:tr>
    </w:tbl>
    <w:bookmarkEnd w:id="33"/>
    <w:bookmarkStart w:id="34" w:name="Xdde61880476d4039c7d4ee9c2e69b44a5b3fec6"/>
    <w:p>
      <w:pPr>
        <w:pStyle w:val="Heading2"/>
      </w:pPr>
      <w:r>
        <w:t xml:space="preserve">Owner Matrix (Assign Named Person at Next Meeting)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Group</w:t>
            </w:r>
          </w:p>
        </w:tc>
        <w:tc>
          <w:tcPr/>
          <w:p>
            <w:pPr>
              <w:pStyle w:val="Compact"/>
            </w:pPr>
            <w:r>
              <w:t xml:space="preserve">Default Owner Role</w:t>
            </w:r>
          </w:p>
        </w:tc>
        <w:tc>
          <w:tcPr/>
          <w:p>
            <w:pPr>
              <w:pStyle w:val="Compact"/>
            </w:pPr>
            <w:r>
              <w:t xml:space="preserve">Backup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CAUTI guideline + stewardship tools</w:t>
            </w:r>
          </w:p>
        </w:tc>
        <w:tc>
          <w:tcPr/>
          <w:p>
            <w:pPr>
              <w:pStyle w:val="Compact"/>
            </w:pPr>
            <w:r>
              <w:t xml:space="preserve">SICU Director / APP Lead</w:t>
            </w:r>
          </w:p>
        </w:tc>
        <w:tc>
          <w:tcPr/>
          <w:p>
            <w:pPr>
              <w:pStyle w:val="Compact"/>
            </w:pPr>
            <w:r>
              <w:t xml:space="preserve">Infection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 oral-care + vent process tracker</w:t>
            </w:r>
          </w:p>
        </w:tc>
        <w:tc>
          <w:tcPr/>
          <w:p>
            <w:pPr>
              <w:pStyle w:val="Compact"/>
            </w:pPr>
            <w:r>
              <w:t xml:space="preserve">RT Lead + ICU Nursing Lead</w:t>
            </w:r>
          </w:p>
        </w:tc>
        <w:tc>
          <w:tcPr/>
          <w:p>
            <w:pPr>
              <w:pStyle w:val="Compact"/>
            </w:pPr>
            <w:r>
              <w:t xml:space="preserve">Quality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 form/tracker/huddle</w:t>
            </w:r>
          </w:p>
        </w:tc>
        <w:tc>
          <w:tcPr/>
          <w:p>
            <w:pPr>
              <w:pStyle w:val="Compact"/>
            </w:pPr>
            <w:r>
              <w:t xml:space="preserve">SICU Director + ICU Charge RN</w:t>
            </w:r>
          </w:p>
        </w:tc>
        <w:tc>
          <w:tcPr/>
          <w:p>
            <w:pPr>
              <w:pStyle w:val="Compact"/>
            </w:pPr>
            <w:r>
              <w:t xml:space="preserve">RT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 and monthly reporting</w:t>
            </w:r>
          </w:p>
        </w:tc>
        <w:tc>
          <w:tcPr/>
          <w:p>
            <w:pPr>
              <w:pStyle w:val="Compact"/>
            </w:pPr>
            <w:r>
              <w:t xml:space="preserve">Quality Lead</w:t>
            </w:r>
          </w:p>
        </w:tc>
        <w:tc>
          <w:tcPr/>
          <w:p>
            <w:pPr>
              <w:pStyle w:val="Compact"/>
            </w:pPr>
            <w:r>
              <w:t xml:space="preserve">Informatics</w:t>
            </w:r>
          </w:p>
        </w:tc>
      </w:tr>
    </w:tbl>
    <w:bookmarkEnd w:id="34"/>
    <w:bookmarkStart w:id="35" w:name="success-metrics-initial-targets"/>
    <w:p>
      <w:pPr>
        <w:pStyle w:val="Heading2"/>
      </w:pPr>
      <w:r>
        <w:t xml:space="preserve">Success Metrics (Initial Targets)</w:t>
      </w:r>
    </w:p>
    <w:p>
      <w:pPr>
        <w:pStyle w:val="BlockText"/>
        <w:numPr>
          <w:ilvl w:val="0"/>
          <w:numId w:val="1009"/>
        </w:numPr>
      </w:pPr>
      <w:r>
        <w:t xml:space="preserve">=90% Foley-days with documented indication.</w:t>
      </w:r>
    </w:p>
    <w:p>
      <w:pPr>
        <w:pStyle w:val="BlockText"/>
        <w:numPr>
          <w:ilvl w:val="0"/>
          <w:numId w:val="1009"/>
        </w:numPr>
      </w:pPr>
      <w:r>
        <w:t xml:space="preserve">=30% reduction in non-indicated urine cultures.</w:t>
      </w:r>
    </w:p>
    <w:p>
      <w:pPr>
        <w:pStyle w:val="BlockText"/>
        <w:numPr>
          <w:ilvl w:val="0"/>
          <w:numId w:val="1009"/>
        </w:numPr>
      </w:pPr>
      <w:r>
        <w:t xml:space="preserve">=85% documented oral-care interval compliance.</w:t>
      </w:r>
    </w:p>
    <w:p>
      <w:pPr>
        <w:pStyle w:val="BlockText"/>
        <w:numPr>
          <w:ilvl w:val="0"/>
          <w:numId w:val="1009"/>
        </w:numPr>
      </w:pPr>
      <w:r>
        <w:t xml:space="preserve">=85% SAT/SBT documentation compliance before 08:00.</w:t>
      </w:r>
    </w:p>
    <w:p>
      <w:pPr>
        <w:pStyle w:val="Compact"/>
        <w:numPr>
          <w:ilvl w:val="0"/>
          <w:numId w:val="1009"/>
        </w:numPr>
      </w:pPr>
      <w:r>
        <w:t xml:space="preserve">UE events tracked at 100% capture with documented post-event huddle.</w:t>
      </w:r>
    </w:p>
    <w:bookmarkEnd w:id="35"/>
    <w:bookmarkStart w:id="36" w:name="meeting-cadence-for-this-plan"/>
    <w:p>
      <w:pPr>
        <w:pStyle w:val="Heading2"/>
      </w:pPr>
      <w:r>
        <w:t xml:space="preserve">Meeting Cadence for This Plan</w:t>
      </w:r>
    </w:p>
    <w:p>
      <w:pPr>
        <w:pStyle w:val="Compact"/>
        <w:numPr>
          <w:ilvl w:val="0"/>
          <w:numId w:val="1010"/>
        </w:numPr>
      </w:pPr>
      <w:r>
        <w:t xml:space="preserve">Weekly 15-minute operational huddle (execution blockers only).</w:t>
      </w:r>
    </w:p>
    <w:p>
      <w:pPr>
        <w:pStyle w:val="Compact"/>
        <w:numPr>
          <w:ilvl w:val="0"/>
          <w:numId w:val="1010"/>
        </w:numPr>
      </w:pPr>
      <w:r>
        <w:t xml:space="preserve">Monthly SICU committee review (metrics + decisions).</w:t>
      </w:r>
    </w:p>
    <w:p>
      <w:pPr>
        <w:pStyle w:val="Compact"/>
        <w:numPr>
          <w:ilvl w:val="0"/>
          <w:numId w:val="1010"/>
        </w:numPr>
      </w:pPr>
      <w:r>
        <w:t xml:space="preserve">Quarterly PI summary (trend, outcomes, resource requests).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2026-02-26T16:40:26Z</dcterms:created>
  <dcterms:modified xsi:type="dcterms:W3CDTF">2026-02-26T16:40:26Z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