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26BB4" w14:textId="2CC48F3C" w:rsidR="00DA3CE2" w:rsidRPr="004174B3" w:rsidRDefault="00354DD8" w:rsidP="007843BD">
      <w:pPr>
        <w:pStyle w:val="Ttulo1"/>
      </w:pPr>
      <w:bookmarkStart w:id="0" w:name="_Toc239253597"/>
      <w:r>
        <w:t>Especificación de requerimientos para el sistema distribuido de computación de alto rendimiento UPB CIENTIFICA</w:t>
      </w:r>
      <w:bookmarkEnd w:id="0"/>
    </w:p>
    <w:p w14:paraId="0EFB5477" w14:textId="12C3D0FA" w:rsidR="00DA3CE2" w:rsidRPr="004174B3" w:rsidRDefault="00DA3CE2" w:rsidP="004174B3">
      <w:pPr>
        <w:pStyle w:val="Sinespaciado"/>
        <w:jc w:val="center"/>
      </w:pPr>
    </w:p>
    <w:p w14:paraId="7D34B0C7" w14:textId="696EB7B4" w:rsidR="004A4761" w:rsidRPr="004174B3" w:rsidRDefault="004A4761" w:rsidP="004174B3">
      <w:pPr>
        <w:pStyle w:val="Sinespaciado"/>
        <w:jc w:val="center"/>
      </w:pPr>
    </w:p>
    <w:p w14:paraId="7A436DFE" w14:textId="77777777" w:rsidR="004174B3" w:rsidRPr="004174B3" w:rsidRDefault="004174B3" w:rsidP="00B903D9">
      <w:pPr>
        <w:pStyle w:val="Sinespaciado"/>
      </w:pPr>
    </w:p>
    <w:p w14:paraId="0857C6BA" w14:textId="3220ED88" w:rsidR="005310ED" w:rsidRPr="004174B3" w:rsidRDefault="007843BD" w:rsidP="00135532">
      <w:pPr>
        <w:pStyle w:val="Sinespaciado"/>
        <w:jc w:val="center"/>
      </w:pPr>
      <w:r>
        <w:t>Andrés Felipe Pinzón Camacho</w:t>
      </w:r>
    </w:p>
    <w:p w14:paraId="2A6F7DAD" w14:textId="5860FBEB" w:rsidR="005310ED" w:rsidRPr="004174B3" w:rsidRDefault="00B903D9" w:rsidP="004174B3">
      <w:pPr>
        <w:pStyle w:val="Sinespaciado"/>
        <w:jc w:val="center"/>
      </w:pPr>
      <w:r>
        <w:t>Sergio Alejandro Sanabria Moreno</w:t>
      </w:r>
    </w:p>
    <w:p w14:paraId="4C2691A1" w14:textId="21E981EC" w:rsidR="00DA3CE2" w:rsidRPr="004174B3" w:rsidRDefault="00B903D9" w:rsidP="004174B3">
      <w:pPr>
        <w:pStyle w:val="Sinespaciado"/>
        <w:jc w:val="center"/>
      </w:pPr>
      <w:r>
        <w:t>Angie Lorena Villareal Vasquez</w:t>
      </w:r>
    </w:p>
    <w:p w14:paraId="7EADAAEC" w14:textId="721E3906" w:rsidR="00DA3CE2" w:rsidRPr="004174B3" w:rsidRDefault="00B903D9" w:rsidP="004174B3">
      <w:pPr>
        <w:pStyle w:val="Sinespaciado"/>
        <w:jc w:val="center"/>
      </w:pPr>
      <w:r>
        <w:t>Valentina Tellez Salazar</w:t>
      </w:r>
    </w:p>
    <w:p w14:paraId="5E0F74B4" w14:textId="13D324A4" w:rsidR="000C70FF" w:rsidRDefault="00B903D9" w:rsidP="004174B3">
      <w:pPr>
        <w:pStyle w:val="Sinespaciado"/>
        <w:jc w:val="center"/>
      </w:pPr>
      <w:r>
        <w:t>Fernando Cancelado Figueroa</w:t>
      </w:r>
    </w:p>
    <w:p w14:paraId="4C51AC3D" w14:textId="7449798C" w:rsidR="00B903D9" w:rsidRPr="004174B3" w:rsidRDefault="00B903D9" w:rsidP="00B903D9">
      <w:pPr>
        <w:pStyle w:val="Sinespaciado"/>
        <w:jc w:val="center"/>
      </w:pPr>
      <w:r>
        <w:t>Daniel Felipe Aguilar Latorre</w:t>
      </w:r>
    </w:p>
    <w:p w14:paraId="68691DC8" w14:textId="77777777" w:rsidR="004A4761" w:rsidRDefault="004A4761" w:rsidP="004174B3">
      <w:pPr>
        <w:pStyle w:val="Sinespaciado"/>
        <w:jc w:val="center"/>
      </w:pPr>
    </w:p>
    <w:p w14:paraId="52F0DB87" w14:textId="77777777" w:rsidR="00B903D9" w:rsidRPr="004174B3" w:rsidRDefault="00B903D9" w:rsidP="004174B3">
      <w:pPr>
        <w:pStyle w:val="Sinespaciado"/>
        <w:jc w:val="center"/>
      </w:pPr>
    </w:p>
    <w:p w14:paraId="35A427A3" w14:textId="044E8D5E" w:rsidR="000C70FF" w:rsidRPr="004174B3" w:rsidRDefault="007843BD" w:rsidP="004174B3">
      <w:pPr>
        <w:pStyle w:val="Sinespaciado"/>
        <w:jc w:val="center"/>
      </w:pPr>
      <w:r>
        <w:t>Docente</w:t>
      </w:r>
    </w:p>
    <w:p w14:paraId="75916FF4" w14:textId="1E01DB6D" w:rsidR="000C70FF" w:rsidRPr="004174B3" w:rsidRDefault="007843BD" w:rsidP="004174B3">
      <w:pPr>
        <w:pStyle w:val="Sinespaciado"/>
        <w:jc w:val="center"/>
      </w:pPr>
      <w:r>
        <w:t>Lenin Javier Serrano Gil</w:t>
      </w:r>
    </w:p>
    <w:p w14:paraId="67830CFA" w14:textId="77777777" w:rsidR="00DA3CE2" w:rsidRPr="004174B3" w:rsidRDefault="00DA3CE2" w:rsidP="004174B3">
      <w:pPr>
        <w:pStyle w:val="Sinespaciado"/>
        <w:jc w:val="center"/>
      </w:pPr>
    </w:p>
    <w:p w14:paraId="72DBE9B6" w14:textId="77777777" w:rsidR="00DA3CE2" w:rsidRPr="004174B3" w:rsidRDefault="00DA3CE2" w:rsidP="004174B3">
      <w:pPr>
        <w:pStyle w:val="Sinespaciado"/>
        <w:jc w:val="center"/>
      </w:pPr>
    </w:p>
    <w:p w14:paraId="2A7E1EC1" w14:textId="630C2175" w:rsidR="004174B3" w:rsidRDefault="004174B3" w:rsidP="00135532">
      <w:pPr>
        <w:pStyle w:val="Sinespaciado"/>
        <w:jc w:val="center"/>
      </w:pPr>
    </w:p>
    <w:p w14:paraId="636C6C9A" w14:textId="77777777" w:rsidR="00135532" w:rsidRPr="004174B3" w:rsidRDefault="00135532" w:rsidP="00135532">
      <w:pPr>
        <w:pStyle w:val="Sinespaciado"/>
        <w:jc w:val="center"/>
      </w:pPr>
    </w:p>
    <w:p w14:paraId="2289358C" w14:textId="5C937B56" w:rsidR="00DA3CE2" w:rsidRPr="004174B3" w:rsidRDefault="00DA3CE2" w:rsidP="004174B3">
      <w:pPr>
        <w:pStyle w:val="Sinespaciado"/>
        <w:jc w:val="center"/>
      </w:pPr>
      <w:r>
        <w:t xml:space="preserve">Universidad Pontificia Bolivariana seccional Bucaramanga UPB</w:t>
      </w:r>
    </w:p>
    <w:p w14:paraId="04D80F2F" w14:textId="6C35E006" w:rsidR="00DA3CE2" w:rsidRPr="004174B3" w:rsidRDefault="0072331C" w:rsidP="004174B3">
      <w:pPr>
        <w:pStyle w:val="Sinespaciado"/>
        <w:jc w:val="center"/>
      </w:pPr>
      <w:r>
        <w:t xml:space="preserve">Ingeniería de sistemas e informática</w:t>
      </w:r>
    </w:p>
    <w:p w14:paraId="4B49E04E" w14:textId="1A5E5E0A" w:rsidR="00E236F9" w:rsidRPr="004C19DC" w:rsidRDefault="00385501" w:rsidP="00155A90">
      <w:pPr>
        <w:pStyle w:val="Sinespaciado"/>
        <w:jc w:val="center"/>
        <w:rPr>
          <w:color w:val="000000" w:themeColor="text1"/>
        </w:rPr>
      </w:pPr>
      <w:r>
        <w:rPr>
          <w:color w:val="000000" w:themeColor="text1"/>
        </w:rPr>
        <w:t>Programa</w:t>
      </w:r>
    </w:p>
    <w:p w14:paraId="07F29F60" w14:textId="19B14822" w:rsidR="004174B3" w:rsidRPr="004174B3" w:rsidRDefault="004174B3" w:rsidP="004174B3">
      <w:pPr>
        <w:pStyle w:val="Sinespaciado"/>
        <w:jc w:val="center"/>
      </w:pPr>
      <w:r>
        <w:t>2026</w:t>
      </w:r>
    </w:p>
    <w:p w14:paraId="63EDD60B" w14:textId="2BCBC4A1" w:rsidR="00135532" w:rsidRDefault="00135532" w:rsidP="00EE1B4B">
      <w:pPr>
        <w:ind w:firstLine="0"/>
      </w:pPr>
    </w:p>
    <w:sdt>
      <w:sdtPr>
        <w:rPr>
          <w:rFonts w:cstheme="minorBidi"/>
          <w:b w:val="0"/>
          <w:bCs w:val="0"/>
          <w:lang w:val="es-CO" w:eastAsia="en-US"/>
        </w:rPr>
        <w:id w:val="-793674390"/>
        <w:docPartObj>
          <w:docPartGallery w:val="Table of Contents"/>
          <w:docPartUnique/>
        </w:docPartObj>
      </w:sdtPr>
      <w:sdtContent>
        <w:p w14:paraId="1AE71E37" w14:textId="42E14051" w:rsidR="00142C54" w:rsidRDefault="00142C54">
          <w:pPr>
            <w:pStyle w:val="TtuloTDC"/>
          </w:pPr>
          <w:r>
            <w:t>Tabla Contenido</w:t>
          </w:r>
        </w:p>
        <w:p w14:paraId="133F6207" w14:textId="2B14671F" w:rsidR="008B02E9" w:rsidRDefault="00142C54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9253597" w:history="1">
            <w:r>
              <w:rPr>
                <w:rStyle w:val="Hipervnculo"/>
                <w:noProof/>
              </w:rPr>
              <w:t>Especificación de requerimientos para el sistema distribuido de computación de alto rendimiento UPB CIENTIFICA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_Toc239253597 \h </w:instrText>
              <w:fldChar w:fldCharType="separate"/>
              <w:t>1</w:t>
              <w:fldChar w:fldCharType="end"/>
            </w:r>
          </w:hyperlink>
        </w:p>
        <w:p w14:paraId="01A06D6E" w14:textId="40DDAC97" w:rsidR="008B02E9" w:rsidRDefault="008B02E9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598" w:history="1">
            <w:r>
              <w:rPr>
                <w:rStyle w:val="Hipervnculo"/>
                <w:noProof/>
              </w:rPr>
              <w:t>Propósito de este documento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_Toc239253598 \h </w:instrText>
              <w:fldChar w:fldCharType="separate"/>
              <w:t>4</w:t>
              <w:fldChar w:fldCharType="end"/>
            </w:r>
          </w:hyperlink>
        </w:p>
        <w:p w14:paraId="0292C1FF" w14:textId="23B36D69" w:rsidR="008B02E9" w:rsidRDefault="008B02E9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599" w:history="1">
            <w:r>
              <w:rPr>
                <w:rStyle w:val="Hipervnculo"/>
                <w:noProof/>
              </w:rPr>
              <w:t>Requerimientos de prioridad alta (Must have) – 17 requerimientos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_Toc239253599 \h </w:instrText>
              <w:fldChar w:fldCharType="separate"/>
              <w:t>4</w:t>
              <w:fldChar w:fldCharType="end"/>
            </w:r>
          </w:hyperlink>
        </w:p>
        <w:p w14:paraId="53290D7B" w14:textId="0043C251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0" w:history="1">
            <w:r>
              <w:rPr>
                <w:rStyle w:val="Hipervnculo"/>
                <w:rFonts w:eastAsia="Calibri"/>
                <w:bCs/>
                <w:noProof/>
              </w:rPr>
              <w:t>RF-01 Autenticación centralizada de usuarios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_Toc239253600 \h </w:instrText>
              <w:fldChar w:fldCharType="separate"/>
              <w:t>4</w:t>
              <w:fldChar w:fldCharType="end"/>
            </w:r>
          </w:hyperlink>
        </w:p>
        <w:p w14:paraId="68F715B6" w14:textId="1AF69026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1" w:history="1">
            <w:r>
              <w:rPr>
                <w:rStyle w:val="Hipervnculo"/>
                <w:rFonts w:eastAsia="Calibri"/>
                <w:bCs/>
                <w:noProof/>
              </w:rPr>
              <w:t>RF-02 Portal web único de acceso a los servicios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_Toc239253601 \h </w:instrText>
              <w:fldChar w:fldCharType="separate"/>
              <w:t>5</w:t>
              <w:fldChar w:fldCharType="end"/>
            </w:r>
          </w:hyperlink>
        </w:p>
        <w:p w14:paraId="6A08D988" w14:textId="50521554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2" w:history="1">
            <w:r>
              <w:rPr>
                <w:rStyle w:val="Hipervnculo"/>
                <w:rFonts w:eastAsia="Calibri"/>
                <w:bCs/>
                <w:noProof/>
              </w:rPr>
              <w:t>RF-03 Sincronización automática de archivos desde el cliente de escritorio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_Toc239253602 \h </w:instrText>
              <w:fldChar w:fldCharType="separate"/>
              <w:t>5</w:t>
              <w:fldChar w:fldCharType="end"/>
            </w:r>
          </w:hyperlink>
        </w:p>
        <w:p w14:paraId="708E1E41" w14:textId="0D873FA2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3" w:history="1">
            <w:r>
              <w:rPr>
                <w:rStyle w:val="Hipervnculo"/>
                <w:rFonts w:eastAsia="Calibri"/>
                <w:bCs/>
                <w:noProof/>
              </w:rPr>
              <w:t>RF-04 Sincronización automática de archivos desde el cliente móvil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_Toc239253603 \h </w:instrText>
              <w:fldChar w:fldCharType="separate"/>
              <w:t>5</w:t>
              <w:fldChar w:fldCharType="end"/>
            </w:r>
          </w:hyperlink>
        </w:p>
        <w:p w14:paraId="172B9A61" w14:textId="6DD936E0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4" w:history="1">
            <w:r>
              <w:rPr>
                <w:rStyle w:val="Hipervnculo"/>
                <w:rFonts w:eastAsia="Calibri"/>
                <w:bCs/>
                <w:noProof/>
              </w:rPr>
              <w:t>RF-05 Cuota de almacenamiento parametrizada por usuario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_Toc239253604 \h </w:instrText>
              <w:fldChar w:fldCharType="separate"/>
              <w:t>6</w:t>
              <w:fldChar w:fldCharType="end"/>
            </w:r>
          </w:hyperlink>
        </w:p>
        <w:p w14:paraId="7ECE2AF7" w14:textId="49596565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5" w:history="1">
            <w:r>
              <w:rPr>
                <w:rStyle w:val="Hipervnculo"/>
                <w:rFonts w:eastAsia="Calibri"/>
                <w:bCs/>
                <w:noProof/>
              </w:rPr>
              <w:t>RF-06 Compartición de archivos con permisos tipo Unix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_Toc239253605 \h </w:instrText>
              <w:fldChar w:fldCharType="separate"/>
              <w:t>6</w:t>
              <w:fldChar w:fldCharType="end"/>
            </w:r>
          </w:hyperlink>
        </w:p>
        <w:p w14:paraId="46533A9E" w14:textId="0C9D75C8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6" w:history="1">
            <w:r>
              <w:rPr>
                <w:rStyle w:val="Hipervnculo"/>
                <w:rFonts w:eastAsia="Calibri"/>
                <w:bCs/>
                <w:noProof/>
              </w:rPr>
              <w:t>RF-07 Gestión y presentación del álbum de fotografías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_Toc239253606 \h </w:instrText>
              <w:fldChar w:fldCharType="separate"/>
              <w:t>7</w:t>
              <w:fldChar w:fldCharType="end"/>
            </w:r>
          </w:hyperlink>
        </w:p>
        <w:p w14:paraId="01FCA707" w14:textId="415E600D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7" w:history="1">
            <w:r>
              <w:rPr>
                <w:rStyle w:val="Hipervnculo"/>
                <w:rFonts w:eastAsia="Calibri"/>
                <w:bCs/>
                <w:noProof/>
              </w:rPr>
              <w:t>RF-08 Transmisión de video con control de acceso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_Toc239253607 \h </w:instrText>
              <w:fldChar w:fldCharType="separate"/>
              <w:t>7</w:t>
              <w:fldChar w:fldCharType="end"/>
            </w:r>
          </w:hyperlink>
        </w:p>
        <w:p w14:paraId="54A07309" w14:textId="3EFDE1EE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8" w:history="1">
            <w:r>
              <w:rPr>
                <w:rStyle w:val="Hipervnculo"/>
                <w:rFonts w:eastAsia="Calibri"/>
                <w:bCs/>
                <w:noProof/>
              </w:rPr>
              <w:t>RF-09 Envío y ejecución de trabajos paralelos en el clúster HPC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_Toc239253608 \h </w:instrText>
              <w:fldChar w:fldCharType="separate"/>
              <w:t>7</w:t>
              <w:fldChar w:fldCharType="end"/>
            </w:r>
          </w:hyperlink>
        </w:p>
        <w:p w14:paraId="2A6A02A8" w14:textId="7002B854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09" w:history="1">
            <w:r>
              <w:rPr>
                <w:rStyle w:val="Hipervnculo"/>
                <w:rFonts w:eastAsia="Calibri"/>
                <w:bCs/>
                <w:noProof/>
              </w:rPr>
              <w:t>RF-10 Consulta del estado de ejecución de un trabajo HPC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_Toc239253609 \h </w:instrText>
              <w:fldChar w:fldCharType="separate"/>
              <w:t>8</w:t>
              <w:fldChar w:fldCharType="end"/>
            </w:r>
          </w:hyperlink>
        </w:p>
        <w:p w14:paraId="3FF49E1B" w14:textId="77B5E86C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0" w:history="1">
            <w:r>
              <w:rPr>
                <w:rStyle w:val="Hipervnculo"/>
                <w:rFonts w:eastAsia="Calibri"/>
                <w:bCs/>
                <w:noProof/>
              </w:rPr>
              <w:t>RF-11 Cifrado asimétrico de las copias de seguridad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_Toc239253610 \h </w:instrText>
              <w:fldChar w:fldCharType="separate"/>
              <w:t>8</w:t>
              <w:fldChar w:fldCharType="end"/>
            </w:r>
          </w:hyperlink>
        </w:p>
        <w:p w14:paraId="266238B1" w14:textId="2C81ED5D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1" w:history="1">
            <w:r>
              <w:rPr>
                <w:rStyle w:val="Hipervnculo"/>
                <w:rFonts w:eastAsia="Calibri"/>
                <w:bCs/>
                <w:noProof/>
              </w:rPr>
              <w:t>RF-12 Autenticación multifactor o basada en token para los clientes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_Toc239253611 \h </w:instrText>
              <w:fldChar w:fldCharType="separate"/>
              <w:t>9</w:t>
              <w:fldChar w:fldCharType="end"/>
            </w:r>
          </w:hyperlink>
        </w:p>
        <w:p w14:paraId="2125B1B3" w14:textId="1C4DA159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2" w:history="1">
            <w:r>
              <w:rPr>
                <w:rStyle w:val="Hipervnculo"/>
                <w:rFonts w:eastAsia="Calibri"/>
                <w:bCs/>
                <w:noProof/>
              </w:rPr>
              <w:t>RF-13 Monitoreo en tiempo real de la infraestructura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_Toc239253612 \h </w:instrText>
              <w:fldChar w:fldCharType="separate"/>
              <w:t>9</w:t>
              <w:fldChar w:fldCharType="end"/>
            </w:r>
          </w:hyperlink>
        </w:p>
        <w:p w14:paraId="3E1ED9DF" w14:textId="7806ED88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3" w:history="1">
            <w:r>
              <w:rPr>
                <w:rStyle w:val="Hipervnculo"/>
                <w:rFonts w:eastAsia="Calibri"/>
                <w:bCs/>
                <w:noProof/>
              </w:rPr>
              <w:t>RF-14 Alertas configurables sobre el estado de la infraestructura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_Toc239253613 \h </w:instrText>
              <w:fldChar w:fldCharType="separate"/>
              <w:t>9</w:t>
              <w:fldChar w:fldCharType="end"/>
            </w:r>
          </w:hyperlink>
        </w:p>
        <w:p w14:paraId="0AE2F6AA" w14:textId="4F542572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25" w:history="1">
            <w:r>
              <w:rPr>
                <w:rStyle w:val="Hipervnculo"/>
                <w:rFonts w:eastAsia="Calibri"/>
                <w:bCs/>
                <w:noProof/>
              </w:rPr>
              <w:t>RF-24 Integración de equipos externos e IoT a la infraestructura Grid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_Toc239253625 \h </w:instrText>
              <w:fldChar w:fldCharType="separate"/>
              <w:t>14</w:t>
              <w:fldChar w:fldCharType="end"/>
            </w:r>
          </w:hyperlink>
        </w:p>
        <w:p w14:paraId="0AE2F6AA" w14:textId="4F542572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900051" w:history="1">
            <w:r>
              <w:rPr>
                <w:rStyle w:val="Hipervnculo"/>
                <w:rFonts w:eastAsia="Calibri"/>
                <w:bCs/>
                <w:noProof/>
              </w:rPr>
              <w:t>RF-25 Repositorio distribuido de archivos, fotos y videos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_Toc900051 \h </w:instrText>
              <w:fldChar w:fldCharType="separate"/>
              <w:t>14</w:t>
              <w:fldChar w:fldCharType="end"/>
            </w:r>
          </w:hyperlink>
        </w:p>
        <w:p w14:paraId="0AE2F6AA" w14:textId="4F542572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900061" w:history="1">
            <w:r>
              <w:rPr>
                <w:rStyle w:val="Hipervnculo"/>
                <w:rFonts w:eastAsia="Calibri"/>
                <w:bCs/>
                <w:noProof/>
              </w:rPr>
              <w:t>RF-26 Comunicación entre los componentes mediante APIs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_Toc900061 \h </w:instrText>
              <w:fldChar w:fldCharType="separate"/>
              <w:t>14</w:t>
              <w:fldChar w:fldCharType="end"/>
            </w:r>
          </w:hyperlink>
        </w:p>
        <w:p w14:paraId="4099228B" w14:textId="19249836" w:rsidR="008B02E9" w:rsidRDefault="008B02E9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4" w:history="1">
            <w:r>
              <w:rPr>
                <w:rStyle w:val="Hipervnculo"/>
                <w:rFonts w:eastAsia="Calibri"/>
                <w:noProof/>
              </w:rPr>
              <w:t>Requerimientos de prioridad media (Should have) — 7 requerimientos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_Toc239253614 \h </w:instrText>
              <w:fldChar w:fldCharType="separate"/>
              <w:t>10</w:t>
              <w:fldChar w:fldCharType="end"/>
            </w:r>
          </w:hyperlink>
        </w:p>
        <w:p w14:paraId="4DCF02DD" w14:textId="328B17B1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5" w:history="1">
            <w:r>
              <w:rPr>
                <w:rStyle w:val="Hipervnculo"/>
                <w:rFonts w:eastAsia="Calibri"/>
                <w:bCs/>
                <w:noProof/>
              </w:rPr>
              <w:t>RF-15 Históricos de métricas de monitoreo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_Toc239253615 \h </w:instrText>
              <w:fldChar w:fldCharType="separate"/>
              <w:t>10</w:t>
              <w:fldChar w:fldCharType="end"/>
            </w:r>
          </w:hyperlink>
        </w:p>
        <w:p w14:paraId="19ADC65C" w14:textId="586B8A46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6" w:history="1">
            <w:r>
              <w:rPr>
                <w:rStyle w:val="Hipervnculo"/>
                <w:rFonts w:eastAsia="Calibri"/>
                <w:bCs/>
                <w:noProof/>
              </w:rPr>
              <w:t>RF-16 Clientes nativos multiplataforma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_Toc239253616 \h </w:instrText>
              <w:fldChar w:fldCharType="separate"/>
              <w:t>10</w:t>
              <w:fldChar w:fldCharType="end"/>
            </w:r>
          </w:hyperlink>
        </w:p>
        <w:p w14:paraId="3A9F6461" w14:textId="351A0C35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7" w:history="1">
            <w:r>
              <w:rPr>
                <w:rStyle w:val="Hipervnculo"/>
                <w:rFonts w:eastAsia="Calibri"/>
                <w:bCs/>
                <w:noProof/>
              </w:rPr>
              <w:t>RF-17 Interfaz web accesible desde cualquier navegador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_Toc239253617 \h </w:instrText>
              <w:fldChar w:fldCharType="separate"/>
              <w:t>11</w:t>
              <w:fldChar w:fldCharType="end"/>
            </w:r>
          </w:hyperlink>
        </w:p>
        <w:p w14:paraId="0FDAB67B" w14:textId="672C7F9B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8" w:history="1">
            <w:r>
              <w:rPr>
                <w:rStyle w:val="Hipervnculo"/>
                <w:rFonts w:eastAsia="Calibri"/>
                <w:bCs/>
                <w:noProof/>
              </w:rPr>
              <w:t>RF-18 Análisis de vulnerabilidades sobre el ambiente de producción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_Toc239253618 \h </w:instrText>
              <w:fldChar w:fldCharType="separate"/>
              <w:t>11</w:t>
              <w:fldChar w:fldCharType="end"/>
            </w:r>
          </w:hyperlink>
        </w:p>
        <w:p w14:paraId="54974CF9" w14:textId="7192FF0C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19" w:history="1">
            <w:r>
              <w:rPr>
                <w:rStyle w:val="Hipervnculo"/>
                <w:rFonts w:eastAsia="Calibri"/>
                <w:bCs/>
                <w:noProof/>
              </w:rPr>
              <w:t>RF-19 Reporte de niveles de riesgo del análisis de vulnerabilidades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_Toc239253619 \h </w:instrText>
              <w:fldChar w:fldCharType="separate"/>
              <w:t>11</w:t>
              <w:fldChar w:fldCharType="end"/>
            </w:r>
          </w:hyperlink>
        </w:p>
        <w:p w14:paraId="4B70C074" w14:textId="14CE209E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20" w:history="1">
            <w:r>
              <w:rPr>
                <w:rStyle w:val="Hipervnculo"/>
                <w:rFonts w:eastAsia="Calibri"/>
                <w:bCs/>
                <w:noProof/>
              </w:rPr>
              <w:t>RF-20 Resolución de identidad de directorio en los nodos del clúster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_Toc239253620 \h </w:instrText>
              <w:fldChar w:fldCharType="separate"/>
              <w:t>12</w:t>
              <w:fldChar w:fldCharType="end"/>
            </w:r>
          </w:hyperlink>
        </w:p>
        <w:p w14:paraId="3F93ED5E" w14:textId="42FC6D73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21" w:history="1">
            <w:r>
              <w:rPr>
                <w:rStyle w:val="Hipervnculo"/>
                <w:rFonts w:eastAsia="Calibri"/>
                <w:bCs/>
                <w:noProof/>
              </w:rPr>
              <w:t>RF-21 Sincronización de reloj entre nodos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_Toc239253621 \h </w:instrText>
              <w:fldChar w:fldCharType="separate"/>
              <w:t>12</w:t>
              <w:fldChar w:fldCharType="end"/>
            </w:r>
          </w:hyperlink>
        </w:p>
        <w:p w14:paraId="29061713" w14:textId="342291D7" w:rsidR="008B02E9" w:rsidRDefault="008B02E9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22" w:history="1">
            <w:r>
              <w:rPr>
                <w:rStyle w:val="Hipervnculo"/>
                <w:rFonts w:eastAsia="Calibri"/>
                <w:noProof/>
              </w:rPr>
              <w:t>Requerimientos de prioridad baja (Could have) — 2 requerimientos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_Toc239253622 \h </w:instrText>
              <w:fldChar w:fldCharType="separate"/>
              <w:t>13</w:t>
              <w:fldChar w:fldCharType="end"/>
            </w:r>
          </w:hyperlink>
        </w:p>
        <w:p w14:paraId="69B00B44" w14:textId="4A44E9C1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23" w:history="1">
            <w:r>
              <w:rPr>
                <w:rStyle w:val="Hipervnculo"/>
                <w:rFonts w:eastAsia="Calibri"/>
                <w:bCs/>
                <w:noProof/>
              </w:rPr>
              <w:t>RF-22 Revocación inmediata de sesiones activas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_Toc239253623 \h </w:instrText>
              <w:fldChar w:fldCharType="separate"/>
              <w:t>13</w:t>
              <w:fldChar w:fldCharType="end"/>
            </w:r>
          </w:hyperlink>
        </w:p>
        <w:p w14:paraId="21AD27F7" w14:textId="35AD2DF1" w:rsidR="008B02E9" w:rsidRDefault="008B02E9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s-CO" w:eastAsia="es-CO"/>
              <w14:ligatures w14:val="standardContextual"/>
            </w:rPr>
          </w:pPr>
          <w:hyperlink w:anchor="_Toc239253624" w:history="1">
            <w:r>
              <w:rPr>
                <w:rStyle w:val="Hipervnculo"/>
                <w:rFonts w:eastAsia="Calibri"/>
                <w:bCs/>
                <w:noProof/>
              </w:rPr>
              <w:t>RF-23 Resolución de conflictos de versiones concurrentes en sincronización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_Toc239253624 \h </w:instrText>
              <w:fldChar w:fldCharType="separate"/>
              <w:t>13</w:t>
              <w:fldChar w:fldCharType="end"/>
            </w:r>
          </w:hyperlink>
        </w:p>
        <w:p w14:paraId="3E3F1CC8" w14:textId="401D999F" w:rsidR="001E628E" w:rsidRDefault="00142C54" w:rsidP="00AA7ED0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  <w:p w14:paraId="3185EF20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2461D63D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2A5C6B62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596BB21B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7A564CEB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1BB9FFA2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5031E02C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3F20AB17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1E445950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418F0327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0328BEE0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2BA7AFBD" w14:textId="77777777" w:rsidR="001E628E" w:rsidRDefault="001E628E" w:rsidP="00AA7ED0">
          <w:pPr>
            <w:rPr>
              <w:b/>
              <w:bCs/>
              <w:lang w:val="es-ES"/>
            </w:rPr>
          </w:pPr>
        </w:p>
        <w:p w14:paraId="4E4B4C1E" w14:textId="4D2F539E" w:rsidR="00927FDA" w:rsidRPr="00AA7ED0" w:rsidRDefault="00000000" w:rsidP="00AA7ED0"/>
      </w:sdtContent>
    </w:sdt>
    <w:p w14:paraId="6B7EF70F" w14:textId="3F0FD074" w:rsidR="00196EE5" w:rsidRPr="004A4761" w:rsidRDefault="00FD72BD" w:rsidP="00D16184">
      <w:pPr>
        <w:pStyle w:val="Ttulo1"/>
      </w:pPr>
      <w:bookmarkStart w:id="1" w:name="_Toc239253598"/>
      <w:r>
        <w:lastRenderedPageBreak/>
        <w:t>Propósito de este documento</w:t>
      </w:r>
      <w:bookmarkEnd w:id="1"/>
    </w:p>
    <w:p w14:paraId="75A547A6" w14:textId="77777777" w:rsidR="00FD72BD" w:rsidRPr="00760F07" w:rsidRDefault="00FD72BD" w:rsidP="00FD72BD">
      <w:r>
        <w:t xml:space="preserve">Este documento especifica los requerimientos funcionales del sistema distribuido de UPB-CIENTÍFICA, siguiendo el formato basado en IEEE 830 y la organización por prioridad (Must have / Should have / Could have) adoptados como referencia formal del equipo. Cada requerimiento se documenta con su descripción, prioridad, fuente o justificación dentro del enunciado del proyecto (situación problemática, Figura 1 y requisitos del producto), el acta de constitución o el documento de arquitectura, un criterio de verificación objetivo y sus dependencias frente a otros requerimientos.</w:t>
      </w:r>
    </w:p>
    <w:p w14:paraId="27497230" w14:textId="3B92CDCE" w:rsidR="00AA7ED0" w:rsidRPr="004E5171" w:rsidRDefault="00FD72BD" w:rsidP="00FD72BD">
      <w:r>
        <w:t>Los requerimientos no funcionales y las restricciones de infraestructura del proyecto (alojamiento exclusivo en el CCA, prohibición de contenedores y de servicios de nube de terceros, uso exclusivo de software libre) se documentan en el acta de constitución y en el documento de arquitectura del sistema, y no se repiten aquí para evitar duplicar información entre documentos.</w:t>
      </w:r>
    </w:p>
    <w:p w14:paraId="5E7188AF" w14:textId="45CFD4F7" w:rsidR="00E236F9" w:rsidRDefault="00FD72BD" w:rsidP="00D16184">
      <w:pPr>
        <w:pStyle w:val="Ttulo1"/>
      </w:pPr>
      <w:bookmarkStart w:id="2" w:name="_Toc239253599"/>
      <w:r>
        <w:t xml:space="preserve">Requerimientos de prioridad alta (Must have) – 17 requerimientos</w:t>
      </w:r>
      <w:bookmarkEnd w:id="2"/>
    </w:p>
    <w:p w14:paraId="74A5F804" w14:textId="0F3CF935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3" w:name="_Toc239252863"/>
      <w:bookmarkStart w:id="4" w:name="_Toc239253600"/>
      <w:r>
        <w:rPr>
          <w:rFonts w:eastAsia="Calibri" w:cs="Times New Roman"/>
          <w:bCs/>
          <w:color w:val="auto"/>
        </w:rPr>
        <w:t xml:space="preserve">RF-01 Autenticación centralizada de usuarios</w:t>
      </w:r>
      <w:bookmarkEnd w:id="3"/>
      <w:bookmarkEnd w:id="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4CA08F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8A72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1DDE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  <w:tr w:rsidR="00FD72BD" w:rsidRPr="00FD72BD" w14:paraId="02640E0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6816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E7966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Autenticación centralizada de usuarios</w:t>
            </w:r>
          </w:p>
        </w:tc>
      </w:tr>
      <w:tr w:rsidR="00FD72BD" w:rsidRPr="00FD72BD" w14:paraId="4F32574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A0EE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BC71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autenticar a todos los usuarios contra un servicio de directorio activo (OpenLDAP) que administre de forma centralizada los perfiles, incluyendo autenticación, autorización, mapa de servicios y árboles de archivos.</w:t>
            </w:r>
          </w:p>
        </w:tc>
      </w:tr>
      <w:tr w:rsidR="00FD72BD" w:rsidRPr="00FD72BD" w14:paraId="1ECD877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C5F3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EBCC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5351F82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2EA9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FC26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(“Perfiles de usuario”); documento de arquitectura, decisión D2.</w:t>
            </w:r>
          </w:p>
        </w:tc>
      </w:tr>
      <w:tr w:rsidR="00FD72BD" w:rsidRPr="00FD72BD" w14:paraId="772CCB0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9F15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C9C8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usuario válido registrado en el directorio puede iniciar sesión desde el portal web y desde los clientes nativos (escritorio y móvil) con las mismas credenciales, y cada servicio le concede o niega el acceso según el mapa de servicios de su perfil.</w:t>
            </w:r>
          </w:p>
        </w:tc>
      </w:tr>
      <w:tr w:rsidR="00FD72BD" w:rsidRPr="00FD72BD" w14:paraId="35FB869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6381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2B52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Ninguna</w:t>
            </w:r>
          </w:p>
        </w:tc>
      </w:tr>
    </w:tbl>
    <w:p w14:paraId="0D67DD6D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64A64E66" w14:textId="42E5F5EB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5" w:name="_Toc239252864"/>
      <w:bookmarkStart w:id="6" w:name="_Toc239253601"/>
      <w:r>
        <w:rPr>
          <w:rFonts w:eastAsia="Calibri" w:cs="Times New Roman"/>
          <w:bCs/>
          <w:color w:val="auto"/>
        </w:rPr>
        <w:lastRenderedPageBreak/>
        <w:t xml:space="preserve">RF-02 Portal web único de acceso a los servicios</w:t>
      </w:r>
      <w:bookmarkEnd w:id="5"/>
      <w:bookmarkEnd w:id="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2599540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A9AE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5C02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RF-02</w:t>
            </w:r>
          </w:p>
        </w:tc>
      </w:tr>
      <w:tr w:rsidR="00FD72BD" w:rsidRPr="00FD72BD" w14:paraId="5BA6B48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9BC2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3162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Portal web único de acceso a los servicios</w:t>
            </w:r>
          </w:p>
        </w:tc>
      </w:tr>
      <w:tr w:rsidR="00FD72BD" w:rsidRPr="00FD72BD" w14:paraId="070E8CA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8ACB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76E4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ofrecer un portal web (node-web) como única puerta de entrada del navegador (cliente web) hacia los servicios del producto, sin que el navegador se comunique directamente con SOAP, RMI, el repositorio o el clúster.</w:t>
            </w:r>
          </w:p>
        </w:tc>
      </w:tr>
      <w:tr w:rsidR="00FD72BD" w:rsidRPr="00FD72BD" w14:paraId="77E2B17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6F45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188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5A6F868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FE13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F44C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Documento de arquitectura, decisión D1 (“node-web como única puerta de los clientes web”).</w:t>
            </w:r>
          </w:p>
        </w:tc>
      </w:tr>
      <w:tr w:rsidR="00FD72BD" w:rsidRPr="00FD72BD" w14:paraId="47B098E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8ADE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44DF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Todas las peticiones del navegador hacia los servicios de autenticación, archivos, medios y trabajos HPC pasan por node-web.</w:t>
            </w:r>
          </w:p>
        </w:tc>
      </w:tr>
      <w:tr w:rsidR="00FD72BD" w:rsidRPr="00FD72BD" w14:paraId="39D92A6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7E13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8C7E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</w:tbl>
    <w:p w14:paraId="5B3D8511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6226C579" w14:textId="33E745A8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7" w:name="_Toc239252865"/>
      <w:bookmarkStart w:id="8" w:name="_Toc239253602"/>
      <w:r>
        <w:rPr>
          <w:rFonts w:eastAsia="Calibri" w:cs="Times New Roman"/>
          <w:bCs/>
          <w:color w:val="auto"/>
        </w:rPr>
        <w:t xml:space="preserve">RF-03 Sincronización automática de archivos desde el cliente de escritorio</w:t>
      </w:r>
      <w:bookmarkEnd w:id="7"/>
      <w:bookmarkEnd w:id="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04BE65D1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2AD2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A07E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RF-03</w:t>
            </w:r>
          </w:p>
        </w:tc>
      </w:tr>
      <w:tr w:rsidR="00FD72BD" w:rsidRPr="00FD72BD" w14:paraId="4607057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4B32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C4A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Sincronización automática de archivos desde el cliente de escritorio</w:t>
            </w:r>
          </w:p>
        </w:tc>
      </w:tr>
      <w:tr w:rsidR="00FD72BD" w:rsidRPr="00FD72BD" w14:paraId="2491396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8CAE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C7CE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crear en el servidor una copia síncrona de seguridad de un directorio local del equipo de escritorio o portátil (Windows o Linux), sincronizando su árbol de directorios con el repositorio central de forma automática y transparente: en el horario que se programe y cuando el equipo se conecte a la red interna, por cable o Wi-Fi. La sincronización mantiene una versión del recurso en el servidor y cualquier cambio en una copia del cliente se refleja en todas las copias.</w:t>
            </w:r>
          </w:p>
        </w:tc>
      </w:tr>
      <w:tr w:rsidR="00FD72BD" w:rsidRPr="00FD72BD" w14:paraId="5F6CC9F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341A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AE12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12D5B6B1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D147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7369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Requisitos del producto del enunciado (“File Sync”); objetivo específico del acta de constitución.</w:t>
            </w:r>
          </w:p>
        </w:tc>
      </w:tr>
      <w:tr w:rsidR="00FD72BD" w:rsidRPr="00FD72BD" w14:paraId="5072FDD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E5F7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251A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archivo creado, modificado o eliminado en el directorio local del cliente se refleja en el repositorio central, en el horario programado o al conectarse a la red interna, sin intervención manual del usuario; el cambio llega también a las demás copias del recurso.</w:t>
            </w:r>
          </w:p>
        </w:tc>
      </w:tr>
      <w:tr w:rsidR="00FD72BD" w:rsidRPr="00FD72BD" w14:paraId="4540479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1AF5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1B02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</w:tbl>
    <w:p w14:paraId="4E079A96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14C25CD0" w14:textId="120D49DD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9" w:name="_Toc239252866"/>
      <w:bookmarkStart w:id="10" w:name="_Toc239253603"/>
      <w:r>
        <w:rPr>
          <w:rFonts w:eastAsia="Calibri" w:cs="Times New Roman"/>
          <w:bCs/>
          <w:color w:val="auto"/>
        </w:rPr>
        <w:t xml:space="preserve">RF-04 Sincronización automática de archivos desde el cliente móvil</w:t>
      </w:r>
      <w:bookmarkEnd w:id="9"/>
      <w:bookmarkEnd w:id="1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5668002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F55C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99DC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RF-04</w:t>
            </w:r>
          </w:p>
        </w:tc>
      </w:tr>
      <w:tr w:rsidR="00FD72BD" w:rsidRPr="00FD72BD" w14:paraId="7FFDDEF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B2FB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32F6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Sincronización automática de archivos desde el cliente móvil</w:t>
            </w:r>
          </w:p>
        </w:tc>
      </w:tr>
      <w:tr w:rsidR="00FD72BD" w:rsidRPr="00FD72BD" w14:paraId="2638859B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FF9E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21DA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El sistema debe sincronizar un directorio del dispositivo móvil (Android o iOS) con el repositorio central en cuanto el dispositivo alcance una conexión Wi-Fi a la red local donde se encuentra el servidor, sin requerir que el usuario inicie la sincronización manualmente. Los datos sincronizados se guardan en el mismo Home donde están los archivos, fotos y videos del usuario.</w:t>
            </w:r>
          </w:p>
        </w:tc>
      </w:tr>
      <w:tr w:rsidR="00FD72BD" w:rsidRPr="00FD72BD" w14:paraId="0E16CF7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A616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lastRenderedPageBreak/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791F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63E0B62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237A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D4A8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Requisitos del producto del enunciado (“File Sync”, caso del dispositivo móvil).</w:t>
            </w:r>
          </w:p>
        </w:tc>
      </w:tr>
      <w:tr w:rsidR="00FD72BD" w:rsidRPr="00FD72BD" w14:paraId="7D29EED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87D8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3DCC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Al conectarse el dispositivo móvil a la red interna por Wi-Fi, la sincronización se ejecuta automáticamente sin acción del usuario.</w:t>
            </w:r>
          </w:p>
        </w:tc>
      </w:tr>
      <w:tr w:rsidR="00FD72BD" w:rsidRPr="00FD72BD" w14:paraId="2AC71EB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BEC6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8AD2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RF-03</w:t>
            </w:r>
          </w:p>
        </w:tc>
      </w:tr>
    </w:tbl>
    <w:p w14:paraId="33F2F846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0B2B7770" w14:textId="379DA685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11" w:name="_Toc239252867"/>
      <w:bookmarkStart w:id="12" w:name="_Toc239253604"/>
      <w:r>
        <w:rPr>
          <w:rFonts w:eastAsia="Calibri" w:cs="Times New Roman"/>
          <w:bCs/>
          <w:color w:val="auto"/>
        </w:rPr>
        <w:t xml:space="preserve">RF-05 Cuota de almacenamiento parametrizada por usuario</w:t>
      </w:r>
      <w:bookmarkEnd w:id="11"/>
      <w:bookmarkEnd w:id="12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5651760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1CDA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AF12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RF-05</w:t>
            </w:r>
          </w:p>
        </w:tc>
      </w:tr>
      <w:tr w:rsidR="00FD72BD" w:rsidRPr="00FD72BD" w14:paraId="2E6E30B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A9C5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C008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Cuota de almacenamiento parametrizada por usuario</w:t>
            </w:r>
          </w:p>
        </w:tc>
      </w:tr>
      <w:tr w:rsidR="00FD72BD" w:rsidRPr="00FD72BD" w14:paraId="1217F41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F89E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9A62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asignar a cada usuario un espacio Home parametrizado en el sistema, con una cuota máxima que no puede ser superada por los archivos sincronizados o cargados. El Home es el mismo espacio donde se guardan los directorios sincronizados de copia de seguridad y los archivos cargados por formulario.</w:t>
            </w:r>
          </w:p>
        </w:tc>
      </w:tr>
      <w:tr w:rsidR="00FD72BD" w:rsidRPr="00FD72BD" w14:paraId="7DE6FB6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C12F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043D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17534FE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75AA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DE0B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Requisitos del producto del enunciado (“Shared File”, espacio Home parametrizado).</w:t>
            </w:r>
          </w:p>
        </w:tc>
      </w:tr>
      <w:tr w:rsidR="00FD72BD" w:rsidRPr="00FD72BD" w14:paraId="71E9860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C64C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3BBD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rechaza o advierte una carga de archivos que supere la cuota configurada para el usuario.</w:t>
            </w:r>
          </w:p>
        </w:tc>
      </w:tr>
      <w:tr w:rsidR="00FD72BD" w:rsidRPr="00FD72BD" w14:paraId="5F16438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8E9A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9985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</w:tbl>
    <w:p w14:paraId="742990E5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79A88EE2" w14:textId="3C5FA9F0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13" w:name="_Toc239252868"/>
      <w:bookmarkStart w:id="14" w:name="_Toc239253605"/>
      <w:r>
        <w:rPr>
          <w:rFonts w:eastAsia="Calibri" w:cs="Times New Roman"/>
          <w:bCs/>
          <w:color w:val="auto"/>
        </w:rPr>
        <w:t xml:space="preserve">RF-06 Compartición de archivos con permisos tipo Unix</w:t>
      </w:r>
      <w:bookmarkEnd w:id="13"/>
      <w:bookmarkEnd w:id="1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082FC85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E714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DAB4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RF-06</w:t>
            </w:r>
          </w:p>
        </w:tc>
      </w:tr>
      <w:tr w:rsidR="00FD72BD" w:rsidRPr="00FD72BD" w14:paraId="2B814C5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652E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74DD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Compartición de archivos con permisos tipo Unix</w:t>
            </w:r>
          </w:p>
        </w:tc>
      </w:tr>
      <w:tr w:rsidR="00FD72BD" w:rsidRPr="00FD72BD" w14:paraId="5F5D7E7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A009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5850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proveer una interfaz para cargar archivos por formulario al Home del usuario y permitir compartir los archivos y directorios cargados o sincronizados con otros usuarios (o grupos) del sistema, respetando el código Unix de permisos de archivos y directorios (propietario, grupo y otros; lectura, escritura y ejecución).</w:t>
            </w:r>
          </w:p>
        </w:tc>
      </w:tr>
      <w:tr w:rsidR="00FD72BD" w:rsidRPr="00FD72BD" w14:paraId="7DEF30F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A618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CED1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5AC3636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554E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638F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Requisitos del producto del enunciado (“Shared File”); documento de arquitectura (shared-file-svc en node-repository; permisos Unix aplicados por Distributed Storage).</w:t>
            </w:r>
          </w:p>
        </w:tc>
      </w:tr>
      <w:tr w:rsidR="00FD72BD" w:rsidRPr="00FD72BD" w14:paraId="42078EB1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8FE7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7273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usuario puede compartir un archivo con otro usuario del sistema y este último accede a él únicamente si sus permisos Unix lo autorizan.</w:t>
            </w:r>
          </w:p>
        </w:tc>
      </w:tr>
      <w:tr w:rsidR="00FD72BD" w:rsidRPr="00FD72BD" w14:paraId="7545DC2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9FAF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C8C7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RF-01, RF-05</w:t>
            </w:r>
          </w:p>
        </w:tc>
      </w:tr>
    </w:tbl>
    <w:p w14:paraId="141B3749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732495B4" w14:textId="557D4112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15" w:name="_Toc239252869"/>
      <w:bookmarkStart w:id="16" w:name="_Toc239253606"/>
      <w:r>
        <w:rPr>
          <w:rFonts w:eastAsia="Calibri" w:cs="Times New Roman"/>
          <w:bCs/>
          <w:color w:val="auto"/>
        </w:rPr>
        <w:lastRenderedPageBreak/>
        <w:t xml:space="preserve">RF-07 Gestión y presentación del álbum de fotografías</w:t>
      </w:r>
      <w:bookmarkEnd w:id="15"/>
      <w:bookmarkEnd w:id="1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957752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FFE5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D5BC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RF-07</w:t>
            </w:r>
          </w:p>
        </w:tc>
      </w:tr>
      <w:tr w:rsidR="00FD72BD" w:rsidRPr="00FD72BD" w14:paraId="45D22E8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7380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E62D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Gestión y presentación del álbum de fotografías</w:t>
            </w:r>
          </w:p>
        </w:tc>
      </w:tr>
      <w:tr w:rsidR="00FD72BD" w:rsidRPr="00FD72BD" w14:paraId="491133E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F4D1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CCAE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El sistema debe ofrecer un servicio de álbum de fotografías (Photo Album) que funcione sobre la web y permita explorar en el Home las imágenes del usuario y las compartidas con él, buscarlas, clasificarlas y ordenarlas, organizarlas en álbumes y presentarlas a los usuarios autorizados del sistema. Las imágenes deben poder compartirse tanto interna (con otros usuarios del sistema) como externamente.</w:t>
            </w:r>
          </w:p>
        </w:tc>
      </w:tr>
      <w:tr w:rsidR="00FD72BD" w:rsidRPr="00FD72BD" w14:paraId="0023F05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0BD9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55AA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1BB2F477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734F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6E0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Requisitos del producto del enunciado (“Photo Album”).</w:t>
            </w:r>
          </w:p>
        </w:tc>
      </w:tr>
      <w:tr w:rsidR="00FD72BD" w:rsidRPr="00FD72BD" w14:paraId="39E42F7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949D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31B1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usuario autorizado puede, desde el navegador, explorar, buscar, ordenar y presentar las imágenes de su Home o compartidas con él, y compartir una imagen con otro usuario del sistema o con una persona externa.</w:t>
            </w:r>
          </w:p>
        </w:tc>
      </w:tr>
      <w:tr w:rsidR="00FD72BD" w:rsidRPr="00FD72BD" w14:paraId="03B5C2F7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D622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BA3B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RF-02, RF-06</w:t>
            </w:r>
          </w:p>
        </w:tc>
      </w:tr>
    </w:tbl>
    <w:p w14:paraId="6F052969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34129D60" w14:textId="595677F2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17" w:name="_Toc239252870"/>
      <w:bookmarkStart w:id="18" w:name="_Toc239253607"/>
      <w:r>
        <w:rPr>
          <w:rFonts w:eastAsia="Calibri" w:cs="Times New Roman"/>
          <w:bCs/>
          <w:color w:val="auto"/>
        </w:rPr>
        <w:t xml:space="preserve">RF-08 Transmisión de video con control de acceso</w:t>
      </w:r>
      <w:bookmarkEnd w:id="17"/>
      <w:bookmarkEnd w:id="1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3EB3236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4C0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CC44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RF-08</w:t>
            </w:r>
          </w:p>
        </w:tc>
      </w:tr>
      <w:tr w:rsidR="00FD72BD" w:rsidRPr="00FD72BD" w14:paraId="397AD7A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0E13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851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Transmisión de video con control de acceso</w:t>
            </w:r>
          </w:p>
        </w:tc>
      </w:tr>
      <w:tr w:rsidR="00FD72BD" w:rsidRPr="00FD72BD" w14:paraId="351BBBB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F73F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085D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ofrecer un servicio de streaming, similar al de imágenes, que permita explorar y ordenar los videos almacenados en el Home y difundirlos (streaming) con reproducción fluida a los usuarios autorizados, con control de acceso y gestión de permisos, de modo que los científicos puedan compartir videos para presentaciones empresariales.</w:t>
            </w:r>
          </w:p>
        </w:tc>
      </w:tr>
      <w:tr w:rsidR="00FD72BD" w:rsidRPr="00FD72BD" w14:paraId="6EB87A9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DF65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00F5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16ABC8E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4608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7FB2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(“Streaming”).</w:t>
            </w:r>
          </w:p>
        </w:tc>
      </w:tr>
      <w:tr w:rsidR="00FD72BD" w:rsidRPr="00FD72BD" w14:paraId="101DA7F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76B4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BA4C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video se reproduce de forma fluida, con avance y retroceso, solo para los usuarios autorizados; un usuario no autorizado recibe un rechazo explícito de acceso, y el catálogo de videos se puede ordenar.</w:t>
            </w:r>
          </w:p>
        </w:tc>
      </w:tr>
      <w:tr w:rsidR="00FD72BD" w:rsidRPr="00FD72BD" w14:paraId="500A454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236C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C4E0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</w:tbl>
    <w:p w14:paraId="35115DE2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764B88CE" w14:textId="0E9FA127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19" w:name="_Toc239252871"/>
      <w:bookmarkStart w:id="20" w:name="_Toc239253608"/>
      <w:r>
        <w:rPr>
          <w:rFonts w:eastAsia="Calibri" w:cs="Times New Roman"/>
          <w:bCs/>
          <w:color w:val="auto"/>
        </w:rPr>
        <w:t xml:space="preserve">RF-09 Envío y ejecución de trabajos paralelos en el clúster HPC</w:t>
      </w:r>
      <w:bookmarkEnd w:id="19"/>
      <w:bookmarkEnd w:id="2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0F55CD7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C41A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F25B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RF-09</w:t>
            </w:r>
          </w:p>
        </w:tc>
      </w:tr>
      <w:tr w:rsidR="00FD72BD" w:rsidRPr="00FD72BD" w14:paraId="1D4F175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84A1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F117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Envío y ejecución de trabajos paralelos en el clúster HPC</w:t>
            </w:r>
          </w:p>
        </w:tc>
      </w:tr>
      <w:tr w:rsidR="00FD72BD" w:rsidRPr="00FD72BD" w14:paraId="2DDCED4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0500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A34E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El sistema debe recibir el código fuente y los conjuntos de datos que envía un usuario autorizado y procesarlos en paralelo mediante MPI sobre el clúster HPC de la infraestructura en malla (Grid), de manera adecuada y escalable, a través del gestor del clúster en Java RMI (node-rmi) hacia hpc-master.</w:t>
            </w:r>
          </w:p>
        </w:tc>
      </w:tr>
      <w:tr w:rsidR="00FD72BD" w:rsidRPr="00FD72BD" w14:paraId="20F9002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7380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C19D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24194A2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80CA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lastRenderedPageBreak/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AEBE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Situación problemática y requerimientos del enunciado (procesamiento de código en paralelo mediante MPI); documento de arquitectura (gestor-cluster.jar, job-api.jar, job-runner.jar, hpc-master, hpc-worker); Figura 1 (“RMI Server Java Cluster”).</w:t>
            </w:r>
          </w:p>
        </w:tc>
      </w:tr>
      <w:tr w:rsidR="00FD72BD" w:rsidRPr="00FD72BD" w14:paraId="51AFDFB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E5B0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844A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trabajo enviado por un usuario autorizado se distribuye entre los nodos de trabajo del clúster y produce un resultado almacenado en el repositorio.</w:t>
            </w:r>
          </w:p>
        </w:tc>
      </w:tr>
      <w:tr w:rsidR="00FD72BD" w:rsidRPr="00FD72BD" w14:paraId="435A725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5554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565A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</w:tbl>
    <w:p w14:paraId="7FE255CA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90217D3" w14:textId="274041E6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21" w:name="_Toc239252872"/>
      <w:bookmarkStart w:id="22" w:name="_Toc239253609"/>
      <w:r>
        <w:rPr>
          <w:rFonts w:eastAsia="Calibri" w:cs="Times New Roman"/>
          <w:bCs/>
          <w:color w:val="auto"/>
        </w:rPr>
        <w:t xml:space="preserve">RF-10 Consulta del estado de ejecución de un trabajo HPC</w:t>
      </w:r>
      <w:bookmarkEnd w:id="21"/>
      <w:bookmarkEnd w:id="22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79D2485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8D3C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1D9E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RF-10</w:t>
            </w:r>
          </w:p>
        </w:tc>
      </w:tr>
      <w:tr w:rsidR="00FD72BD" w:rsidRPr="00FD72BD" w14:paraId="486E9E0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F0DF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6E7F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Consulta del estado de ejecución de un trabajo HPC</w:t>
            </w:r>
          </w:p>
        </w:tc>
      </w:tr>
      <w:tr w:rsidR="00FD72BD" w:rsidRPr="00FD72BD" w14:paraId="61A2C82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1CA4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9440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El sistema debe permitir al usuario consultar en cualquier momento, a través del gestor del clúster (RMI, expuesto por job-api), el estado de ejecución de un trabajo enviado al clúster (en cola, en ejecución, completado, fallido o cancelado), sus registros de ejecución y la ubicación de su resultado en el Home.</w:t>
            </w:r>
          </w:p>
        </w:tc>
      </w:tr>
      <w:tr w:rsidR="00FD72BD" w:rsidRPr="00FD72BD" w14:paraId="2D91207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49E3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7547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221ACD51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6718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D55A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Documento de arquitectura, ruta de comunicación node-rmi → hpc-master; Contrato_HPC (ConsultarEstadoTrabajo, ObtenerResultado, ObtenerLogsTrabajo).</w:t>
            </w:r>
          </w:p>
        </w:tc>
      </w:tr>
      <w:tr w:rsidR="00FD72BD" w:rsidRPr="00FD72BD" w14:paraId="498A8E7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36F5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46C46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usuario puede consultar en cualquier momento el estado actual de un trabajo enviado, sin necesidad de reenviarlo.</w:t>
            </w:r>
          </w:p>
        </w:tc>
      </w:tr>
      <w:tr w:rsidR="00FD72BD" w:rsidRPr="00FD72BD" w14:paraId="53BAF6F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8980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CA60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RF-09</w:t>
            </w:r>
          </w:p>
        </w:tc>
      </w:tr>
    </w:tbl>
    <w:p w14:paraId="46A1756A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3B223DDF" w14:textId="3D923A9A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23" w:name="_Toc239252873"/>
      <w:bookmarkStart w:id="24" w:name="_Toc239253610"/>
      <w:r>
        <w:rPr>
          <w:rFonts w:eastAsia="Calibri" w:cs="Times New Roman"/>
          <w:bCs/>
          <w:color w:val="auto"/>
        </w:rPr>
        <w:t xml:space="preserve">RF-11 Cifrado asimétrico de las copias de seguridad</w:t>
      </w:r>
      <w:bookmarkEnd w:id="23"/>
      <w:bookmarkEnd w:id="2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13727C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C701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551F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RF-11</w:t>
            </w:r>
          </w:p>
        </w:tc>
      </w:tr>
      <w:tr w:rsidR="00FD72BD" w:rsidRPr="00FD72BD" w14:paraId="6CD1970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D16F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5F0B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Cifrado asimétrico de las copias de seguridad</w:t>
            </w:r>
          </w:p>
        </w:tc>
      </w:tr>
      <w:tr w:rsidR="00FD72BD" w:rsidRPr="00FD72BD" w14:paraId="53DB985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B672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1BA0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cifrar con GPG, usando un esquema de llave pública y privada, las copias de seguridad de los archivos almacenados en el repositorio central.</w:t>
            </w:r>
          </w:p>
        </w:tc>
      </w:tr>
      <w:tr w:rsidR="00FD72BD" w:rsidRPr="00FD72BD" w14:paraId="7ADC20B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FC84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305A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2968BB2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113C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FC15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(“Seguridad informática aplicada a la solución”); documento de arquitectura, decisión D6.</w:t>
            </w:r>
          </w:p>
        </w:tc>
      </w:tr>
      <w:tr w:rsidR="00FD72BD" w:rsidRPr="00FD72BD" w14:paraId="5558560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FFED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334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Una copia de seguridad generada por el sistema no puede leerse sin la llave privada, la cual se custodia fuera del servidor de datos.</w:t>
            </w:r>
          </w:p>
        </w:tc>
      </w:tr>
      <w:tr w:rsidR="00FD72BD" w:rsidRPr="00FD72BD" w14:paraId="5FC3543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9F9E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5E4B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RF-06</w:t>
            </w:r>
          </w:p>
        </w:tc>
      </w:tr>
    </w:tbl>
    <w:p w14:paraId="63826366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1C2C3159" w14:textId="5F5AEFF0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25" w:name="_Toc239252874"/>
      <w:bookmarkStart w:id="26" w:name="_Toc239253611"/>
      <w:r>
        <w:rPr>
          <w:rFonts w:eastAsia="Calibri" w:cs="Times New Roman"/>
          <w:bCs/>
          <w:color w:val="auto"/>
        </w:rPr>
        <w:lastRenderedPageBreak/>
        <w:t xml:space="preserve">RF-12 Autenticación multifactor o basada en token para los clientes</w:t>
      </w:r>
      <w:bookmarkEnd w:id="25"/>
      <w:bookmarkEnd w:id="2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7351B48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F6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6A7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RF-12</w:t>
            </w:r>
          </w:p>
        </w:tc>
      </w:tr>
      <w:tr w:rsidR="00FD72BD" w:rsidRPr="00FD72BD" w14:paraId="2D838FF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7E82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1E7B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Autenticación multifactor o basada en token para los clientes</w:t>
            </w:r>
          </w:p>
        </w:tc>
      </w:tr>
      <w:tr w:rsidR="00FD72BD" w:rsidRPr="00FD72BD" w14:paraId="7C5AF24B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6652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23C2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autenticar a los clientes (web, escritorio y móvil) mediante controles basados en token o múltiple factor, en lugar de solo usuario y contraseña.</w:t>
            </w:r>
          </w:p>
        </w:tc>
      </w:tr>
      <w:tr w:rsidR="00FD72BD" w:rsidRPr="00FD72BD" w14:paraId="68B53C1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E1BA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8ECE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212394E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E7CC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6541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(“Seguridad informática aplicada a la solución”).</w:t>
            </w:r>
          </w:p>
        </w:tc>
      </w:tr>
      <w:tr w:rsidR="00FD72BD" w:rsidRPr="00FD72BD" w14:paraId="795C076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4000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25A3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Tras validar las credenciales, el cliente recibe un token firmado con vigencia limitada (o se le exige un segundo factor), y todas las peticiones posteriores a los servicios se autorizan con ese token; una petición sin token válido es rechazada.</w:t>
            </w:r>
          </w:p>
        </w:tc>
      </w:tr>
      <w:tr w:rsidR="00FD72BD" w:rsidRPr="00FD72BD" w14:paraId="31C3C36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524A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C0EE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</w:t>
            </w:r>
          </w:p>
        </w:tc>
      </w:tr>
    </w:tbl>
    <w:p w14:paraId="3E2B1A75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16A2D984" w14:textId="11AD5869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27" w:name="_Toc239252875"/>
      <w:bookmarkStart w:id="28" w:name="_Toc239253612"/>
      <w:r>
        <w:rPr>
          <w:rFonts w:eastAsia="Calibri" w:cs="Times New Roman"/>
          <w:bCs/>
          <w:color w:val="auto"/>
        </w:rPr>
        <w:t xml:space="preserve">RF-13 Monitoreo en tiempo real de la infraestructura</w:t>
      </w:r>
      <w:bookmarkEnd w:id="27"/>
      <w:bookmarkEnd w:id="2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0559BF51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F5CB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4C86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RF-13</w:t>
            </w:r>
          </w:p>
        </w:tc>
      </w:tr>
      <w:tr w:rsidR="00FD72BD" w:rsidRPr="00FD72BD" w14:paraId="6BC98DC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D2A8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46F2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Monitoreo en tiempo real de la infraestructura</w:t>
            </w:r>
          </w:p>
        </w:tc>
      </w:tr>
      <w:tr w:rsidR="00FD72BD" w:rsidRPr="00FD72BD" w14:paraId="38B4868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FE36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2D7F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incluir un módulo de monitoreo integral, accesible vía web, que permita hacer seguimiento al servicio de HPC y a los demás componentes de la infraestructura con estadísticas de uso en tiempo real: ocupación de recursos (CPU, memoria, almacenamiento), carga de trabajos, tiempos de ejecución y disponibilidad de los servicios.</w:t>
            </w:r>
          </w:p>
        </w:tc>
      </w:tr>
      <w:tr w:rsidR="00FD72BD" w:rsidRPr="00FD72BD" w14:paraId="2E1ED6B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AF5A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E585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69E69C9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F439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15C1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(“Monitoreo del Sistema”); documento de arquitectura (node-monitoreo, Prometheus/Grafana).</w:t>
            </w:r>
          </w:p>
        </w:tc>
      </w:tr>
      <w:tr w:rsidR="00FD72BD" w:rsidRPr="00FD72BD" w14:paraId="015F03D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3578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0BE3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panel de monitoreo muestra métricas actualizadas de CPU, memoria, almacenamiento y disponibilidad de cada nodo y servicio de la infraestructura, y la carga y los tiempos de ejecución de los trabajos HPC.</w:t>
            </w:r>
          </w:p>
        </w:tc>
      </w:tr>
      <w:tr w:rsidR="00FD72BD" w:rsidRPr="00FD72BD" w14:paraId="5D8FBAB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385E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5DD1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Ninguna</w:t>
            </w:r>
          </w:p>
        </w:tc>
      </w:tr>
    </w:tbl>
    <w:p w14:paraId="6DFA201B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FAEA173" w14:textId="618E248D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29" w:name="_Toc239252876"/>
      <w:bookmarkStart w:id="30" w:name="_Toc239253613"/>
      <w:r>
        <w:rPr>
          <w:rFonts w:eastAsia="Calibri" w:cs="Times New Roman"/>
          <w:bCs/>
          <w:color w:val="auto"/>
        </w:rPr>
        <w:t xml:space="preserve">RF-14 Alertas configurables sobre el estado de la infraestructura</w:t>
      </w:r>
      <w:bookmarkEnd w:id="29"/>
      <w:bookmarkEnd w:id="3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30F696D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4732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23F6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RF-14</w:t>
            </w:r>
          </w:p>
        </w:tc>
      </w:tr>
      <w:tr w:rsidR="00FD72BD" w:rsidRPr="00FD72BD" w14:paraId="4791F4A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5F38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C3CB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Alertas configurables sobre el estado de la infraestructura</w:t>
            </w:r>
          </w:p>
        </w:tc>
      </w:tr>
      <w:tr w:rsidR="00FD72BD" w:rsidRPr="00FD72BD" w14:paraId="31E196E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358A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DAC8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permitir configurar alertas sobre el estado de la infraestructura, notificando condiciones anómalas de uso de recursos o caída de servicios.</w:t>
            </w:r>
          </w:p>
        </w:tc>
      </w:tr>
      <w:tr w:rsidR="00FD72BD" w:rsidRPr="00FD72BD" w14:paraId="507A351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71B8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lastRenderedPageBreak/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7A3F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2C57AA87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37E9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C020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(“Monitoreo del Sistema”, “alertas configurables”).</w:t>
            </w:r>
          </w:p>
        </w:tc>
      </w:tr>
      <w:tr w:rsidR="00FD72BD" w:rsidRPr="00FD72BD" w14:paraId="6CC9BDB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5D5E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C0F7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 superarse un umbral configurado (por ejemplo, uso de CPU o caída de un servicio), el sistema genera una alerta visible en el panel de monitoreo.</w:t>
            </w:r>
          </w:p>
        </w:tc>
      </w:tr>
      <w:tr w:rsidR="00FD72BD" w:rsidRPr="00FD72BD" w14:paraId="0D6F565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0EB6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2BB7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RF-13</w:t>
            </w:r>
          </w:p>
        </w:tc>
      </w:tr>
    </w:tbl>
    <w:p w14:paraId="034F4C5A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52D04FB" w14:textId="331AA22F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53" w:name="_Toc239252888"/>
      <w:bookmarkStart w:id="54" w:name="_Toc239253625"/>
      <w:r>
        <w:rPr>
          <w:rFonts w:eastAsia="Calibri" w:cs="Times New Roman"/>
          <w:bCs/>
          <w:color w:val="auto"/>
        </w:rPr>
        <w:lastRenderedPageBreak/>
        <w:t xml:space="preserve">RF-24 Integración de equipos externos e IoT a la infraestructura Grid</w:t>
      </w:r>
      <w:bookmarkEnd w:id="53"/>
      <w:bookmarkEnd w:id="5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337DC4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4D81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1D79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RF-24</w:t>
            </w:r>
          </w:p>
        </w:tc>
      </w:tr>
      <w:tr w:rsidR="00FD72BD" w:rsidRPr="00FD72BD" w14:paraId="4225D23B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93F6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2C03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Integración de equipos externos e IoT a la infraestructura Grid</w:t>
            </w:r>
          </w:p>
        </w:tc>
      </w:tr>
      <w:tr w:rsidR="00FD72BD" w:rsidRPr="00FD72BD" w14:paraId="31D6885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EF4C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0695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El sistema debe soportarse en una infraestructura de cómputo en malla (Grid) que permita integrar a su clúster diversos dispositivos (computadoras, dispositivos móviles y elementos de Internet de las Cosas, entre otros), tanto desde su centro de cómputo como de forma externa, optimizando al máximo los recursos disponibles.</w:t>
            </w:r>
          </w:p>
        </w:tc>
      </w:tr>
      <w:tr w:rsidR="00FD72BD" w:rsidRPr="00FD72BD" w14:paraId="51C53FF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925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F6BB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5F2DC30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324A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19FD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Situación problemática del enunciado (“infraestructura de cómputo en malla (Grid)”). Reemplaza la decisión D7 del documento de arquitectura, que la dejaba fuera del alcance.</w:t>
            </w:r>
          </w:p>
        </w:tc>
      </w:tr>
      <w:tr w:rsidR="00FD72BD" w:rsidRPr="00FD72BD" w14:paraId="47A6940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0187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8D0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equipo externo con OpenMPI y acceso al almacenamiento compartido se registra como nodo de la malla sin cambios estructurales en el servicio, y el planificador le asigna procesos de los trabajos HPC.</w:t>
            </w:r>
          </w:p>
        </w:tc>
      </w:tr>
      <w:tr w:rsidR="00FD72BD" w:rsidRPr="00FD72BD" w14:paraId="4C44AF5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934D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2E3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RF-09</w:t>
            </w:r>
          </w:p>
        </w:tc>
      </w:tr>
    </w:tbl>
    <w:p>
      <w:pPr>
        <w:spacing w:after="200" w:line="240" w:lineRule="auto"/>
        <w:ind w:firstLine="0"/>
      </w:pPr>
    </w:p>
    <w:p w14:paraId="252D04FB" w14:textId="331AA22F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55" w:name="_Toc900050"/>
      <w:bookmarkStart w:id="56" w:name="_Toc900051"/>
      <w:r>
        <w:rPr>
          <w:rFonts w:eastAsia="Calibri" w:cs="Times New Roman"/>
          <w:bCs/>
          <w:color w:val="auto"/>
        </w:rPr>
        <w:lastRenderedPageBreak/>
        <w:t xml:space="preserve">RF-25 Repositorio distribuido de archivos, fotos y videos</w:t>
      </w:r>
      <w:bookmarkEnd w:id="55"/>
      <w:bookmarkEnd w:id="5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337DC4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4D81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1D79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RF-25</w:t>
            </w:r>
          </w:p>
        </w:tc>
      </w:tr>
      <w:tr w:rsidR="00FD72BD" w:rsidRPr="00FD72BD" w14:paraId="4225D23B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93F6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2C03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Repositorio distribuido de archivos, fotos y videos</w:t>
            </w:r>
          </w:p>
        </w:tc>
      </w:tr>
      <w:tr w:rsidR="00FD72BD" w:rsidRPr="00FD72BD" w14:paraId="31D6885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EF4C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0695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El sistema debe proporcionar un repositorio distribuido (Distributed Storage) para almacenar los archivos, fotos y videos de los proyectos. Es el mismo repositorio donde se guardan los datos sincronizados y donde los servicios de compartición, álbum, streaming y HPC leen y escriben.</w:t>
            </w:r>
          </w:p>
        </w:tc>
      </w:tr>
      <w:tr w:rsidR="00FD72BD" w:rsidRPr="00FD72BD" w14:paraId="51C53FF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925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F6BB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5F2DC30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324A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19FD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Situación problemática del enunciado (“Servicio para el almacenamiento distribuido de archivos, fotos y videos”); Figura 1 (“Repository”).</w:t>
            </w:r>
          </w:p>
        </w:tc>
      </w:tr>
      <w:tr w:rsidR="00FD72BD" w:rsidRPr="00FD72BD" w14:paraId="47A6940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0187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8D0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archivo, foto o video cargado por formulario o sincronizado queda en el Home del usuario y es visible desde el portal web, desde los clientes nativos y desde los servicios de álbum y streaming.</w:t>
            </w:r>
          </w:p>
        </w:tc>
      </w:tr>
      <w:tr w:rsidR="00FD72BD" w:rsidRPr="00FD72BD" w14:paraId="4C44AF5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934D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2E3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RF-01, RF-05</w:t>
            </w:r>
          </w:p>
        </w:tc>
      </w:tr>
    </w:tbl>
    <w:p>
      <w:pPr>
        <w:spacing w:after="200" w:line="240" w:lineRule="auto"/>
        <w:ind w:firstLine="0"/>
      </w:pPr>
    </w:p>
    <w:p w14:paraId="252D04FB" w14:textId="331AA22F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57" w:name="_Toc900060"/>
      <w:bookmarkStart w:id="58" w:name="_Toc900061"/>
      <w:r>
        <w:rPr>
          <w:rFonts w:eastAsia="Calibri" w:cs="Times New Roman"/>
          <w:bCs/>
          <w:color w:val="auto"/>
        </w:rPr>
        <w:lastRenderedPageBreak/>
        <w:t xml:space="preserve">RF-26 Comunicación entre los componentes mediante APIs</w:t>
      </w:r>
      <w:bookmarkEnd w:id="57"/>
      <w:bookmarkEnd w:id="5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337DC4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4D81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1D79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RF-26</w:t>
            </w:r>
          </w:p>
        </w:tc>
      </w:tr>
      <w:tr w:rsidR="00FD72BD" w:rsidRPr="00FD72BD" w14:paraId="4225D23B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93F6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2C03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Comunicación entre los componentes mediante APIs</w:t>
            </w:r>
          </w:p>
        </w:tc>
      </w:tr>
      <w:tr w:rsidR="00FD72BD" w:rsidRPr="00FD72BD" w14:paraId="31D6885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EF4C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0695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Las partes del sistema deben comunicarse mediante APIs con contratos estables, como muestra la Figura 1 del enunciado: servidor SOAP en PHP para usuarios y autenticación, servidor web en JavaScript, servidor Java RMI para el clúster y servidor gRPC en Go para la sincronización, además de las APIs REST de los servicios de implementación.</w:t>
            </w:r>
          </w:p>
        </w:tc>
      </w:tr>
      <w:tr w:rsidR="00FD72BD" w:rsidRPr="00FD72BD" w14:paraId="51C53FF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925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F6BB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Alta</w:t>
            </w:r>
          </w:p>
        </w:tc>
      </w:tr>
      <w:tr w:rsidR="00FD72BD" w:rsidRPr="00FD72BD" w14:paraId="5F2DC30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324A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19FD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Requisitos del producto del enunciado (“API”); Figura 1 (Servicios UPB-CIENTÍFICA).</w:t>
            </w:r>
          </w:p>
        </w:tc>
      </w:tr>
      <w:tr w:rsidR="00FD72BD" w:rsidRPr="00FD72BD" w14:paraId="47A6940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0187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8D0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Cada servicio expone un contrato publicado (WSDL, .proto, interfaz RMI o REST) y ningún componente lee ni escribe directamente en la base de datos de otro.</w:t>
            </w:r>
          </w:p>
        </w:tc>
      </w:tr>
      <w:tr w:rsidR="00FD72BD" w:rsidRPr="00FD72BD" w14:paraId="4C44AF5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934D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2E3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Ninguna</w:t>
            </w:r>
          </w:p>
        </w:tc>
      </w:tr>
    </w:tbl>
    <w:p>
      <w:pPr>
        <w:spacing w:after="200" w:line="240" w:lineRule="auto"/>
        <w:ind w:firstLine="0"/>
      </w:pPr>
    </w:p>
    <w:p w14:paraId="1430D3E4" w14:textId="77777777" w:rsidR="00FD72BD" w:rsidRDefault="00FD72BD" w:rsidP="00FD72BD">
      <w:pPr>
        <w:pStyle w:val="Ttulo1"/>
        <w:spacing w:line="240" w:lineRule="auto"/>
        <w:rPr>
          <w:rFonts w:eastAsia="Calibri"/>
          <w:color w:val="auto"/>
          <w:szCs w:val="24"/>
        </w:rPr>
      </w:pPr>
      <w:bookmarkStart w:id="31" w:name="_Toc239252877"/>
      <w:bookmarkStart w:id="32" w:name="_Toc239253614"/>
      <w:r>
        <w:rPr>
          <w:rFonts w:eastAsia="Calibri"/>
          <w:color w:val="auto"/>
          <w:szCs w:val="24"/>
        </w:rPr>
        <w:t xml:space="preserve">Requerimientos de prioridad media (Should have) — 7 requerimientos</w:t>
      </w:r>
      <w:bookmarkEnd w:id="31"/>
      <w:bookmarkEnd w:id="32"/>
    </w:p>
    <w:p w14:paraId="526FF6C8" w14:textId="77777777" w:rsidR="001E628E" w:rsidRPr="001E628E" w:rsidRDefault="001E628E" w:rsidP="001E628E">
      <w:pPr>
        <w:rPr>
          <w:lang w:val="es-ES"/>
        </w:rPr>
      </w:pPr>
    </w:p>
    <w:p w14:paraId="303D9857" w14:textId="347B78F9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33" w:name="_Toc239252878"/>
      <w:bookmarkStart w:id="34" w:name="_Toc239253615"/>
      <w:r>
        <w:rPr>
          <w:rFonts w:eastAsia="Calibri" w:cs="Times New Roman"/>
          <w:bCs/>
          <w:color w:val="auto"/>
        </w:rPr>
        <w:t xml:space="preserve">RF-15 Históricos de métricas de monitoreo</w:t>
      </w:r>
      <w:bookmarkEnd w:id="33"/>
      <w:bookmarkEnd w:id="3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62F8560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A092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E55A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RF-15</w:t>
            </w:r>
          </w:p>
        </w:tc>
      </w:tr>
      <w:tr w:rsidR="00FD72BD" w:rsidRPr="00FD72BD" w14:paraId="38E3507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A635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24EB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Históricos de métricas de monitoreo</w:t>
            </w:r>
          </w:p>
        </w:tc>
      </w:tr>
      <w:tr w:rsidR="00FD72BD" w:rsidRPr="00FD72BD" w14:paraId="24F180A7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2109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2346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conservar un histórico de las métricas recolectadas por el módulo de monitoreo, permitiendo consultar el comportamiento de la infraestructura en periodos anteriores.</w:t>
            </w:r>
          </w:p>
        </w:tc>
      </w:tr>
      <w:tr w:rsidR="00FD72BD" w:rsidRPr="00FD72BD" w14:paraId="366D5F9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15EB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B300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74A77F9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82946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435F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(“reportes históricos”).</w:t>
            </w:r>
          </w:p>
        </w:tc>
      </w:tr>
      <w:tr w:rsidR="00FD72BD" w:rsidRPr="00FD72BD" w14:paraId="43424EB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7116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2BFBB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usuario puede consultar la evolución de una métrica de monitoreo en un rango de fechas anterior al momento actual.</w:t>
            </w:r>
          </w:p>
        </w:tc>
      </w:tr>
      <w:tr w:rsidR="00FD72BD" w:rsidRPr="00FD72BD" w14:paraId="483B09B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1830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CECF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RF-13</w:t>
            </w:r>
          </w:p>
        </w:tc>
      </w:tr>
    </w:tbl>
    <w:p w14:paraId="1BF04005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6AD4BC6E" w14:textId="42A23B53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35" w:name="_Toc239252879"/>
      <w:bookmarkStart w:id="36" w:name="_Toc239253616"/>
      <w:r>
        <w:rPr>
          <w:rFonts w:eastAsia="Calibri" w:cs="Times New Roman"/>
          <w:bCs/>
          <w:color w:val="auto"/>
        </w:rPr>
        <w:t xml:space="preserve">RF-16 Clientes nativos multiplataforma</w:t>
      </w:r>
      <w:bookmarkEnd w:id="35"/>
      <w:bookmarkEnd w:id="3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75968CE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DC62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7286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RF-16</w:t>
            </w:r>
          </w:p>
        </w:tc>
      </w:tr>
      <w:tr w:rsidR="00FD72BD" w:rsidRPr="00FD72BD" w14:paraId="01721D5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75ED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D521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Clientes nativos multiplataforma</w:t>
            </w:r>
          </w:p>
        </w:tc>
      </w:tr>
      <w:tr w:rsidR="00FD72BD" w:rsidRPr="00FD72BD" w14:paraId="20FD54B1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D1B5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E353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ofrecer clientes nativos para Windows, Linux y Android o iOS, que ofrezcan el mismo conjunto de servicios sobre un único estado compartido en el repositorio.</w:t>
            </w:r>
          </w:p>
        </w:tc>
      </w:tr>
      <w:tr w:rsidR="00FD72BD" w:rsidRPr="00FD72BD" w14:paraId="73475E3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6DF4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332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36EB7D4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7732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85D2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(“clientes nativos”); documento de arquitectura, sección “Los tres clientes ofrecen los mismos servicios”.</w:t>
            </w:r>
          </w:p>
        </w:tc>
      </w:tr>
      <w:tr w:rsidR="00FD72BD" w:rsidRPr="00FD72BD" w14:paraId="7C0D1D93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22F9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9689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archivo sincronizado o cargado desde un cliente nativo es visible desde los demás clientes y desde el portal web.</w:t>
            </w:r>
          </w:p>
        </w:tc>
      </w:tr>
      <w:tr w:rsidR="00FD72BD" w:rsidRPr="00FD72BD" w14:paraId="0F8FDC2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4894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lastRenderedPageBreak/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2A8B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RF-03, RF-04</w:t>
            </w:r>
          </w:p>
        </w:tc>
      </w:tr>
    </w:tbl>
    <w:p w14:paraId="1CFDDCA6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52069848" w14:textId="4FE87CCA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37" w:name="_Toc239252880"/>
      <w:bookmarkStart w:id="38" w:name="_Toc239253617"/>
      <w:r>
        <w:rPr>
          <w:rFonts w:eastAsia="Calibri" w:cs="Times New Roman"/>
          <w:bCs/>
          <w:color w:val="auto"/>
        </w:rPr>
        <w:t xml:space="preserve">RF-17 Interfaz web accesible desde cualquier navegador</w:t>
      </w:r>
      <w:bookmarkEnd w:id="37"/>
      <w:bookmarkEnd w:id="3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6C746CC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CE30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ECB2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RF-17</w:t>
            </w:r>
          </w:p>
        </w:tc>
      </w:tr>
      <w:tr w:rsidR="00FD72BD" w:rsidRPr="00FD72BD" w14:paraId="70B7350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F32A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697B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Interfaz web accesible desde cualquier navegador</w:t>
            </w:r>
          </w:p>
        </w:tc>
      </w:tr>
      <w:tr w:rsidR="00FD72BD" w:rsidRPr="00FD72BD" w14:paraId="4DC8376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A167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C099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ofrecer, además de los clientes nativos, una interfaz web que permita el uso de los servicios desde cualquier navegador, sin instalación adicional.</w:t>
            </w:r>
          </w:p>
        </w:tc>
      </w:tr>
      <w:tr w:rsidR="00FD72BD" w:rsidRPr="00FD72BD" w14:paraId="1954293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22C9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5128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433707A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F20D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ABDF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(“interfaz web”).</w:t>
            </w:r>
          </w:p>
        </w:tc>
      </w:tr>
      <w:tr w:rsidR="00FD72BD" w:rsidRPr="00FD72BD" w14:paraId="3455B9D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E21E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6B11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 usuario puede acceder a los servicios del sistema desde un navegador estándar sin instalar software adicional.</w:t>
            </w:r>
          </w:p>
        </w:tc>
      </w:tr>
      <w:tr w:rsidR="00FD72BD" w:rsidRPr="00FD72BD" w14:paraId="300016A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672A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A11F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RF-02</w:t>
            </w:r>
          </w:p>
        </w:tc>
      </w:tr>
    </w:tbl>
    <w:p w14:paraId="0E711FE5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4E13BE8" w14:textId="4774641A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39" w:name="_Toc239252881"/>
      <w:bookmarkStart w:id="40" w:name="_Toc239253618"/>
      <w:r>
        <w:rPr>
          <w:rFonts w:eastAsia="Calibri" w:cs="Times New Roman"/>
          <w:bCs/>
          <w:color w:val="auto"/>
        </w:rPr>
        <w:t xml:space="preserve">RF-18 Análisis de vulnerabilidades sobre el ambiente de producción</w:t>
      </w:r>
      <w:bookmarkEnd w:id="39"/>
      <w:bookmarkEnd w:id="4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1EB50A1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3F11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5204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RF-18</w:t>
            </w:r>
          </w:p>
        </w:tc>
      </w:tr>
      <w:tr w:rsidR="00FD72BD" w:rsidRPr="00FD72BD" w14:paraId="542B1FB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1896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FDA0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Análisis de vulnerabilidades sobre el ambiente de producción</w:t>
            </w:r>
          </w:p>
        </w:tc>
      </w:tr>
      <w:tr w:rsidR="00FD72BD" w:rsidRPr="00FD72BD" w14:paraId="5C787488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BC68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B30B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someterse a un análisis de vulnerabilidades sobre su ambiente de producción, ejecutado como evidencia independiente y no como un componente desplegado en la arquitectura.</w:t>
            </w:r>
          </w:p>
        </w:tc>
      </w:tr>
      <w:tr w:rsidR="00FD72BD" w:rsidRPr="00FD72BD" w14:paraId="40D3C92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B6B0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5114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13BB426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97FD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93EC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(“Seguridad informática aplicada a la solución”); documento de arquitectura, sección 6.</w:t>
            </w:r>
          </w:p>
        </w:tc>
      </w:tr>
      <w:tr w:rsidR="00FD72BD" w:rsidRPr="00FD72BD" w14:paraId="6B4B471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FFE0E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22A3D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Existe un reporte de análisis de vulnerabilidades ejecutado sobre el ambiente de producción del sistema.</w:t>
            </w:r>
          </w:p>
        </w:tc>
      </w:tr>
      <w:tr w:rsidR="00FD72BD" w:rsidRPr="00FD72BD" w14:paraId="31FA1EB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4256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B189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RF-02, RF-12</w:t>
            </w:r>
          </w:p>
        </w:tc>
      </w:tr>
    </w:tbl>
    <w:p w14:paraId="6379E4A4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56455951" w14:textId="0EBE0037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41" w:name="_Toc239252882"/>
      <w:bookmarkStart w:id="42" w:name="_Toc239253619"/>
      <w:r>
        <w:rPr>
          <w:rFonts w:eastAsia="Calibri" w:cs="Times New Roman"/>
          <w:bCs/>
          <w:color w:val="auto"/>
        </w:rPr>
        <w:t xml:space="preserve">RF-19 Reporte de niveles de riesgo del análisis de vulnerabilidades</w:t>
      </w:r>
      <w:bookmarkEnd w:id="41"/>
      <w:bookmarkEnd w:id="42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2BEC0B60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06E4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3DC03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RF-19</w:t>
            </w:r>
          </w:p>
        </w:tc>
      </w:tr>
      <w:tr w:rsidR="00FD72BD" w:rsidRPr="00FD72BD" w14:paraId="00A2454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D22C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B8F3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Reporte de niveles de riesgo del análisis de vulnerabilidades</w:t>
            </w:r>
          </w:p>
        </w:tc>
      </w:tr>
      <w:tr w:rsidR="00FD72BD" w:rsidRPr="00FD72BD" w14:paraId="2FAC554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8072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7985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documentar de forma clara los niveles de riesgo asumidos a partir del análisis de vulnerabilidades ejecutado sobre el ambiente de producción.</w:t>
            </w:r>
          </w:p>
        </w:tc>
      </w:tr>
      <w:tr w:rsidR="00FD72BD" w:rsidRPr="00FD72BD" w14:paraId="2312B15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0D24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lastRenderedPageBreak/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E96F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0DF44BD7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B192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0157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Requisitos del producto del enunciado (“deben ser claros los niveles de riesgo asumidos”).</w:t>
            </w:r>
          </w:p>
        </w:tc>
      </w:tr>
      <w:tr w:rsidR="00FD72BD" w:rsidRPr="00FD72BD" w14:paraId="0E225D8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E2B8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9C61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reporte de vulnerabilidades clasifica cada hallazgo según un nivel de riesgo explícito (crítico, alto, medio o bajo) e indica cuáles se corrigieron y cuáles se asumen.</w:t>
            </w:r>
          </w:p>
        </w:tc>
      </w:tr>
      <w:tr w:rsidR="00FD72BD" w:rsidRPr="00FD72BD" w14:paraId="788282E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A6B0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85F0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RF-18</w:t>
            </w:r>
          </w:p>
        </w:tc>
      </w:tr>
    </w:tbl>
    <w:p w14:paraId="41E5DA2C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9EFB19D" w14:textId="674EDFEE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43" w:name="_Toc239252883"/>
      <w:bookmarkStart w:id="44" w:name="_Toc239253620"/>
      <w:r>
        <w:rPr>
          <w:rFonts w:eastAsia="Calibri" w:cs="Times New Roman"/>
          <w:bCs/>
          <w:color w:val="auto"/>
        </w:rPr>
        <w:t xml:space="preserve">RF-20 Resolución de identidad de directorio en los nodos del clúster</w:t>
      </w:r>
      <w:bookmarkEnd w:id="43"/>
      <w:bookmarkEnd w:id="4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299AEC1B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8F87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8106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RF-20</w:t>
            </w:r>
          </w:p>
        </w:tc>
      </w:tr>
      <w:tr w:rsidR="00FD72BD" w:rsidRPr="00FD72BD" w14:paraId="342AE47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09EBA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61406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Resolución de identidad de directorio en los nodos del clúster</w:t>
            </w:r>
          </w:p>
        </w:tc>
      </w:tr>
      <w:tr w:rsidR="00FD72BD" w:rsidRPr="00FD72BD" w14:paraId="15C7525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BDBE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141D4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configurar los nodos del clúster HPC como clientes del directorio activo, de forma que los trabajos MPI se ejecuten con la identidad real del usuario y sus resultados queden en su Home con los permisos correctos.</w:t>
            </w:r>
          </w:p>
        </w:tc>
      </w:tr>
      <w:tr w:rsidR="00FD72BD" w:rsidRPr="00FD72BD" w14:paraId="60C37BB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E6B6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C5206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0601FEF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AC3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39AA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Plan de gestión de riesgos, riesgo R10; documento de arquitectura, punto abierto 4.</w:t>
            </w:r>
          </w:p>
        </w:tc>
      </w:tr>
      <w:tr w:rsidR="00FD72BD" w:rsidRPr="00FD72BD" w14:paraId="49739F1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F506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B5C6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resultado de un trabajo ejecutado en el clúster queda en el Home del usuario que lo envió, con el propietario correcto y no con una cuenta de servicio genérica.</w:t>
            </w:r>
          </w:p>
        </w:tc>
      </w:tr>
      <w:tr w:rsidR="00FD72BD" w:rsidRPr="00FD72BD" w14:paraId="1DEB654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C56B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72D8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RF-01, RF-09</w:t>
            </w:r>
          </w:p>
        </w:tc>
      </w:tr>
    </w:tbl>
    <w:p w14:paraId="6A99DDBD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BDC804A" w14:textId="6D77E63D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45" w:name="_Toc239252884"/>
      <w:bookmarkStart w:id="46" w:name="_Toc239253621"/>
      <w:r>
        <w:rPr>
          <w:rFonts w:eastAsia="Calibri" w:cs="Times New Roman"/>
          <w:bCs/>
          <w:color w:val="auto"/>
        </w:rPr>
        <w:t xml:space="preserve">RF-21 Sincronización de reloj entre nodos</w:t>
      </w:r>
      <w:bookmarkEnd w:id="45"/>
      <w:bookmarkEnd w:id="4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20B4A44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26E8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7DEA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RF-21</w:t>
            </w:r>
          </w:p>
        </w:tc>
      </w:tr>
      <w:tr w:rsidR="00FD72BD" w:rsidRPr="00FD72BD" w14:paraId="5AFE97F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FE15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45F0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Sincronización de reloj entre nodos</w:t>
            </w:r>
          </w:p>
        </w:tc>
      </w:tr>
      <w:tr w:rsidR="00FD72BD" w:rsidRPr="00FD72BD" w14:paraId="44F12287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995E8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8CCA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debe mantener sincronizado el reloj de las siete máquinas virtuales y de los nodos del clúster mediante un servicio NTP común, para evitar fallos de autenticación intermitentes por desfase de reloj.</w:t>
            </w:r>
          </w:p>
        </w:tc>
      </w:tr>
      <w:tr w:rsidR="00FD72BD" w:rsidRPr="00FD72BD" w14:paraId="710615D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65D6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AE3E8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Media</w:t>
            </w:r>
          </w:p>
        </w:tc>
      </w:tr>
      <w:tr w:rsidR="00FD72BD" w:rsidRPr="00FD72BD" w14:paraId="4953FF3C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1D6A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4281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Documento de arquitectura, punto abierto 5 (“Sincronización de reloj”).</w:t>
            </w:r>
          </w:p>
        </w:tc>
      </w:tr>
      <w:tr w:rsidR="00FD72BD" w:rsidRPr="00FD72BD" w14:paraId="227EC9D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36FB3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0E3C6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La diferencia de hora entre cualquier par de nodos de la infraestructura se mantiene dentro de un margen que no provoca fallos de autenticación por expiración de tokens.</w:t>
            </w:r>
          </w:p>
        </w:tc>
      </w:tr>
      <w:tr w:rsidR="00FD72BD" w:rsidRPr="00FD72BD" w14:paraId="07CC09A5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13B2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82EE6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Ninguna</w:t>
            </w:r>
          </w:p>
        </w:tc>
      </w:tr>
    </w:tbl>
    <w:p w14:paraId="399ABB7C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001754E6" w14:textId="77777777" w:rsidR="00FD72BD" w:rsidRDefault="00FD72BD" w:rsidP="00FD72BD">
      <w:pPr>
        <w:pStyle w:val="Ttulo1"/>
        <w:spacing w:line="240" w:lineRule="auto"/>
        <w:rPr>
          <w:rFonts w:eastAsia="Calibri"/>
          <w:color w:val="auto"/>
          <w:szCs w:val="24"/>
        </w:rPr>
      </w:pPr>
      <w:bookmarkStart w:id="47" w:name="_Toc239252885"/>
      <w:bookmarkStart w:id="48" w:name="_Toc239253622"/>
      <w:r>
        <w:rPr>
          <w:rFonts w:eastAsia="Calibri"/>
          <w:color w:val="auto"/>
          <w:szCs w:val="24"/>
        </w:rPr>
        <w:t xml:space="preserve">Requerimientos de prioridad baja (Could have) — 2 requerimientos</w:t>
      </w:r>
      <w:bookmarkEnd w:id="47"/>
      <w:bookmarkEnd w:id="48"/>
    </w:p>
    <w:p w14:paraId="4A840D28" w14:textId="77777777" w:rsidR="001E628E" w:rsidRPr="001E628E" w:rsidRDefault="001E628E" w:rsidP="001E628E">
      <w:pPr>
        <w:rPr>
          <w:lang w:val="es-ES"/>
        </w:rPr>
      </w:pPr>
    </w:p>
    <w:p w14:paraId="1A20AEA9" w14:textId="6FDD5496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49" w:name="_Toc239252886"/>
      <w:bookmarkStart w:id="50" w:name="_Toc239253623"/>
      <w:r>
        <w:rPr>
          <w:rFonts w:eastAsia="Calibri" w:cs="Times New Roman"/>
          <w:bCs/>
          <w:color w:val="auto"/>
        </w:rPr>
        <w:t xml:space="preserve">RF-22 Revocación inmediata de sesiones activas</w:t>
      </w:r>
      <w:bookmarkEnd w:id="49"/>
      <w:bookmarkEnd w:id="5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76B5363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93839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EDE5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RF-22</w:t>
            </w:r>
          </w:p>
        </w:tc>
      </w:tr>
      <w:tr w:rsidR="00FD72BD" w:rsidRPr="00FD72BD" w14:paraId="09756E6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E41D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1794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Revocación inmediata de sesiones activas</w:t>
            </w:r>
          </w:p>
        </w:tc>
      </w:tr>
      <w:tr w:rsidR="00FD72BD" w:rsidRPr="00FD72BD" w14:paraId="40D2CC7D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963D2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7598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podrá implementar un esquema de token opaco con introspección para los clientes y servicios, que permita revocar una sesión activa antes de su expiración natural, en lugar de depender únicamente de un token autocontenido.</w:t>
            </w:r>
          </w:p>
        </w:tc>
      </w:tr>
      <w:tr w:rsidR="00FD72BD" w:rsidRPr="00FD72BD" w14:paraId="4E9427EE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BAA9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BE16E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Baja</w:t>
            </w:r>
          </w:p>
        </w:tc>
      </w:tr>
      <w:tr w:rsidR="00FD72BD" w:rsidRPr="00FD72BD" w14:paraId="4AC91AC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CAFAD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C4DFF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Documento de arquitectura, punto abierto 1 (“¿Cómo valida syncd la credencial que recibe?”).</w:t>
            </w:r>
          </w:p>
        </w:tc>
      </w:tr>
      <w:tr w:rsidR="00FD72BD" w:rsidRPr="00FD72BD" w14:paraId="5CEC19D2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5611F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B9C67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Una sesión revocada manualmente deja de ser válida para todos los servicios antes de su fecha de expiración original.</w:t>
            </w:r>
          </w:p>
        </w:tc>
      </w:tr>
      <w:tr w:rsidR="00FD72BD" w:rsidRPr="00FD72BD" w14:paraId="7389E2BA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7779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49235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RF-01, RF-03</w:t>
            </w:r>
          </w:p>
        </w:tc>
      </w:tr>
    </w:tbl>
    <w:p w14:paraId="0BCBF3EF" w14:textId="77777777" w:rsidR="00FD72BD" w:rsidRP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2A59BCC4" w14:textId="202044CD" w:rsidR="00FD72BD" w:rsidRPr="00FD72BD" w:rsidRDefault="00FD72BD" w:rsidP="00FD72BD">
      <w:pPr>
        <w:pStyle w:val="Ttulo3"/>
        <w:spacing w:line="240" w:lineRule="auto"/>
        <w:rPr>
          <w:rFonts w:cs="Times New Roman"/>
          <w:color w:val="auto"/>
        </w:rPr>
      </w:pPr>
      <w:bookmarkStart w:id="51" w:name="_Toc239252887"/>
      <w:bookmarkStart w:id="52" w:name="_Toc239253624"/>
      <w:r>
        <w:rPr>
          <w:rFonts w:eastAsia="Calibri" w:cs="Times New Roman"/>
          <w:bCs/>
          <w:color w:val="auto"/>
        </w:rPr>
        <w:t xml:space="preserve">RF-23 Resolución de conflictos de versiones concurrentes en sincronización</w:t>
      </w:r>
      <w:bookmarkEnd w:id="51"/>
      <w:bookmarkEnd w:id="52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000"/>
      </w:tblGrid>
      <w:tr w:rsidR="00FD72BD" w:rsidRPr="00FD72BD" w14:paraId="7D6494C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B73BC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Identificador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3C68A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RF-23</w:t>
            </w:r>
          </w:p>
        </w:tc>
      </w:tr>
      <w:tr w:rsidR="00FD72BD" w:rsidRPr="00FD72BD" w14:paraId="559D8874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C0E21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Nombre del requerimiento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6C34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Resolución de conflictos de versiones concurrentes en sincronización</w:t>
            </w:r>
          </w:p>
        </w:tc>
      </w:tr>
      <w:tr w:rsidR="00FD72BD" w:rsidRPr="00FD72BD" w14:paraId="7297BA39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89CF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Descripción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97202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El sistema podrá incorporar una política explícita de resolución de conflictos cuando el mismo recurso sea modificado de forma concurrente desde más de un cliente antes de sincronizarse con el repositorio.</w:t>
            </w:r>
          </w:p>
        </w:tc>
      </w:tr>
      <w:tr w:rsidR="00FD72BD" w:rsidRPr="00FD72BD" w14:paraId="079ED0E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01485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Prioridad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FF6E0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Baja</w:t>
            </w:r>
          </w:p>
        </w:tc>
      </w:tr>
      <w:tr w:rsidR="00FD72BD" w:rsidRPr="00FD72BD" w14:paraId="4983668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22754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Fuente / Justificación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BBECC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 xml:space="preserve">Documento de arquitectura, punto abierto 3 (“Control de versiones y conflictos en node-sync”).</w:t>
            </w:r>
          </w:p>
        </w:tc>
      </w:tr>
      <w:tr w:rsidR="00FD72BD" w:rsidRPr="00FD72BD" w14:paraId="50BDAE86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25C9B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Criterio de verificación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78C49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Ante una modificación concurrente del mismo recurso desde dos clientes, el sistema aplica una política documentada de resolución en lugar de sobrescribir silenciosamente una de las versiones.</w:t>
            </w:r>
          </w:p>
        </w:tc>
      </w:tr>
      <w:tr w:rsidR="00FD72BD" w:rsidRPr="00FD72BD" w14:paraId="692B817F" w14:textId="77777777" w:rsidTr="00971415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E6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D3B00" w14:textId="77777777" w:rsidR="00FD72BD" w:rsidRPr="00FD72BD" w:rsidRDefault="00FD72BD" w:rsidP="00FD72BD">
            <w:pPr>
              <w:spacing w:line="240" w:lineRule="auto"/>
              <w:ind w:firstLine="0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b/>
                <w:bCs/>
                <w:color w:val="auto"/>
                <w:szCs w:val="24"/>
              </w:rPr>
              <w:t>Dependencias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D2D31" w14:textId="77777777" w:rsidR="00FD72BD" w:rsidRPr="00FD72BD" w:rsidRDefault="00FD72BD" w:rsidP="00FD72BD">
            <w:pPr>
              <w:spacing w:line="240" w:lineRule="auto"/>
              <w:ind w:firstLine="0"/>
              <w:jc w:val="both"/>
              <w:rPr>
                <w:rFonts w:cs="Times New Roman"/>
                <w:color w:val="auto"/>
                <w:szCs w:val="24"/>
              </w:rPr>
            </w:pPr>
            <w:r>
              <w:rPr>
                <w:rFonts w:eastAsia="Calibri" w:cs="Times New Roman"/>
                <w:color w:val="auto"/>
                <w:szCs w:val="24"/>
              </w:rPr>
              <w:t>RF-03, RF-04</w:t>
            </w:r>
          </w:p>
        </w:tc>
      </w:tr>
    </w:tbl>
    <w:p w14:paraId="4513D707" w14:textId="77777777" w:rsidR="00FD72BD" w:rsidRDefault="00FD72BD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4475D27F" w14:textId="77777777" w:rsidR="008B02E9" w:rsidRPr="00FD72BD" w:rsidRDefault="008B02E9" w:rsidP="00FD72BD">
      <w:pPr>
        <w:spacing w:after="200" w:line="240" w:lineRule="auto"/>
        <w:ind w:firstLine="0"/>
        <w:rPr>
          <w:rFonts w:cs="Times New Roman"/>
          <w:color w:val="auto"/>
          <w:szCs w:val="24"/>
        </w:rPr>
      </w:pPr>
    </w:p>
    <w:p w14:paraId="1CF16B16" w14:textId="77777777" w:rsidR="00FD72BD" w:rsidRPr="00FD72BD" w:rsidRDefault="00FD72BD" w:rsidP="00FD72BD">
      <w:pPr>
        <w:spacing w:line="240" w:lineRule="auto"/>
        <w:ind w:firstLine="0"/>
        <w:rPr>
          <w:color w:val="auto"/>
          <w:lang w:val="es-ES"/>
        </w:rPr>
      </w:pPr>
    </w:p>
    <w:sectPr w:rsidR="00FD72BD" w:rsidRPr="00FD72BD" w:rsidSect="00135532">
      <w:headerReference w:type="default" r:id="rId10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DA019" w14:textId="77777777" w:rsidR="00E53D0A" w:rsidRDefault="00E53D0A" w:rsidP="002E2FAC">
      <w:pPr>
        <w:spacing w:line="240" w:lineRule="auto"/>
      </w:pPr>
      <w:r>
        <w:separator/>
      </w:r>
    </w:p>
  </w:endnote>
  <w:endnote w:type="continuationSeparator" w:id="0">
    <w:p w14:paraId="45BD9B78" w14:textId="77777777" w:rsidR="00E53D0A" w:rsidRDefault="00E53D0A" w:rsidP="002E2F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05748" w14:textId="77777777" w:rsidR="00E53D0A" w:rsidRDefault="00E53D0A" w:rsidP="002E2FAC">
      <w:pPr>
        <w:spacing w:line="240" w:lineRule="auto"/>
      </w:pPr>
      <w:r>
        <w:separator/>
      </w:r>
    </w:p>
  </w:footnote>
  <w:footnote w:type="continuationSeparator" w:id="0">
    <w:p w14:paraId="5E6E1A51" w14:textId="77777777" w:rsidR="00E53D0A" w:rsidRDefault="00E53D0A" w:rsidP="002E2F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2386315"/>
      <w:docPartObj>
        <w:docPartGallery w:val="Page Numbers (Top of Page)"/>
        <w:docPartUnique/>
      </w:docPartObj>
    </w:sdtPr>
    <w:sdtContent>
      <w:p w14:paraId="2A97EE66" w14:textId="1668B580" w:rsidR="00927FDA" w:rsidRDefault="00927FDA" w:rsidP="004174B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F682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9EA7D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00111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F3E83F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986C9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F2F3B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C0197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39293D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E046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0E4A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CA674E"/>
    <w:multiLevelType w:val="hybridMultilevel"/>
    <w:tmpl w:val="02282998"/>
    <w:lvl w:ilvl="0" w:tplc="78E2DB0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F96482"/>
    <w:multiLevelType w:val="hybridMultilevel"/>
    <w:tmpl w:val="01020684"/>
    <w:lvl w:ilvl="0" w:tplc="CD0CCD2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422C3"/>
    <w:multiLevelType w:val="hybridMultilevel"/>
    <w:tmpl w:val="723E39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486354D"/>
    <w:multiLevelType w:val="multilevel"/>
    <w:tmpl w:val="FFD4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7757D2"/>
    <w:multiLevelType w:val="hybridMultilevel"/>
    <w:tmpl w:val="92C076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931E81"/>
    <w:multiLevelType w:val="hybridMultilevel"/>
    <w:tmpl w:val="A9C43BF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92880">
    <w:abstractNumId w:val="11"/>
  </w:num>
  <w:num w:numId="2" w16cid:durableId="2014062530">
    <w:abstractNumId w:val="10"/>
  </w:num>
  <w:num w:numId="3" w16cid:durableId="1707100926">
    <w:abstractNumId w:val="15"/>
  </w:num>
  <w:num w:numId="4" w16cid:durableId="1231500828">
    <w:abstractNumId w:val="14"/>
  </w:num>
  <w:num w:numId="5" w16cid:durableId="1287925501">
    <w:abstractNumId w:val="8"/>
  </w:num>
  <w:num w:numId="6" w16cid:durableId="2070228988">
    <w:abstractNumId w:val="3"/>
  </w:num>
  <w:num w:numId="7" w16cid:durableId="622545191">
    <w:abstractNumId w:val="2"/>
  </w:num>
  <w:num w:numId="8" w16cid:durableId="373189613">
    <w:abstractNumId w:val="1"/>
  </w:num>
  <w:num w:numId="9" w16cid:durableId="676882998">
    <w:abstractNumId w:val="0"/>
  </w:num>
  <w:num w:numId="10" w16cid:durableId="1087386512">
    <w:abstractNumId w:val="9"/>
  </w:num>
  <w:num w:numId="11" w16cid:durableId="291180895">
    <w:abstractNumId w:val="7"/>
  </w:num>
  <w:num w:numId="12" w16cid:durableId="159977254">
    <w:abstractNumId w:val="6"/>
  </w:num>
  <w:num w:numId="13" w16cid:durableId="1266380649">
    <w:abstractNumId w:val="5"/>
  </w:num>
  <w:num w:numId="14" w16cid:durableId="1338120611">
    <w:abstractNumId w:val="4"/>
  </w:num>
  <w:num w:numId="15" w16cid:durableId="1949971640">
    <w:abstractNumId w:val="12"/>
  </w:num>
  <w:num w:numId="16" w16cid:durableId="9438510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960"/>
    <w:rsid w:val="00005818"/>
    <w:rsid w:val="00022079"/>
    <w:rsid w:val="00023126"/>
    <w:rsid w:val="000334E7"/>
    <w:rsid w:val="0004429E"/>
    <w:rsid w:val="0007110B"/>
    <w:rsid w:val="00092ED0"/>
    <w:rsid w:val="000A2FEE"/>
    <w:rsid w:val="000C5758"/>
    <w:rsid w:val="000C70FF"/>
    <w:rsid w:val="000D7D4A"/>
    <w:rsid w:val="000E681E"/>
    <w:rsid w:val="000F5D7D"/>
    <w:rsid w:val="0010018C"/>
    <w:rsid w:val="0011606F"/>
    <w:rsid w:val="00135532"/>
    <w:rsid w:val="00142C54"/>
    <w:rsid w:val="00143F13"/>
    <w:rsid w:val="001472BA"/>
    <w:rsid w:val="00155494"/>
    <w:rsid w:val="00155A90"/>
    <w:rsid w:val="00196EE5"/>
    <w:rsid w:val="001A18E6"/>
    <w:rsid w:val="001A2840"/>
    <w:rsid w:val="001B05C5"/>
    <w:rsid w:val="001B2638"/>
    <w:rsid w:val="001C2B55"/>
    <w:rsid w:val="001C4DD4"/>
    <w:rsid w:val="001D3332"/>
    <w:rsid w:val="001D4F86"/>
    <w:rsid w:val="001E197E"/>
    <w:rsid w:val="001E4B08"/>
    <w:rsid w:val="001E628E"/>
    <w:rsid w:val="00207329"/>
    <w:rsid w:val="002130BC"/>
    <w:rsid w:val="00214FB1"/>
    <w:rsid w:val="00216407"/>
    <w:rsid w:val="0021651D"/>
    <w:rsid w:val="00230520"/>
    <w:rsid w:val="00241916"/>
    <w:rsid w:val="00243736"/>
    <w:rsid w:val="002647AF"/>
    <w:rsid w:val="00266600"/>
    <w:rsid w:val="002754F3"/>
    <w:rsid w:val="002820CB"/>
    <w:rsid w:val="00282928"/>
    <w:rsid w:val="002860CE"/>
    <w:rsid w:val="002C0725"/>
    <w:rsid w:val="002C4580"/>
    <w:rsid w:val="002C4B43"/>
    <w:rsid w:val="002D4355"/>
    <w:rsid w:val="002D43DF"/>
    <w:rsid w:val="002D7F52"/>
    <w:rsid w:val="002E0AEC"/>
    <w:rsid w:val="002E19EF"/>
    <w:rsid w:val="002E1C02"/>
    <w:rsid w:val="002E2FAC"/>
    <w:rsid w:val="002F31D6"/>
    <w:rsid w:val="002F5FC4"/>
    <w:rsid w:val="002F63CE"/>
    <w:rsid w:val="00317A5D"/>
    <w:rsid w:val="00321A89"/>
    <w:rsid w:val="00323335"/>
    <w:rsid w:val="00325A2B"/>
    <w:rsid w:val="003404C0"/>
    <w:rsid w:val="00340613"/>
    <w:rsid w:val="003529BA"/>
    <w:rsid w:val="00354DD8"/>
    <w:rsid w:val="003642C7"/>
    <w:rsid w:val="00374AC6"/>
    <w:rsid w:val="00376960"/>
    <w:rsid w:val="00381C3E"/>
    <w:rsid w:val="00385501"/>
    <w:rsid w:val="0038691B"/>
    <w:rsid w:val="003949CC"/>
    <w:rsid w:val="003A1A18"/>
    <w:rsid w:val="003A640E"/>
    <w:rsid w:val="003C1DA7"/>
    <w:rsid w:val="003C6104"/>
    <w:rsid w:val="003E16A1"/>
    <w:rsid w:val="003F20FD"/>
    <w:rsid w:val="00401AEB"/>
    <w:rsid w:val="00403401"/>
    <w:rsid w:val="00411D84"/>
    <w:rsid w:val="004174B3"/>
    <w:rsid w:val="0044460D"/>
    <w:rsid w:val="00445B81"/>
    <w:rsid w:val="00457399"/>
    <w:rsid w:val="0046068F"/>
    <w:rsid w:val="004606F0"/>
    <w:rsid w:val="0046720F"/>
    <w:rsid w:val="00467D77"/>
    <w:rsid w:val="00471209"/>
    <w:rsid w:val="00483180"/>
    <w:rsid w:val="00493E78"/>
    <w:rsid w:val="00497B50"/>
    <w:rsid w:val="004A4761"/>
    <w:rsid w:val="004A56D9"/>
    <w:rsid w:val="004B5257"/>
    <w:rsid w:val="004B7845"/>
    <w:rsid w:val="004C19DC"/>
    <w:rsid w:val="004C6414"/>
    <w:rsid w:val="004D4E18"/>
    <w:rsid w:val="004D71F1"/>
    <w:rsid w:val="004E5171"/>
    <w:rsid w:val="004E6D4E"/>
    <w:rsid w:val="00506AF0"/>
    <w:rsid w:val="00513D58"/>
    <w:rsid w:val="00517B97"/>
    <w:rsid w:val="005253BE"/>
    <w:rsid w:val="005310ED"/>
    <w:rsid w:val="0054651B"/>
    <w:rsid w:val="00556B2D"/>
    <w:rsid w:val="00573582"/>
    <w:rsid w:val="00586B04"/>
    <w:rsid w:val="005A24A6"/>
    <w:rsid w:val="005D035A"/>
    <w:rsid w:val="005D72D4"/>
    <w:rsid w:val="00650C5E"/>
    <w:rsid w:val="00653F3A"/>
    <w:rsid w:val="00655C9C"/>
    <w:rsid w:val="006676C6"/>
    <w:rsid w:val="006826C8"/>
    <w:rsid w:val="00683765"/>
    <w:rsid w:val="00694CD6"/>
    <w:rsid w:val="006A23A6"/>
    <w:rsid w:val="006D61DA"/>
    <w:rsid w:val="006E6B20"/>
    <w:rsid w:val="0070395E"/>
    <w:rsid w:val="00710631"/>
    <w:rsid w:val="0071195E"/>
    <w:rsid w:val="00717933"/>
    <w:rsid w:val="00721DF5"/>
    <w:rsid w:val="00722375"/>
    <w:rsid w:val="0072331C"/>
    <w:rsid w:val="00724132"/>
    <w:rsid w:val="007339A1"/>
    <w:rsid w:val="00733F14"/>
    <w:rsid w:val="007434E0"/>
    <w:rsid w:val="00750341"/>
    <w:rsid w:val="00751ACD"/>
    <w:rsid w:val="007536E0"/>
    <w:rsid w:val="0075426B"/>
    <w:rsid w:val="0075520B"/>
    <w:rsid w:val="00765972"/>
    <w:rsid w:val="007843BD"/>
    <w:rsid w:val="007908DE"/>
    <w:rsid w:val="0079154B"/>
    <w:rsid w:val="00797686"/>
    <w:rsid w:val="007B7329"/>
    <w:rsid w:val="007C09B8"/>
    <w:rsid w:val="007E2B45"/>
    <w:rsid w:val="007F214F"/>
    <w:rsid w:val="007F5677"/>
    <w:rsid w:val="008014E5"/>
    <w:rsid w:val="00802AF6"/>
    <w:rsid w:val="00833F07"/>
    <w:rsid w:val="00847BD4"/>
    <w:rsid w:val="008513CD"/>
    <w:rsid w:val="008555C6"/>
    <w:rsid w:val="00856A14"/>
    <w:rsid w:val="00892F0C"/>
    <w:rsid w:val="008B02E9"/>
    <w:rsid w:val="008E2E35"/>
    <w:rsid w:val="008E39BC"/>
    <w:rsid w:val="008F4571"/>
    <w:rsid w:val="009023E5"/>
    <w:rsid w:val="009063F1"/>
    <w:rsid w:val="0091058C"/>
    <w:rsid w:val="00920171"/>
    <w:rsid w:val="00927FDA"/>
    <w:rsid w:val="00937AB9"/>
    <w:rsid w:val="00945950"/>
    <w:rsid w:val="009653C7"/>
    <w:rsid w:val="00965770"/>
    <w:rsid w:val="00975B4C"/>
    <w:rsid w:val="0099157A"/>
    <w:rsid w:val="00992887"/>
    <w:rsid w:val="00996121"/>
    <w:rsid w:val="00996F5A"/>
    <w:rsid w:val="009A06F1"/>
    <w:rsid w:val="009A18CA"/>
    <w:rsid w:val="009A7D00"/>
    <w:rsid w:val="009B35FF"/>
    <w:rsid w:val="009B366E"/>
    <w:rsid w:val="009C5946"/>
    <w:rsid w:val="009D47E0"/>
    <w:rsid w:val="00A04D12"/>
    <w:rsid w:val="00A06F9A"/>
    <w:rsid w:val="00A0714D"/>
    <w:rsid w:val="00A16A5E"/>
    <w:rsid w:val="00A170F7"/>
    <w:rsid w:val="00A475F0"/>
    <w:rsid w:val="00A77703"/>
    <w:rsid w:val="00A864B1"/>
    <w:rsid w:val="00A9590B"/>
    <w:rsid w:val="00AA7ED0"/>
    <w:rsid w:val="00AB3173"/>
    <w:rsid w:val="00AB5D8E"/>
    <w:rsid w:val="00AD731C"/>
    <w:rsid w:val="00AE5335"/>
    <w:rsid w:val="00B14939"/>
    <w:rsid w:val="00B15B11"/>
    <w:rsid w:val="00B16747"/>
    <w:rsid w:val="00B263B1"/>
    <w:rsid w:val="00B315BB"/>
    <w:rsid w:val="00B32F24"/>
    <w:rsid w:val="00B34D95"/>
    <w:rsid w:val="00B34E55"/>
    <w:rsid w:val="00B359E5"/>
    <w:rsid w:val="00B43A4B"/>
    <w:rsid w:val="00B455E4"/>
    <w:rsid w:val="00B647DB"/>
    <w:rsid w:val="00B7458A"/>
    <w:rsid w:val="00B87BEA"/>
    <w:rsid w:val="00B903D9"/>
    <w:rsid w:val="00B9308A"/>
    <w:rsid w:val="00BA06F7"/>
    <w:rsid w:val="00BA3AA2"/>
    <w:rsid w:val="00BA510D"/>
    <w:rsid w:val="00BA7AB7"/>
    <w:rsid w:val="00BB6973"/>
    <w:rsid w:val="00BC6DF7"/>
    <w:rsid w:val="00BD3907"/>
    <w:rsid w:val="00BD5705"/>
    <w:rsid w:val="00BE29FA"/>
    <w:rsid w:val="00BF52AB"/>
    <w:rsid w:val="00C046FE"/>
    <w:rsid w:val="00C049C3"/>
    <w:rsid w:val="00C04EE1"/>
    <w:rsid w:val="00C20F03"/>
    <w:rsid w:val="00C22C90"/>
    <w:rsid w:val="00C26A8C"/>
    <w:rsid w:val="00C50568"/>
    <w:rsid w:val="00C675DB"/>
    <w:rsid w:val="00C70C43"/>
    <w:rsid w:val="00CA34BA"/>
    <w:rsid w:val="00CB596E"/>
    <w:rsid w:val="00CD0DE4"/>
    <w:rsid w:val="00CE4E48"/>
    <w:rsid w:val="00CF2B45"/>
    <w:rsid w:val="00D00B71"/>
    <w:rsid w:val="00D02745"/>
    <w:rsid w:val="00D077C3"/>
    <w:rsid w:val="00D158F1"/>
    <w:rsid w:val="00D16184"/>
    <w:rsid w:val="00D305EA"/>
    <w:rsid w:val="00D427FA"/>
    <w:rsid w:val="00D46656"/>
    <w:rsid w:val="00D57018"/>
    <w:rsid w:val="00D60C3F"/>
    <w:rsid w:val="00D64099"/>
    <w:rsid w:val="00D73FF4"/>
    <w:rsid w:val="00D77E5F"/>
    <w:rsid w:val="00D86C83"/>
    <w:rsid w:val="00D86E05"/>
    <w:rsid w:val="00D937DE"/>
    <w:rsid w:val="00D957A5"/>
    <w:rsid w:val="00D968E7"/>
    <w:rsid w:val="00DA3CE2"/>
    <w:rsid w:val="00DC4CE1"/>
    <w:rsid w:val="00DC6E25"/>
    <w:rsid w:val="00DD0FF9"/>
    <w:rsid w:val="00DE4EB0"/>
    <w:rsid w:val="00DF6BFC"/>
    <w:rsid w:val="00E162CC"/>
    <w:rsid w:val="00E236F9"/>
    <w:rsid w:val="00E33322"/>
    <w:rsid w:val="00E42A5E"/>
    <w:rsid w:val="00E42B2E"/>
    <w:rsid w:val="00E537A2"/>
    <w:rsid w:val="00E53D0A"/>
    <w:rsid w:val="00E61407"/>
    <w:rsid w:val="00E6795E"/>
    <w:rsid w:val="00E71961"/>
    <w:rsid w:val="00E722B5"/>
    <w:rsid w:val="00E72F54"/>
    <w:rsid w:val="00E96554"/>
    <w:rsid w:val="00E97FC7"/>
    <w:rsid w:val="00EA0D67"/>
    <w:rsid w:val="00EA4B17"/>
    <w:rsid w:val="00EC250D"/>
    <w:rsid w:val="00EC2EB1"/>
    <w:rsid w:val="00EC7830"/>
    <w:rsid w:val="00EC7FF4"/>
    <w:rsid w:val="00ED32E6"/>
    <w:rsid w:val="00ED454D"/>
    <w:rsid w:val="00ED6C28"/>
    <w:rsid w:val="00EE1B4B"/>
    <w:rsid w:val="00F014D0"/>
    <w:rsid w:val="00F03EC9"/>
    <w:rsid w:val="00F53FEC"/>
    <w:rsid w:val="00F67928"/>
    <w:rsid w:val="00F74620"/>
    <w:rsid w:val="00FA4082"/>
    <w:rsid w:val="00FB6FA4"/>
    <w:rsid w:val="00FC6D96"/>
    <w:rsid w:val="00FD17DB"/>
    <w:rsid w:val="00FD72BD"/>
    <w:rsid w:val="00FE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A7D512"/>
  <w15:docId w15:val="{2354D761-7D46-476C-B0C4-7AD0E0D8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DF5"/>
    <w:pPr>
      <w:spacing w:after="0" w:line="48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Ttulo1APA"/>
    <w:next w:val="Normal"/>
    <w:link w:val="Ttulo1Car"/>
    <w:uiPriority w:val="9"/>
    <w:qFormat/>
    <w:rsid w:val="00135532"/>
    <w:pPr>
      <w:ind w:firstLine="0"/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532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35532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5532"/>
    <w:pPr>
      <w:keepNext/>
      <w:keepLines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35532"/>
    <w:pPr>
      <w:keepNext/>
      <w:keepLines/>
      <w:outlineLvl w:val="4"/>
    </w:pPr>
    <w:rPr>
      <w:rFonts w:eastAsiaTheme="majorEastAsia" w:cstheme="majorBidi"/>
      <w:b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2FAC"/>
  </w:style>
  <w:style w:type="paragraph" w:styleId="Piedepgina">
    <w:name w:val="footer"/>
    <w:basedOn w:val="Normal"/>
    <w:link w:val="Piedepgina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2FAC"/>
  </w:style>
  <w:style w:type="table" w:styleId="Tablaconcuadrcula">
    <w:name w:val="Table Grid"/>
    <w:basedOn w:val="Tablanormal"/>
    <w:uiPriority w:val="39"/>
    <w:rsid w:val="00F6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rsid w:val="0047120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34E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rsid w:val="00927FDA"/>
    <w:pPr>
      <w:tabs>
        <w:tab w:val="right" w:leader="dot" w:pos="9394"/>
      </w:tabs>
      <w:ind w:firstLine="0"/>
    </w:pPr>
    <w:rPr>
      <w:rFonts w:eastAsia="Times New Roman" w:cs="Times New Roman"/>
      <w:szCs w:val="24"/>
      <w:lang w:val="en-US"/>
    </w:rPr>
  </w:style>
  <w:style w:type="paragraph" w:styleId="TDC2">
    <w:name w:val="toc 2"/>
    <w:basedOn w:val="Normal"/>
    <w:next w:val="Normal"/>
    <w:autoRedefine/>
    <w:uiPriority w:val="39"/>
    <w:rsid w:val="00927FDA"/>
    <w:pPr>
      <w:ind w:left="198" w:firstLine="0"/>
    </w:pPr>
    <w:rPr>
      <w:rFonts w:eastAsia="Times New Roman" w:cs="Times New Roman"/>
      <w:szCs w:val="24"/>
      <w:lang w:val="en-US"/>
    </w:rPr>
  </w:style>
  <w:style w:type="paragraph" w:styleId="TDC3">
    <w:name w:val="toc 3"/>
    <w:basedOn w:val="Normal"/>
    <w:next w:val="Normal"/>
    <w:autoRedefine/>
    <w:uiPriority w:val="39"/>
    <w:rsid w:val="00927FDA"/>
    <w:pPr>
      <w:ind w:left="369" w:firstLine="0"/>
    </w:pPr>
    <w:rPr>
      <w:rFonts w:eastAsia="Times New Roman" w:cs="Times New Roman"/>
      <w:szCs w:val="24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74AC6"/>
    <w:rPr>
      <w:color w:val="605E5C"/>
      <w:shd w:val="clear" w:color="auto" w:fill="E1DFDD"/>
    </w:rPr>
  </w:style>
  <w:style w:type="paragraph" w:customStyle="1" w:styleId="Ttulo1APA">
    <w:name w:val="Título 1 APA"/>
    <w:basedOn w:val="Normal"/>
    <w:link w:val="Ttulo1APACar"/>
    <w:autoRedefine/>
    <w:rsid w:val="00A04D12"/>
    <w:pPr>
      <w:numPr>
        <w:ilvl w:val="12"/>
      </w:numPr>
      <w:ind w:firstLine="720"/>
      <w:jc w:val="center"/>
    </w:pPr>
    <w:rPr>
      <w:rFonts w:cs="Times New Roman"/>
      <w:b/>
      <w:bCs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35532"/>
    <w:rPr>
      <w:rFonts w:ascii="Times New Roman" w:hAnsi="Times New Roman" w:cs="Times New Roman"/>
      <w:b/>
      <w:bCs/>
      <w:color w:val="000000" w:themeColor="text1"/>
      <w:sz w:val="24"/>
      <w:lang w:val="es-ES"/>
    </w:rPr>
  </w:style>
  <w:style w:type="character" w:customStyle="1" w:styleId="Ttulo1APACar">
    <w:name w:val="Título 1 APA Car"/>
    <w:basedOn w:val="Fuentedeprrafopredeter"/>
    <w:link w:val="Ttulo1APA"/>
    <w:rsid w:val="00A04D12"/>
    <w:rPr>
      <w:rFonts w:ascii="Times New Roman" w:hAnsi="Times New Roman" w:cs="Times New Roman"/>
      <w:b/>
      <w:bCs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A04D12"/>
    <w:pPr>
      <w:outlineLvl w:val="9"/>
    </w:pPr>
    <w:rPr>
      <w:lang w:eastAsia="es-CO"/>
    </w:rPr>
  </w:style>
  <w:style w:type="paragraph" w:customStyle="1" w:styleId="APA">
    <w:name w:val="APA"/>
    <w:basedOn w:val="Normal"/>
    <w:link w:val="APACar"/>
    <w:rsid w:val="00D968E7"/>
    <w:pPr>
      <w:ind w:firstLine="709"/>
    </w:pPr>
  </w:style>
  <w:style w:type="character" w:customStyle="1" w:styleId="APACar">
    <w:name w:val="APA Car"/>
    <w:basedOn w:val="Fuentedeprrafopredeter"/>
    <w:link w:val="APA"/>
    <w:rsid w:val="00D968E7"/>
    <w:rPr>
      <w:rFonts w:ascii="Times New Roman" w:hAnsi="Times New Roman"/>
      <w:sz w:val="24"/>
    </w:rPr>
  </w:style>
  <w:style w:type="paragraph" w:customStyle="1" w:styleId="TituloNivel2">
    <w:name w:val="Titulo Nivel 2"/>
    <w:basedOn w:val="Normal"/>
    <w:link w:val="TituloNivel2Car"/>
    <w:autoRedefine/>
    <w:rsid w:val="002D7F52"/>
    <w:rPr>
      <w:rFonts w:cs="Times New Roman"/>
      <w:b/>
      <w:bCs/>
      <w:szCs w:val="24"/>
    </w:rPr>
  </w:style>
  <w:style w:type="character" w:customStyle="1" w:styleId="TituloNivel2Car">
    <w:name w:val="Titulo Nivel 2 Car"/>
    <w:basedOn w:val="Fuentedeprrafopredeter"/>
    <w:link w:val="TituloNivel2"/>
    <w:rsid w:val="002D7F52"/>
    <w:rPr>
      <w:rFonts w:ascii="Times New Roman" w:hAnsi="Times New Roman" w:cs="Times New Roman"/>
      <w:b/>
      <w:bCs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D72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72D4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13553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customStyle="1" w:styleId="Default">
    <w:name w:val="Default"/>
    <w:rsid w:val="00411D8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Sinespaciado">
    <w:name w:val="No Spacing"/>
    <w:uiPriority w:val="1"/>
    <w:qFormat/>
    <w:rsid w:val="00135532"/>
    <w:pPr>
      <w:spacing w:after="0" w:line="480" w:lineRule="auto"/>
    </w:pPr>
    <w:rPr>
      <w:rFonts w:ascii="Times New Roman" w:eastAsia="Calibri" w:hAnsi="Times New Roman" w:cs="Calibri"/>
      <w:color w:val="000000"/>
      <w:sz w:val="24"/>
      <w:lang w:eastAsia="es-CO"/>
    </w:rPr>
  </w:style>
  <w:style w:type="paragraph" w:customStyle="1" w:styleId="Piedeimagen">
    <w:name w:val="Pie de imagen"/>
    <w:basedOn w:val="Descripcin"/>
    <w:rsid w:val="00411D84"/>
    <w:pPr>
      <w:spacing w:after="0" w:line="480" w:lineRule="auto"/>
      <w:ind w:firstLine="454"/>
    </w:pPr>
    <w:rPr>
      <w:rFonts w:eastAsia="Calibri" w:cs="Times New Roman"/>
      <w:bCs/>
      <w:iCs w:val="0"/>
      <w:color w:val="auto"/>
      <w:sz w:val="20"/>
      <w:szCs w:val="24"/>
    </w:rPr>
  </w:style>
  <w:style w:type="paragraph" w:styleId="Descripcin">
    <w:name w:val="caption"/>
    <w:basedOn w:val="Normal"/>
    <w:next w:val="Normal"/>
    <w:uiPriority w:val="35"/>
    <w:unhideWhenUsed/>
    <w:rsid w:val="00411D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5532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C6104"/>
    <w:rPr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1"/>
    <w:rsid w:val="00E236F9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36F9"/>
    <w:rPr>
      <w:rFonts w:ascii="Times New Roman" w:eastAsia="Times New Roman" w:hAnsi="Times New Roman" w:cs="Times New Roman"/>
      <w:sz w:val="24"/>
      <w:szCs w:val="24"/>
      <w:lang w:val="es-ES"/>
    </w:rPr>
  </w:style>
  <w:style w:type="table" w:customStyle="1" w:styleId="TableNormal">
    <w:name w:val="Table Normal"/>
    <w:uiPriority w:val="2"/>
    <w:semiHidden/>
    <w:unhideWhenUsed/>
    <w:qFormat/>
    <w:rsid w:val="00E236F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E236F9"/>
    <w:pPr>
      <w:widowControl w:val="0"/>
      <w:autoSpaceDE w:val="0"/>
      <w:autoSpaceDN w:val="0"/>
      <w:spacing w:line="240" w:lineRule="auto"/>
      <w:ind w:left="133"/>
    </w:pPr>
    <w:rPr>
      <w:rFonts w:eastAsia="Times New Roman" w:cs="Times New Roman"/>
      <w:lang w:val="es-ES"/>
    </w:rPr>
  </w:style>
  <w:style w:type="paragraph" w:styleId="Bibliografa">
    <w:name w:val="Bibliography"/>
    <w:basedOn w:val="Normal"/>
    <w:next w:val="Normal"/>
    <w:uiPriority w:val="37"/>
    <w:unhideWhenUsed/>
    <w:qFormat/>
    <w:rsid w:val="00721DF5"/>
    <w:pPr>
      <w:ind w:left="720" w:hanging="720"/>
    </w:pPr>
  </w:style>
  <w:style w:type="paragraph" w:styleId="Cita">
    <w:name w:val="Quote"/>
    <w:basedOn w:val="Normal"/>
    <w:next w:val="Normal"/>
    <w:link w:val="CitaCar"/>
    <w:uiPriority w:val="29"/>
    <w:qFormat/>
    <w:rsid w:val="00D937DE"/>
    <w:pPr>
      <w:spacing w:line="360" w:lineRule="auto"/>
      <w:ind w:left="720" w:firstLine="0"/>
    </w:pPr>
    <w:rPr>
      <w:iCs/>
    </w:rPr>
  </w:style>
  <w:style w:type="character" w:customStyle="1" w:styleId="CitaCar">
    <w:name w:val="Cita Car"/>
    <w:basedOn w:val="Fuentedeprrafopredeter"/>
    <w:link w:val="Cita"/>
    <w:uiPriority w:val="29"/>
    <w:rsid w:val="00D937DE"/>
    <w:rPr>
      <w:rFonts w:ascii="Times New Roman" w:hAnsi="Times New Roman"/>
      <w:iCs/>
      <w:color w:val="000000" w:themeColor="text1"/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927FDA"/>
    <w:pPr>
      <w:ind w:left="539" w:firstLine="0"/>
    </w:pPr>
  </w:style>
  <w:style w:type="paragraph" w:styleId="TDC5">
    <w:name w:val="toc 5"/>
    <w:basedOn w:val="Normal"/>
    <w:next w:val="Normal"/>
    <w:autoRedefine/>
    <w:uiPriority w:val="39"/>
    <w:unhideWhenUsed/>
    <w:rsid w:val="00927FDA"/>
    <w:pPr>
      <w:ind w:left="709" w:firstLine="0"/>
    </w:pPr>
  </w:style>
  <w:style w:type="paragraph" w:styleId="Tabladeilustraciones">
    <w:name w:val="table of figures"/>
    <w:basedOn w:val="Normal"/>
    <w:next w:val="Normal"/>
    <w:uiPriority w:val="99"/>
    <w:unhideWhenUsed/>
    <w:rsid w:val="00927FDA"/>
    <w:pPr>
      <w:ind w:firstLine="0"/>
    </w:pPr>
  </w:style>
  <w:style w:type="character" w:styleId="Fuerte">
    <w:name w:val="Strong"/>
    <w:basedOn w:val="Fuentedeprrafopredeter"/>
    <w:uiPriority w:val="22"/>
    <w:qFormat/>
    <w:rsid w:val="002C4B43"/>
    <w:rPr>
      <w:b/>
      <w:bCs/>
    </w:rPr>
  </w:style>
  <w:style w:type="character" w:styleId="nfasis">
    <w:name w:val="Emphasis"/>
    <w:basedOn w:val="Fuentedeprrafopredeter"/>
    <w:uiPriority w:val="20"/>
    <w:qFormat/>
    <w:rsid w:val="002C4B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0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1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7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48814CB8D5B45BDE447D5107B79B0" ma:contentTypeVersion="11" ma:contentTypeDescription="Crear nuevo documento." ma:contentTypeScope="" ma:versionID="bc084e518ff7a40c63a45e2bda450718">
  <xsd:schema xmlns:xsd="http://www.w3.org/2001/XMLSchema" xmlns:xs="http://www.w3.org/2001/XMLSchema" xmlns:p="http://schemas.microsoft.com/office/2006/metadata/properties" xmlns:ns2="2ef287bc-8651-49b9-91f6-6f8ae78755d0" xmlns:ns3="b087e0fe-0a80-44b1-af84-83d826b5bd0b" targetNamespace="http://schemas.microsoft.com/office/2006/metadata/properties" ma:root="true" ma:fieldsID="38c7cf8001a1de99eed0b42779cef1bf" ns2:_="" ns3:_="">
    <xsd:import namespace="2ef287bc-8651-49b9-91f6-6f8ae78755d0"/>
    <xsd:import namespace="b087e0fe-0a80-44b1-af84-83d826b5bd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287bc-8651-49b9-91f6-6f8ae78755d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9242bb89-d187-4b37-ae3c-881a0dbe46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87e0fe-0a80-44b1-af84-83d826b5bd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1c1a0f0-efe0-41fc-84ca-e67796cbf937}" ma:internalName="TaxCatchAll" ma:showField="CatchAllData" ma:web="b087e0fe-0a80-44b1-af84-83d826b5bd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B997F9-2FBF-4F90-91D1-618B4DA336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CF36818-31DD-4AAB-98A0-441B20705C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88D90F1-CEA8-40A8-8330-148267D081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287bc-8651-49b9-91f6-6f8ae78755d0"/>
    <ds:schemaRef ds:uri="b087e0fe-0a80-44b1-af84-83d826b5bd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3346</Words>
  <Characters>18405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Ibarra</dc:creator>
  <cp:keywords/>
  <dc:description/>
  <cp:lastModifiedBy>Andres Felipe Pinzon Camacho</cp:lastModifiedBy>
  <cp:revision>5</cp:revision>
  <cp:lastPrinted>2026-07-26T22:34:00Z</cp:lastPrinted>
  <dcterms:created xsi:type="dcterms:W3CDTF">2026-09-02T19:51:00Z</dcterms:created>
  <dcterms:modified xsi:type="dcterms:W3CDTF">2026-09-02T19:59:00Z</dcterms:modified>
</cp:coreProperties>
</file>