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32" w:rsidRDefault="00474332" w:rsidP="00474332">
      <w:pPr>
        <w:pBdr>
          <w:bottom w:val="single" w:sz="6" w:space="6" w:color="E0E0E0"/>
        </w:pBdr>
        <w:shd w:val="clear" w:color="auto" w:fill="FFFFFF"/>
        <w:spacing w:after="150" w:line="240" w:lineRule="auto"/>
        <w:jc w:val="center"/>
        <w:outlineLvl w:val="2"/>
        <w:rPr>
          <w:rFonts w:ascii="HelveticaLTStd-Roman" w:eastAsia="Times New Roman" w:hAnsi="HelveticaLTStd-Roman" w:cs="Times New Roman"/>
          <w:caps/>
          <w:color w:val="33C6DE"/>
          <w:sz w:val="26"/>
          <w:szCs w:val="26"/>
          <w:lang w:eastAsia="es-PE"/>
        </w:rPr>
      </w:pPr>
      <w:r>
        <w:rPr>
          <w:noProof/>
          <w:lang w:eastAsia="es-PE"/>
        </w:rPr>
        <w:drawing>
          <wp:inline distT="0" distB="0" distL="0" distR="0" wp14:anchorId="2BD7F56A" wp14:editId="53453BF1">
            <wp:extent cx="5733415" cy="8769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32" w:rsidRPr="00474332" w:rsidRDefault="00474332" w:rsidP="00474332">
      <w:pPr>
        <w:pBdr>
          <w:bottom w:val="single" w:sz="6" w:space="6" w:color="E0E0E0"/>
        </w:pBdr>
        <w:shd w:val="clear" w:color="auto" w:fill="FFFFFF"/>
        <w:spacing w:after="150" w:line="240" w:lineRule="auto"/>
        <w:jc w:val="center"/>
        <w:outlineLvl w:val="2"/>
        <w:rPr>
          <w:rFonts w:ascii="HelveticaLTStd-Roman" w:eastAsia="Times New Roman" w:hAnsi="HelveticaLTStd-Roman" w:cs="Times New Roman"/>
          <w:caps/>
          <w:color w:val="33C6DE"/>
          <w:sz w:val="26"/>
          <w:szCs w:val="26"/>
          <w:lang w:eastAsia="es-PE"/>
        </w:rPr>
      </w:pPr>
      <w:bookmarkStart w:id="0" w:name="_GoBack"/>
      <w:bookmarkEnd w:id="0"/>
      <w:r w:rsidRPr="00474332">
        <w:rPr>
          <w:rFonts w:ascii="HelveticaLTStd-Roman" w:eastAsia="Times New Roman" w:hAnsi="HelveticaLTStd-Roman" w:cs="Times New Roman"/>
          <w:caps/>
          <w:color w:val="33C6DE"/>
          <w:sz w:val="26"/>
          <w:szCs w:val="26"/>
          <w:lang w:eastAsia="es-PE"/>
        </w:rPr>
        <w:t>EPS REEMBOLSO</w:t>
      </w:r>
    </w:p>
    <w:p w:rsidR="00474332" w:rsidRPr="00474332" w:rsidRDefault="00474332" w:rsidP="00474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br/>
        <w:t>REQUISITOS PARA  REEMBOLSO LIMA - PLAN ADICIONAL 2</w:t>
      </w: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br/>
      </w: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u w:val="single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Para el reembolso de gastos es necesario adjuntar lo siguiente: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•  </w:t>
      </w:r>
      <w:hyperlink r:id="rId5" w:tgtFrame="_blank" w:tooltip="Solicitud de Atención Medica" w:history="1">
        <w:r w:rsidRPr="00474332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es-PE"/>
          </w:rPr>
          <w:t>Solicitud de Atención Médica (descargar)</w:t>
        </w:r>
      </w:hyperlink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(completada y firmada por el médico tratante - CMP).</w:t>
      </w:r>
    </w:p>
    <w:p w:rsidR="00474332" w:rsidRPr="00474332" w:rsidRDefault="00474332" w:rsidP="00474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• Facturas a nombre de </w:t>
      </w: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PACIFICO SA</w:t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Entidad Prestadora de Salud (RUC 20431115825), Por los siguientes conceptos: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    -  Farmacia, Exámenes auxiliares,( Laboratorio, Rayos X,  Procedimientos), etc.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    - Estas facturas tienen que estar sustentadas con la orden médica y sus respectivos resultados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• Recibos de Honorarios a nombre del paciente.   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     Plazo máximo de presentación: 60 días contados a partir de la 1era consulta.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Tener en consideración: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• El tope a considerar en honorarios médicos es de S/ 250.00 Soles.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    • El deducible por reembolso es de S/ 110.00 Soles y el coaseguro es cubierto al 65%.</w:t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4"/>
          <w:szCs w:val="24"/>
          <w:lang w:eastAsia="es-PE"/>
        </w:rPr>
        <w:br/>
      </w: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PROCEDIMIENTO</w:t>
      </w:r>
    </w:p>
    <w:p w:rsidR="00474332" w:rsidRPr="00474332" w:rsidRDefault="00474332" w:rsidP="004743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A8A8A"/>
          <w:sz w:val="21"/>
          <w:szCs w:val="21"/>
          <w:lang w:eastAsia="es-PE"/>
        </w:rPr>
      </w:pPr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br/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Una vez que cuentes con todos los documentos requeridos, debes ingresar a la web de Pacífico (</w:t>
      </w:r>
      <w:hyperlink r:id="rId6" w:anchor="/" w:history="1">
        <w:r w:rsidRPr="00474332">
          <w:rPr>
            <w:rFonts w:ascii="HelveticaLTStd-Roman" w:eastAsia="Times New Roman" w:hAnsi="HelveticaLTStd-Roman" w:cs="Arial"/>
            <w:b/>
            <w:bCs/>
            <w:color w:val="337AB7"/>
            <w:sz w:val="24"/>
            <w:szCs w:val="24"/>
            <w:u w:val="single"/>
            <w:lang w:eastAsia="es-PE"/>
          </w:rPr>
          <w:t>AQUÍ</w:t>
        </w:r>
      </w:hyperlink>
      <w:r w:rsidRPr="00474332">
        <w:rPr>
          <w:rFonts w:ascii="HelveticaLTStd-Roman" w:eastAsia="Times New Roman" w:hAnsi="HelveticaLTStd-Roman" w:cs="Arial"/>
          <w:b/>
          <w:bCs/>
          <w:color w:val="000000"/>
          <w:sz w:val="24"/>
          <w:szCs w:val="24"/>
          <w:lang w:eastAsia="es-PE"/>
        </w:rPr>
        <w:t>)</w:t>
      </w:r>
      <w:r w:rsidRPr="00474332">
        <w:rPr>
          <w:rFonts w:ascii="Arial" w:eastAsia="Times New Roman" w:hAnsi="Arial" w:cs="Arial"/>
          <w:color w:val="8A8A8A"/>
          <w:sz w:val="21"/>
          <w:szCs w:val="21"/>
          <w:lang w:eastAsia="es-PE"/>
        </w:rPr>
        <w:t>, quienes atenderán tu reembolso en un plazo de 10 días útiles. </w:t>
      </w:r>
    </w:p>
    <w:p w:rsidR="00C97F15" w:rsidRDefault="00C97F15"/>
    <w:sectPr w:rsidR="00C97F15" w:rsidSect="007209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32"/>
    <w:rsid w:val="00474332"/>
    <w:rsid w:val="007209EC"/>
    <w:rsid w:val="00C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3321"/>
  <w15:chartTrackingRefBased/>
  <w15:docId w15:val="{5F88050D-C659-4D84-9A2E-A8715ED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3">
    <w:name w:val="heading 3"/>
    <w:basedOn w:val="Normal"/>
    <w:link w:val="Ttulo3Car"/>
    <w:uiPriority w:val="9"/>
    <w:qFormat/>
    <w:rsid w:val="00474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4332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47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743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743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74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1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40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reembolsos.pacifico.com.pe/" TargetMode="External"/><Relationship Id="rId5" Type="http://schemas.openxmlformats.org/officeDocument/2006/relationships/hyperlink" Target="https://conectate.upc.edu.pe/media/1963/solicitud-de-atencion-medic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ALONSO MENDOZA PAREDES</dc:creator>
  <cp:keywords/>
  <dc:description/>
  <cp:lastModifiedBy>BRAYAN ALONSO MENDOZA PAREDES</cp:lastModifiedBy>
  <cp:revision>1</cp:revision>
  <dcterms:created xsi:type="dcterms:W3CDTF">2020-11-10T14:55:00Z</dcterms:created>
  <dcterms:modified xsi:type="dcterms:W3CDTF">2020-11-10T14:57:00Z</dcterms:modified>
</cp:coreProperties>
</file>