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Fase 2 – Modelo predictivo de riesgo cardiovascular</w:t>
      </w:r>
    </w:p>
    <w:p>
      <w:r>
        <w:t>Título: Modelo predictivo de riesgo cardiovascular en población general y rural basado en regresión logística y XGBoost</w:t>
      </w:r>
    </w:p>
    <w:p>
      <w:r>
        <w:t>Proyecto de aula – Segunda fase (segundo corte)</w:t>
      </w:r>
    </w:p>
    <w:p>
      <w:r>
        <w:t>Asignatura: Inteligencia Artificial</w:t>
      </w:r>
    </w:p>
    <w:p>
      <w:r>
        <w:t>Integrantes: Gustavo José Mutto · Yafeth López Moscote · José López Pinzón</w:t>
      </w:r>
    </w:p>
    <w:p>
      <w:r>
        <w:t>Universidad Popular del Cesar — Valledupar, 2026</w:t>
      </w:r>
    </w:p>
    <w:p>
      <w:r>
        <w:t>---</w:t>
      </w:r>
    </w:p>
    <w:p>
      <w:pPr>
        <w:pStyle w:val="Heading1"/>
      </w:pPr>
      <w:r>
        <w:t>1. Introducción</w:t>
      </w:r>
    </w:p>
    <w:p>
      <w:r>
        <w:t>Las enfermedades cardiovasculares (ECV) son la principal causa de muerte en Colombia. Las escalas clásicas como Framingham se construyeron con poblaciones norteamericanas/europeas y, en una cohorte colombiana, alcanzaron un AUC de apenas 0,53 (Agudelo et al., 2025), además de exigir laboratorio poco disponible en zonas rurales.</w:t>
      </w:r>
    </w:p>
    <w:p>
      <w:r>
        <w:t>Este proyecto estima el riesgo cardiovascular con variables de encuesta (edad, sexo, IMC, salud percibida, actividad física, tabaquismo y antecedentes). Se comparan regresión logística (baseline interpretable) y XGBoost (modelo propuesto). El resultado se traduce a niveles bajo / moderado / alto como apoyo preventivo, sin sustituir el diagnóstico médico.</w:t>
      </w:r>
    </w:p>
    <w:p>
      <w:r>
        <w:t>En la fase 1 se formuló la propuesta y el EDA. Esta fase 2 actualiza esa propuesta con el preprocesamiento ejecutado, el entrenamiento, el ajuste de hiperparámetros y la evaluación cuantitativa sobre el conjunto de prueba.</w:t>
      </w:r>
    </w:p>
    <w:p>
      <w:pPr>
        <w:pStyle w:val="Heading1"/>
      </w:pPr>
      <w:r>
        <w:t>2. Estado del arte (síntesis)</w:t>
      </w:r>
    </w:p>
    <w:p>
      <w:r>
        <w:t>Se mantiene la revisión de la propuesta: a nivel internacional, Xi et al. (2022), Ahiduzzaman y Hasan (2025) e Imani et al. (2026) muestran que XGBoost/ensambles superan levemente a la logística en BRFSS/NHANES, con AUC altos cuando se maneja el desbalance. A nivel nacional, Agudelo et al. (2025) evidencian el fallo de Framingham en Colombia. En Cesar/Caribe solo hay estudios descriptivos (MinSalud, Mosquera Heredia, Rebolledo-Cobos).</w:t>
      </w:r>
    </w:p>
    <w:p>
      <w:r>
        <w:t>Brecha: falta un modelo restringido a variables de encuesta, de bajo costo y evaluado pensando en contextos rurales colombianos.</w:t>
      </w:r>
    </w:p>
    <w:p>
      <w:pPr>
        <w:pStyle w:val="Heading1"/>
      </w:pPr>
      <w:r>
        <w:t>3. Planteamiento y objetivos</w:t>
      </w:r>
    </w:p>
    <w:p>
      <w:r>
        <w:t>Pregunta: ¿es posible estimar de forma confiable el riesgo cardiovascular con variables de fácil recolección mediante regresión logística y XGBoost?</w:t>
      </w:r>
    </w:p>
    <w:p>
      <w:r>
        <w:t>Objetivo general: desarrollar un modelo predictivo de riesgo cardiovascular (LR y XGBoost) como herramienta de orientación preventiva.</w:t>
      </w:r>
    </w:p>
    <w:p>
      <w:r>
        <w:t>Objetivos específicos de esta fase (cumplidos en código):</w:t>
      </w:r>
    </w:p>
    <w:p>
      <w:pPr>
        <w:pStyle w:val="ListNumber"/>
      </w:pPr>
      <w:r>
        <w:t>1. Usar 14 predictores de fácil recolección.</w:t>
      </w:r>
    </w:p>
    <w:p>
      <w:pPr>
        <w:pStyle w:val="ListNumber"/>
      </w:pPr>
      <w:r>
        <w:t>2. Depurar la base BRFSS cleaned y particionar train/test.</w:t>
      </w:r>
    </w:p>
    <w:p>
      <w:pPr>
        <w:pStyle w:val="ListNumber"/>
      </w:pPr>
      <w:r>
        <w:t>3. Implementar LR y XGBoost con manejo del desbalance.</w:t>
      </w:r>
    </w:p>
    <w:p>
      <w:pPr>
        <w:pStyle w:val="ListNumber"/>
      </w:pPr>
      <w:r>
        <w:t>4. Evaluar y comparar con métricas adecuadas (AUC-ROC/PR, sensibilidad, F1, etc.).</w:t>
      </w:r>
    </w:p>
    <w:p>
      <w:pPr>
        <w:pStyle w:val="ListNumber"/>
      </w:pPr>
      <w:r>
        <w:t>5. Seleccionar el modelo según el criterio metodológico e interpretar coeficientes/importancias.</w:t>
      </w:r>
    </w:p>
    <w:p>
      <w:r>
        <w:t>El prototipo Streamlit (objetivo 6) queda operativo como avance hacia la fase 3.</w:t>
      </w:r>
    </w:p>
    <w:p>
      <w:pPr>
        <w:pStyle w:val="Heading1"/>
      </w:pPr>
      <w:r>
        <w:t>4. Justificación de algoritmos</w:t>
      </w:r>
    </w:p>
    <w:p>
      <w:r>
        <w:t>| Modelo | Rol | Por qué |</w:t>
      </w:r>
    </w:p>
    <w:p>
      <w:r>
        <w:t>|--------|-----|---------|</w:t>
      </w:r>
    </w:p>
    <w:p>
      <w:r>
        <w:t>| **Regresión logística** | Baseline | Interpretable (odds ratios), ligera, estándar clínico-epidemiológico; en Xi et al. (2022) sigue siendo competitiva. |</w:t>
      </w:r>
    </w:p>
    <w:p>
      <w:r>
        <w:t>| **XGBoost** | Propuesto | Capacidad no lineal y de interacciones; mejor desempeño reportado en BRFSS 2022 (Imani et al., 2026) y NHANES (Ahiduzzaman y Hasan, 2025). |</w:t>
      </w:r>
    </w:p>
    <w:p>
      <w:r>
        <w:t>No se usó deep learning: el tamaño tabular y la necesidad de interpretabilidad en campo favorecen modelos clásicos/boosting.</w:t>
      </w:r>
    </w:p>
    <w:p>
      <w:pPr>
        <w:pStyle w:val="Heading1"/>
      </w:pPr>
      <w:r>
        <w:t>5. Metodología experimental</w:t>
      </w:r>
    </w:p>
    <w:p>
      <w:pPr>
        <w:pStyle w:val="Heading2"/>
      </w:pPr>
      <w:r>
        <w:t>5.1 Datos</w:t>
      </w:r>
    </w:p>
    <w:p>
      <w:pPr>
        <w:pStyle w:val="ListBullet"/>
      </w:pPr>
      <w:r>
        <w:t>**Fuente:** Indicators of Heart Disease (BRFSS cleaned, CDC), espejo público del dataset de Kaggle.</w:t>
      </w:r>
    </w:p>
    <w:p>
      <w:pPr>
        <w:pStyle w:val="ListBullet"/>
      </w:pPr>
      <w:r>
        <w:t>**Nota:** la propuesta citaba BRFSS 2022 (209.958 filas depuradas). En este repositorio se usa el CSV cleaned público con **variables equivalentes** (HeartDisease = Yes/No como proxy de infarto/angina reportados), por disponibilidad sin autenticación Kaggle.</w:t>
      </w:r>
    </w:p>
    <w:p>
      <w:pPr>
        <w:pStyle w:val="ListBullet"/>
      </w:pPr>
      <w:r>
        <w:t>Filas crudas: **319.795** → tras quitar duplicados y nulos: **287.662** (positivos ≈ **9,4 %**).</w:t>
      </w:r>
    </w:p>
    <w:p>
      <w:pPr>
        <w:pStyle w:val="Heading2"/>
      </w:pPr>
      <w:r>
        <w:t>5.2 Preprocesamiento</w:t>
      </w:r>
    </w:p>
    <w:p>
      <w:pPr>
        <w:pStyle w:val="ListBullet"/>
      </w:pPr>
      <w:r>
        <w:t>Eliminación de duplicados (32.133).</w:t>
      </w:r>
    </w:p>
    <w:p>
      <w:pPr>
        <w:pStyle w:val="ListBullet"/>
      </w:pPr>
      <w:r>
        <w:t>Codificación: sexo, actividad, alcohol, diabetes, ACV, renal, dificultad para caminar → binarias; edad y salud general → ordinales; tabaquismo → Never/Current (el cleaned 2020 no distingue Former).</w:t>
      </w:r>
    </w:p>
    <w:p>
      <w:pPr>
        <w:pStyle w:val="ListBullet"/>
      </w:pPr>
      <w:r>
        <w:t>Recorte de IMC en p1–p99 (17,74–49,23); sueño 1–24; días de salud 0–30.</w:t>
      </w:r>
    </w:p>
    <w:p>
      <w:pPr>
        <w:pStyle w:val="ListBullet"/>
      </w:pPr>
      <w:r>
        <w:t>**Partición:** 80 % train / 20 % test, estratificada, `random_state=42` → 230.129 / 57.533.</w:t>
      </w:r>
    </w:p>
    <w:p>
      <w:pPr>
        <w:pStyle w:val="ListBullet"/>
      </w:pPr>
      <w:r>
        <w:t>El test **no se usó** hasta la evaluación final.</w:t>
      </w:r>
    </w:p>
    <w:p>
      <w:pPr>
        <w:pStyle w:val="ListBullet"/>
      </w:pPr>
      <w:r>
        <w:t>Validación: CV estratificada de 5 pliegues dentro de train.</w:t>
      </w:r>
    </w:p>
    <w:p>
      <w:pPr>
        <w:pStyle w:val="Heading2"/>
      </w:pPr>
      <w:r>
        <w:t>5.3 Entrenamiento e hiperparámetros</w:t>
      </w:r>
    </w:p>
    <w:p>
      <w:pPr>
        <w:pStyle w:val="ListBullet"/>
      </w:pPr>
      <w:r>
        <w:t>**LR:** `StandardScaler` + `LogisticRegression(class_weight='balanced')`. Búsqueda aleatoria sobre `C` (12 candidatos × 5 folds).</w:t>
      </w:r>
    </w:p>
    <w:p>
      <w:r>
        <w:t xml:space="preserve">  - Mejor CV AUC-ROC: 0,8307 con C=0,001.</w:t>
      </w:r>
    </w:p>
    <w:p>
      <w:pPr>
        <w:pStyle w:val="ListBullet"/>
      </w:pPr>
      <w:r>
        <w:t>**XGBoost:** `scale_pos_weight ≈ 9,59`, `RandomizedSearchCV` (15 iteraciones × 5 folds) sobre profundidad, learning rate, subsample, etc.</w:t>
      </w:r>
    </w:p>
    <w:p>
      <w:r>
        <w:t xml:space="preserve">  - Mejor CV AUC-ROC: 0,8336 con max_depth=3, learning_rate=0,05, n_estimators=300, subsample=1,0, colsample_bytree=0,85, reg_lambda=5, gamma=0,5.</w:t>
      </w:r>
    </w:p>
    <w:p>
      <w:pPr>
        <w:pStyle w:val="Heading2"/>
      </w:pPr>
      <w:r>
        <w:t>5.4 Métricas y umbrales</w:t>
      </w:r>
    </w:p>
    <w:p>
      <w:r>
        <w:t>Prioridad clínica: sensibilidad (no dejar pasar casos de riesgo). Se reportan AUC-ROC (con IC 95 % bootstrap), AUC-PR, F1, especificidad, Brier. Exactitud se informa pero no decide (clase mayoritaria ~91 %).</w:t>
      </w:r>
    </w:p>
    <w:p>
      <w:r>
        <w:t>Umbral de tamizaje: el que logra sensibilidad ≥ 0,80 maximizando F1.</w:t>
      </w:r>
    </w:p>
    <w:p>
      <w:r>
        <w:t>Umbral alto: especificidad ≥ 0,90.</w:t>
      </w:r>
    </w:p>
    <w:p>
      <w:r>
        <w:t>Criterio de selección: mayor AUC-ROC en test; si |Δ| &lt; 0,01 → preferir logística.</w:t>
      </w:r>
    </w:p>
    <w:p>
      <w:pPr>
        <w:pStyle w:val="Heading1"/>
      </w:pPr>
      <w:r>
        <w:t>6. Resultados</w:t>
      </w:r>
    </w:p>
    <w:p>
      <w:pPr>
        <w:pStyle w:val="Heading2"/>
      </w:pPr>
      <w:r>
        <w:t>6.1 Comparación en conjunto de prueba (n = 57.533)</w:t>
      </w:r>
    </w:p>
    <w:p>
      <w:r>
        <w:t>| Modelo | AUC-ROC | IC 95 % | AUC-PR | F1 (tamizaje) | Sens. | Espec. | Brier |</w:t>
      </w:r>
    </w:p>
    <w:p>
      <w:r>
        <w:t>|--------|--------:|---------|-------:|--------------:|------:|-------:|------:|</w:t>
      </w:r>
    </w:p>
    <w:p>
      <w:r>
        <w:t>| Regresión logística | **0,8323** | [0,8271; 0,8369] | 0,3502 | 0,3489 | 0,8031 | 0,7082 | 0,1716 |</w:t>
      </w:r>
    </w:p>
    <w:p>
      <w:r>
        <w:t>| XGBoost | **0,8355** | [0,8306; 0,8402] | 0,3557 | 0,3523 | 0,8098 | 0,7095 | 0,1724 |</w:t>
      </w:r>
    </w:p>
    <w:p>
      <w:r>
        <w:t>Figuras: reports/figures/roc_curves.png, pr_curves.png, model_comparison.png.</w:t>
      </w:r>
    </w:p>
    <w:p>
      <w:pPr>
        <w:pStyle w:val="Heading2"/>
      </w:pPr>
      <w:r>
        <w:t>6.2 Selección</w:t>
      </w:r>
    </w:p>
    <w:p>
      <w:r>
        <w:t>Δ AUC-ROC (XGBoost − LR) ≈ 0,0032 &lt; 0,01.</w:t>
      </w:r>
    </w:p>
    <w:p>
      <w:r>
        <w:t>Modelo seleccionado: regresión logística, por desempeño casi idéntico y mayor interpretabilidad para uso en campo.</w:t>
      </w:r>
    </w:p>
    <w:p>
      <w:r>
        <w:t>Umbrales (logística): tamizaje ≈ 0,47 (sens. 0,80); alto ≈ 0,71 (espec. 0,90).</w:t>
      </w:r>
    </w:p>
    <w:p>
      <w:pPr>
        <w:pStyle w:val="Heading2"/>
      </w:pPr>
      <w:r>
        <w:t>6.3 Interpretabilidad</w:t>
      </w:r>
    </w:p>
    <w:p>
      <w:r>
        <w:t>Odds ratios (logística, top): AgeCategory 2,69 · GeneralHealth 1,63 · Sex (hombre) 1,42 · HadStroke 1,26 · SmokerStatus 1,20 · HadDiabetes 1,17 · HadKidneyDisease 1,12 · DifficultyWalking 1,09.</w:t>
      </w:r>
    </w:p>
    <w:p>
      <w:r>
        <w:t>Importancia XGBoost (top): AgeCategory, DifficultyWalking, GeneralHealth, HadStroke, HadDiabetes, Sex.</w:t>
      </w:r>
    </w:p>
    <w:p>
      <w:r>
        <w:t>Coincide con la literatura (edad, salud percibida, sexo, diabetes/ACV).</w:t>
      </w:r>
    </w:p>
    <w:p>
      <w:pPr>
        <w:pStyle w:val="Heading2"/>
      </w:pPr>
      <w:r>
        <w:t>6.4 Limitaciones</w:t>
      </w:r>
    </w:p>
    <w:p>
      <w:pPr>
        <w:pStyle w:val="ListNumber"/>
      </w:pPr>
      <w:r>
        <w:t>1. Datos de EE. UU. (BRFSS); no se recalibró aún a prevalencia colombiana.</w:t>
      </w:r>
    </w:p>
    <w:p>
      <w:pPr>
        <w:pStyle w:val="ListNumber"/>
      </w:pPr>
      <w:r>
        <w:t>2. Sin `_URBSTAT` en el CSV cleaned → evaluación rural pendiente (fase 3 / archivo CDC).</w:t>
      </w:r>
    </w:p>
    <w:p>
      <w:pPr>
        <w:pStyle w:val="ListNumber"/>
      </w:pPr>
      <w:r>
        <w:t>3. Variable objetivo autoreportada (sesgo de recuerdo).</w:t>
      </w:r>
    </w:p>
    <w:p>
      <w:pPr>
        <w:pStyle w:val="ListNumber"/>
      </w:pPr>
      <w:r>
        <w:t>4. Tabaquismo sin categoría “exfumador” en esta versión cleaned.</w:t>
      </w:r>
    </w:p>
    <w:p>
      <w:pPr>
        <w:pStyle w:val="ListNumber"/>
      </w:pPr>
      <w:r>
        <w:t>5. AUC-PR ~0,35 refleja el desbalance; la sensibilidad prioritaria se logró vía umbral.</w:t>
      </w:r>
    </w:p>
    <w:p>
      <w:pPr>
        <w:pStyle w:val="Heading1"/>
      </w:pPr>
      <w:r>
        <w:t>7. Repositorio y reproducibilidad</w:t>
      </w:r>
    </w:p>
    <w:p>
      <w:r>
        <w:t>pip install -r requirements.txt</w:t>
      </w:r>
    </w:p>
    <w:p>
      <w:r>
        <w:t>python scripts/run_pipeline.py</w:t>
      </w:r>
    </w:p>
    <w:p>
      <w:r>
        <w:t>streamlit run app/streamlit_app.py --server.port 8505</w:t>
      </w:r>
    </w:p>
    <w:p>
      <w:r>
        <w:t>Artefactos: models/*.joblib, models/experiment.json, reports/metrics.json, figuras y este documento. Control de versiones con commits sucesivos (scaffold → entrenamiento → informe).</w:t>
      </w:r>
    </w:p>
    <w:p>
      <w:pPr>
        <w:pStyle w:val="Heading1"/>
      </w:pPr>
      <w:r>
        <w:t>8. Conclusiones y próximos pasos</w:t>
      </w:r>
    </w:p>
    <w:p>
      <w:r>
        <w:t>Se cumplió el núcleo de la Fase 2: preprocesamiento, dos modelos justificados, tuning documentado y evaluación comparativa. XGBoost gana por un margen mínimo; la logística queda como modelo operativo por el criterio de parsimonia.</w:t>
      </w:r>
    </w:p>
    <w:p>
      <w:r>
        <w:t>Fase 3: recalibración a Colombia (RIPS/CAC), análisis por subgrupo rural con BRFSS original, SHAP detallado, lineamientos de uso del prototipo y artículo/póster.</w:t>
      </w:r>
    </w:p>
    <w:p>
      <w:pPr>
        <w:pStyle w:val="Heading1"/>
      </w:pPr>
      <w:r>
        <w:t>Referencias (principales)</w:t>
      </w:r>
    </w:p>
    <w:p>
      <w:r>
        <w:t>Agudelo et al. (2025); Ahiduzzaman y Hasan (2025); Imani et al. (2026); Xi et al. (2022); Chen y Guestrin (2016); Chawla et al. (2002); CDC BRFSS; MinSalud; Zurique-Sánchez et al. (2019). Lista completa en la propuesta de fase 1 y en el .docx original del equipo.</w:t>
      </w:r>
    </w:p>
    <w:p>
      <w:pPr>
        <w:pStyle w:val="Heading1"/>
      </w:pPr>
      <w:r>
        <w:t>Anexo: figuras experimentales</w:t>
      </w:r>
    </w:p>
    <w:p>
      <w:r>
        <w:t>model_comparison.png</w:t>
      </w:r>
    </w:p>
    <w:p>
      <w:r>
        <w:drawing>
          <wp:inline xmlns:a="http://schemas.openxmlformats.org/drawingml/2006/main" xmlns:pic="http://schemas.openxmlformats.org/drawingml/2006/picture">
            <wp:extent cx="5029200" cy="279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pr_curves.png</w:t>
      </w:r>
    </w:p>
    <w:p>
      <w:r>
        <w:drawing>
          <wp:inline xmlns:a="http://schemas.openxmlformats.org/drawingml/2006/main" xmlns:pic="http://schemas.openxmlformats.org/drawingml/2006/picture">
            <wp:extent cx="5029200" cy="3592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9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roc_curves.png</w:t>
      </w:r>
    </w:p>
    <w:p>
      <w:r>
        <w:drawing>
          <wp:inline xmlns:a="http://schemas.openxmlformats.org/drawingml/2006/main" xmlns:pic="http://schemas.openxmlformats.org/drawingml/2006/picture">
            <wp:extent cx="5029200" cy="3592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9228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