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rPr>
        <w:drawing>
          <wp:inline distB="0" distT="0" distL="0" distR="0">
            <wp:extent cx="994867" cy="1337361"/>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Proyecto </w:t>
      </w:r>
      <w:r w:rsidDel="00000000" w:rsidR="00000000" w:rsidRPr="00000000">
        <w:rPr>
          <w:rFonts w:ascii="Times New Roman" w:cs="Times New Roman" w:eastAsia="Times New Roman" w:hAnsi="Times New Roman"/>
          <w:b w:val="1"/>
          <w:bCs w:val="1"/>
          <w:i w:val="1"/>
          <w:iCs w:val="1"/>
          <w:sz w:val="36"/>
          <w:szCs w:val="36"/>
          <w:rtl w:val="0"/>
        </w:rPr>
        <w:t xml:space="preserve">Monitor de Salud de Base de datos</w:t>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color w:val="5b9bd5"/>
          <w:sz w:val="16"/>
          <w:szCs w:val="16"/>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Patrick José Cuadros Quiroga</w:t>
      </w: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0">
      <w:pPr>
        <w:spacing w:after="0" w:line="36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Espinoza Castañeda Ariana Byanca Sofia – 2022073904</w:t>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Vargas Candia, Hashira Belén – 2022075480</w:t>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8">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sz w:val="32"/>
          <w:szCs w:val="32"/>
          <w:rtl w:val="0"/>
        </w:rPr>
        <w:t xml:space="preserve">2026</w:t>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1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2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10/10/2020</w:t>
            </w:r>
          </w:p>
        </w:tc>
        <w:tc>
          <w:tcPr>
            <w:shd w:fill="auto" w:val="clear"/>
            <w:vAlign w:val="center"/>
          </w:tcPr>
          <w:p w:rsidR="00000000" w:rsidDel="00000000" w:rsidP="00000000" w:rsidRDefault="00000000" w:rsidRPr="00000000" w14:paraId="0000002A">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2B">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D">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E">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F">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0">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1">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2">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rtl w:val="0"/>
        </w:rPr>
        <w:t xml:space="preserve">Monitor de Salud de Base de datos</w:t>
      </w: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Especificación de Requerimientos de Software</w:t>
      </w:r>
    </w:p>
    <w:p w:rsidR="00000000" w:rsidDel="00000000" w:rsidP="00000000" w:rsidRDefault="00000000" w:rsidRPr="00000000" w14:paraId="0000003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10/10/2020</w:t>
            </w:r>
          </w:p>
        </w:tc>
        <w:tc>
          <w:tcPr>
            <w:shd w:fill="auto" w:val="clear"/>
            <w:vAlign w:val="center"/>
          </w:tcPr>
          <w:p w:rsidR="00000000" w:rsidDel="00000000" w:rsidP="00000000" w:rsidRDefault="00000000" w:rsidRPr="00000000" w14:paraId="0000004D">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4E">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r w:rsidDel="00000000" w:rsidR="00000000" w:rsidRPr="00000000">
        <w:rPr>
          <w:rtl w:val="0"/>
        </w:rPr>
      </w:r>
    </w:p>
    <w:sdt>
      <w:sdtPr>
        <w:id w:val="818169787"/>
        <w:docPartObj>
          <w:docPartGallery w:val="Table of Contents"/>
          <w:docPartUnique w:val="1"/>
        </w:docPartObj>
      </w:sdtPr>
      <w:sdtContent>
        <w:p w:rsidR="00000000" w:rsidDel="00000000" w:rsidP="00000000" w:rsidRDefault="00000000" w:rsidRPr="00000000" w14:paraId="00000051">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b8hoi94cumt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wmx1bpkhx4l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Generalidades de la Empresa</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wwrotjrnsm9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Nombre de la Empresa:</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3l772lotx7r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Visión:</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i21mehp788h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Misión:</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t3t75bggpkh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Organigrama:</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m36dodapndi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Visionamiento de la Empresa</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uzibkbhp5m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Descripción del Problema:</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ta5h34ockj3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Objetivos de Negocios:</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xe8wxx69mdc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Objetivos de Diseño:</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8sav9m7dvdm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Alcance del Proyecto:</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3rcve3rz6i2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Análisis de Riesgos (Matriz de Mitigación):</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t314mct417a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Viabilidad del Sistema:</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kbhcg1gv2h5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Infraestructura Tecnológica:</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587i9hp21x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Análisis de Procesos</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dsyihut86ku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Diagrama del Proceso Actual (Reactivo)</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f34zbxn994j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Diagrama del Proceso Propuesto (Proactivo)</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k4w8lf6s028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Especificación de Requerimientos de Software</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cev84d7numf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Cuadro de Requerimientos Funcionales Final</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r4105a8j2w5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Cuadro de Requerimientos No Funcionales</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n6pg9j3qa7g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Reglas de Negocio</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7vt7wmryx9l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 Fase de Desarrollo</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u2s79sihchd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Perfiles de Usuario:</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ai594vmpgze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Modelo Conceptual:</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c9msdfdmetv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Diagrama de Paquetes</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tfa1fs53ep6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Diagrama de Casos de Uso</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sb86wzs8n65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Escenarios de Caso de Uso: Generación de Alerta por CPU alta</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wqkl2hhry8m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Modelo Lógico:</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mfcmxzynffk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Diagrama de Secuencia: Recolección y Notificación</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3y39tcl69qw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Diagrama de Clases</w:t>
              <w:tab/>
              <w:t xml:space="preserve">10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iqxgwrgftty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RECOMENDACIONES</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5c9s9zhiq53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BIBLIOGRAFÍA / WEBGRAFÍA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spacing w:after="240" w:befor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240" w:before="240" w:lineRule="auto"/>
        <w:jc w:val="both"/>
        <w:rPr>
          <w:rFonts w:ascii="Times New Roman" w:cs="Times New Roman" w:eastAsia="Times New Roman" w:hAnsi="Times New Roman"/>
          <w:color w:val="000000"/>
          <w:sz w:val="28"/>
          <w:szCs w:val="28"/>
        </w:rPr>
      </w:pPr>
      <w:bookmarkStart w:colFirst="0" w:colLast="0" w:name="_heading=h.b8hoi94cumtw" w:id="0"/>
      <w:bookmarkEnd w:id="0"/>
      <w:r w:rsidDel="00000000" w:rsidR="00000000" w:rsidRPr="00000000">
        <w:rPr>
          <w:rFonts w:ascii="Times New Roman" w:cs="Times New Roman" w:eastAsia="Times New Roman" w:hAnsi="Times New Roman"/>
          <w:color w:val="000000"/>
          <w:sz w:val="28"/>
          <w:szCs w:val="28"/>
          <w:rtl w:val="0"/>
        </w:rPr>
        <w:t xml:space="preserve">INTRODUCCIÓN</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panorama actual de la gestión de infraestructuras críticas, la administración de bases de datos ha trascendido la mera custodia de información para convertirse en un pilar estratégico de la continuidad del negocio. La observabilidad, entendida como la capacidad de inferir el estado interno de un sistema a partir de sus datos externos, es hoy una necesidad técnica imperativa. El proyecto </w:t>
      </w:r>
      <w:r w:rsidDel="00000000" w:rsidR="00000000" w:rsidRPr="00000000">
        <w:rPr>
          <w:rFonts w:ascii="Times New Roman" w:cs="Times New Roman" w:eastAsia="Times New Roman" w:hAnsi="Times New Roman"/>
          <w:b w:val="1"/>
          <w:bCs w:val="1"/>
          <w:sz w:val="24"/>
          <w:szCs w:val="24"/>
          <w:rtl w:val="0"/>
        </w:rPr>
        <w:t xml:space="preserve">Monitor de Salud de Base de Datos (MSBDD)</w:t>
      </w:r>
      <w:r w:rsidDel="00000000" w:rsidR="00000000" w:rsidRPr="00000000">
        <w:rPr>
          <w:rFonts w:ascii="Times New Roman" w:cs="Times New Roman" w:eastAsia="Times New Roman" w:hAnsi="Times New Roman"/>
          <w:sz w:val="24"/>
          <w:szCs w:val="24"/>
          <w:rtl w:val="0"/>
        </w:rPr>
        <w:t xml:space="preserve"> surge como una respuesta técnica avanzada ante la obsolescencia del mantenimiento reactivo. Esta solución propone una transición hacia un paradigma proactivo, donde la detección temprana de anomalías precede al impacto en el usuario final. El presente documento detalla el diseño arquitectónico y el análisis de factibilidad del sistema MSBDD para la Universidad Privada de Tacna (UPT), fundamentando por qué esta infraestructura es la respuesta óptima a los desafíos de diagnóstico modernos. Para comprender la solidez de la propuesta, es necesario primero establecer los cimientos institucionales que la sustentan.</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keepNext w:val="0"/>
        <w:keepLines w:val="0"/>
        <w:jc w:val="both"/>
        <w:rPr>
          <w:rFonts w:ascii="Times New Roman" w:cs="Times New Roman" w:eastAsia="Times New Roman" w:hAnsi="Times New Roman"/>
          <w:sz w:val="28"/>
          <w:szCs w:val="28"/>
        </w:rPr>
      </w:pPr>
      <w:bookmarkStart w:colFirst="0" w:colLast="0" w:name="_heading=h.wmx1bpkhx4lg" w:id="1"/>
      <w:bookmarkEnd w:id="1"/>
      <w:r w:rsidDel="00000000" w:rsidR="00000000" w:rsidRPr="00000000">
        <w:rPr>
          <w:rFonts w:ascii="Times New Roman" w:cs="Times New Roman" w:eastAsia="Times New Roman" w:hAnsi="Times New Roman"/>
          <w:sz w:val="34"/>
          <w:szCs w:val="34"/>
          <w:rtl w:val="0"/>
        </w:rPr>
        <w:t xml:space="preserve">I. </w:t>
      </w:r>
      <w:r w:rsidDel="00000000" w:rsidR="00000000" w:rsidRPr="00000000">
        <w:rPr>
          <w:rFonts w:ascii="Times New Roman" w:cs="Times New Roman" w:eastAsia="Times New Roman" w:hAnsi="Times New Roman"/>
          <w:sz w:val="28"/>
          <w:szCs w:val="28"/>
          <w:rtl w:val="0"/>
        </w:rPr>
        <w:t xml:space="preserve">Generalidades de la Empresa</w:t>
      </w:r>
    </w:p>
    <w:p w:rsidR="00000000" w:rsidDel="00000000" w:rsidP="00000000" w:rsidRDefault="00000000" w:rsidRPr="00000000" w14:paraId="00000076">
      <w:pPr>
        <w:pStyle w:val="Heading3"/>
        <w:numPr>
          <w:ilvl w:val="0"/>
          <w:numId w:val="1"/>
        </w:numPr>
        <w:spacing w:after="240" w:before="240" w:lineRule="auto"/>
        <w:ind w:left="720" w:hanging="360"/>
        <w:jc w:val="both"/>
        <w:rPr>
          <w:rFonts w:ascii="Times New Roman" w:cs="Times New Roman" w:eastAsia="Times New Roman" w:hAnsi="Times New Roman"/>
        </w:rPr>
      </w:pPr>
      <w:bookmarkStart w:colFirst="0" w:colLast="0" w:name="_heading=h.wwrotjrnsm9a" w:id="2"/>
      <w:bookmarkEnd w:id="2"/>
      <w:r w:rsidDel="00000000" w:rsidR="00000000" w:rsidRPr="00000000">
        <w:rPr>
          <w:rFonts w:ascii="Times New Roman" w:cs="Times New Roman" w:eastAsia="Times New Roman" w:hAnsi="Times New Roman"/>
          <w:sz w:val="24"/>
          <w:szCs w:val="24"/>
          <w:rtl w:val="0"/>
        </w:rPr>
        <w:t xml:space="preserve">Nombre de la Empresa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denomina "Monitor de Salud de Base de Datos - MSBDD", vinculado académicamente a la Escuela Profesional de Ingeniería de Sistemas (EPIS) de la Universidad Privada de Tacna (UPT).</w:t>
      </w:r>
    </w:p>
    <w:p w:rsidR="00000000" w:rsidDel="00000000" w:rsidP="00000000" w:rsidRDefault="00000000" w:rsidRPr="00000000" w14:paraId="00000078">
      <w:pPr>
        <w:pStyle w:val="Heading3"/>
        <w:numPr>
          <w:ilvl w:val="0"/>
          <w:numId w:val="1"/>
        </w:numPr>
        <w:spacing w:after="240" w:before="240" w:lineRule="auto"/>
        <w:ind w:left="720" w:hanging="360"/>
        <w:jc w:val="both"/>
        <w:rPr>
          <w:rFonts w:ascii="Times New Roman" w:cs="Times New Roman" w:eastAsia="Times New Roman" w:hAnsi="Times New Roman"/>
        </w:rPr>
      </w:pPr>
      <w:bookmarkStart w:colFirst="0" w:colLast="0" w:name="_heading=h.3l772lotx7rl" w:id="3"/>
      <w:bookmarkEnd w:id="3"/>
      <w:r w:rsidDel="00000000" w:rsidR="00000000" w:rsidRPr="00000000">
        <w:rPr>
          <w:rFonts w:ascii="Times New Roman" w:cs="Times New Roman" w:eastAsia="Times New Roman" w:hAnsi="Times New Roman"/>
          <w:sz w:val="24"/>
          <w:szCs w:val="24"/>
          <w:rtl w:val="0"/>
        </w:rPr>
        <w:t xml:space="preserve">Visión: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el referente regional en la democratización del monitoreo de bases de datos, permitiendo que instituciones académicas y PYMES accedan a herramientas de observabilidad de nivel empresarial sin las barreras prohibitivas de las licencias comerciales.</w:t>
      </w:r>
    </w:p>
    <w:p w:rsidR="00000000" w:rsidDel="00000000" w:rsidP="00000000" w:rsidRDefault="00000000" w:rsidRPr="00000000" w14:paraId="0000007A">
      <w:pPr>
        <w:pStyle w:val="Heading3"/>
        <w:numPr>
          <w:ilvl w:val="0"/>
          <w:numId w:val="1"/>
        </w:numPr>
        <w:spacing w:after="240" w:before="240" w:lineRule="auto"/>
        <w:ind w:left="720" w:hanging="360"/>
        <w:jc w:val="both"/>
        <w:rPr>
          <w:rFonts w:ascii="Times New Roman" w:cs="Times New Roman" w:eastAsia="Times New Roman" w:hAnsi="Times New Roman"/>
        </w:rPr>
      </w:pPr>
      <w:bookmarkStart w:colFirst="0" w:colLast="0" w:name="_heading=h.i21mehp788ht" w:id="4"/>
      <w:bookmarkEnd w:id="4"/>
      <w:r w:rsidDel="00000000" w:rsidR="00000000" w:rsidRPr="00000000">
        <w:rPr>
          <w:rFonts w:ascii="Times New Roman" w:cs="Times New Roman" w:eastAsia="Times New Roman" w:hAnsi="Times New Roman"/>
          <w:sz w:val="24"/>
          <w:szCs w:val="24"/>
          <w:rtl w:val="0"/>
        </w:rPr>
        <w:t xml:space="preserve">Misión: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Proveer una solución de código abierto, ligera y altamente eficiente para la supervisión en tiempo real de instancias PostgreSQL, optimizando la salud del motor mediante la captura precisa de métricas y diagnósticos preventivos.</w:t>
      </w:r>
    </w:p>
    <w:p w:rsidR="00000000" w:rsidDel="00000000" w:rsidP="00000000" w:rsidRDefault="00000000" w:rsidRPr="00000000" w14:paraId="0000007C">
      <w:pPr>
        <w:pStyle w:val="Heading3"/>
        <w:numPr>
          <w:ilvl w:val="0"/>
          <w:numId w:val="1"/>
        </w:numPr>
        <w:spacing w:after="240" w:before="240" w:lineRule="auto"/>
        <w:ind w:left="720" w:hanging="360"/>
        <w:jc w:val="both"/>
        <w:rPr>
          <w:rFonts w:ascii="Times New Roman" w:cs="Times New Roman" w:eastAsia="Times New Roman" w:hAnsi="Times New Roman"/>
        </w:rPr>
      </w:pPr>
      <w:bookmarkStart w:colFirst="0" w:colLast="0" w:name="_heading=h.t3t75bggpkhv" w:id="5"/>
      <w:bookmarkEnd w:id="5"/>
      <w:r w:rsidDel="00000000" w:rsidR="00000000" w:rsidRPr="00000000">
        <w:rPr>
          <w:rFonts w:ascii="Times New Roman" w:cs="Times New Roman" w:eastAsia="Times New Roman" w:hAnsi="Times New Roman"/>
          <w:sz w:val="24"/>
          <w:szCs w:val="24"/>
          <w:rtl w:val="0"/>
        </w:rPr>
        <w:t xml:space="preserve">Organigrama: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ejecución del proyecto sigue una estructura de ingeniería ágil bajo supervisión experta:</w:t>
      </w:r>
    </w:p>
    <w:p w:rsidR="00000000" w:rsidDel="00000000" w:rsidP="00000000" w:rsidRDefault="00000000" w:rsidRPr="00000000" w14:paraId="0000007E">
      <w:pPr>
        <w:numPr>
          <w:ilvl w:val="1"/>
          <w:numId w:val="1"/>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 Supervisor:</w:t>
      </w:r>
      <w:r w:rsidDel="00000000" w:rsidR="00000000" w:rsidRPr="00000000">
        <w:rPr>
          <w:rFonts w:ascii="Times New Roman" w:cs="Times New Roman" w:eastAsia="Times New Roman" w:hAnsi="Times New Roman"/>
          <w:sz w:val="24"/>
          <w:szCs w:val="24"/>
          <w:rtl w:val="0"/>
        </w:rPr>
        <w:t xml:space="preserve"> Patrick José Cuadros Quiroga.</w:t>
      </w:r>
    </w:p>
    <w:p w:rsidR="00000000" w:rsidDel="00000000" w:rsidP="00000000" w:rsidRDefault="00000000" w:rsidRPr="00000000" w14:paraId="0000007F">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Equipo de Proyecto:</w:t>
      </w:r>
    </w:p>
    <w:p w:rsidR="00000000" w:rsidDel="00000000" w:rsidP="00000000" w:rsidRDefault="00000000" w:rsidRPr="00000000" w14:paraId="00000080">
      <w:pPr>
        <w:numPr>
          <w:ilvl w:val="2"/>
          <w:numId w:val="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Ariana Byanca Sofia Espinoza Castañeda:</w:t>
      </w:r>
      <w:r w:rsidDel="00000000" w:rsidR="00000000" w:rsidRPr="00000000">
        <w:rPr>
          <w:rFonts w:ascii="Times New Roman" w:cs="Times New Roman" w:eastAsia="Times New Roman" w:hAnsi="Times New Roman"/>
          <w:sz w:val="24"/>
          <w:szCs w:val="24"/>
          <w:rtl w:val="0"/>
        </w:rPr>
        <w:t xml:space="preserve"> Analista / Desarrolladora / Tester.</w:t>
      </w:r>
    </w:p>
    <w:p w:rsidR="00000000" w:rsidDel="00000000" w:rsidP="00000000" w:rsidRDefault="00000000" w:rsidRPr="00000000" w14:paraId="00000081">
      <w:pPr>
        <w:numPr>
          <w:ilvl w:val="2"/>
          <w:numId w:val="1"/>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Hashira Belén Vargas Candia:</w:t>
      </w:r>
      <w:r w:rsidDel="00000000" w:rsidR="00000000" w:rsidRPr="00000000">
        <w:rPr>
          <w:rFonts w:ascii="Times New Roman" w:cs="Times New Roman" w:eastAsia="Times New Roman" w:hAnsi="Times New Roman"/>
          <w:sz w:val="24"/>
          <w:szCs w:val="24"/>
          <w:rtl w:val="0"/>
        </w:rPr>
        <w:t xml:space="preserve"> Desarrolladora / Analista / Tester.</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de este equipo permite una agilidad de desarrollo superior a las estructuras jerárquicas tradicionales. Al integrar roles de análisis y desarrollo en perfiles polivalentes, se minimiza la fricción en el traspaso de requerimientos. Esta estructura es ideal para un ciclo de desarrollo de 4 meses, garantizando que el diseño arquitectónico sea implementado con fidelidad técnica y validado rigurosamente en la fase de pruebas.</w:t>
      </w:r>
    </w:p>
    <w:p w:rsidR="00000000" w:rsidDel="00000000" w:rsidP="00000000" w:rsidRDefault="00000000" w:rsidRPr="00000000" w14:paraId="00000083">
      <w:pPr>
        <w:pStyle w:val="Heading2"/>
        <w:keepNext w:val="0"/>
        <w:keepLines w:val="0"/>
        <w:jc w:val="both"/>
        <w:rPr>
          <w:rFonts w:ascii="Times New Roman" w:cs="Times New Roman" w:eastAsia="Times New Roman" w:hAnsi="Times New Roman"/>
          <w:sz w:val="34"/>
          <w:szCs w:val="34"/>
        </w:rPr>
      </w:pPr>
      <w:bookmarkStart w:colFirst="0" w:colLast="0" w:name="_heading=h.m36dodapndi6" w:id="6"/>
      <w:bookmarkEnd w:id="6"/>
      <w:r w:rsidDel="00000000" w:rsidR="00000000" w:rsidRPr="00000000">
        <w:rPr>
          <w:rFonts w:ascii="Times New Roman" w:cs="Times New Roman" w:eastAsia="Times New Roman" w:hAnsi="Times New Roman"/>
          <w:sz w:val="34"/>
          <w:szCs w:val="34"/>
          <w:rtl w:val="0"/>
        </w:rPr>
        <w:t xml:space="preserve">II. Visionamiento de la Empresa</w:t>
      </w:r>
    </w:p>
    <w:p w:rsidR="00000000" w:rsidDel="00000000" w:rsidP="00000000" w:rsidRDefault="00000000" w:rsidRPr="00000000" w14:paraId="00000084">
      <w:pPr>
        <w:pStyle w:val="Heading3"/>
        <w:numPr>
          <w:ilvl w:val="0"/>
          <w:numId w:val="3"/>
        </w:numPr>
        <w:spacing w:after="240" w:before="240" w:lineRule="auto"/>
        <w:ind w:left="720" w:hanging="360"/>
        <w:jc w:val="both"/>
        <w:rPr>
          <w:sz w:val="24"/>
          <w:szCs w:val="24"/>
        </w:rPr>
      </w:pPr>
      <w:bookmarkStart w:colFirst="0" w:colLast="0" w:name="_heading=h.uzibkbhp5ml" w:id="7"/>
      <w:bookmarkEnd w:id="7"/>
      <w:r w:rsidDel="00000000" w:rsidR="00000000" w:rsidRPr="00000000">
        <w:rPr>
          <w:rFonts w:ascii="Times New Roman" w:cs="Times New Roman" w:eastAsia="Times New Roman" w:hAnsi="Times New Roman"/>
          <w:sz w:val="24"/>
          <w:szCs w:val="24"/>
          <w:rtl w:val="0"/>
        </w:rPr>
        <w:t xml:space="preserve">Descripción del Problema:</w:t>
      </w:r>
    </w:p>
    <w:p w:rsidR="00000000" w:rsidDel="00000000" w:rsidP="00000000" w:rsidRDefault="00000000" w:rsidRPr="00000000" w14:paraId="0000008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brecha crítica entre la formación teórica en administración de bases de datos y la práctica real de un DBA. En entornos académicos y pequeñas organizaciones, la gestión es predominantemente reactiva debido a la falta de herramientas accesibles, lo que resulta en tiempos de inactividad prolongados y falta de visibilidad sobre el rendimiento del motor.</w:t>
      </w:r>
    </w:p>
    <w:p w:rsidR="00000000" w:rsidDel="00000000" w:rsidP="00000000" w:rsidRDefault="00000000" w:rsidRPr="00000000" w14:paraId="00000086">
      <w:pPr>
        <w:pStyle w:val="Heading3"/>
        <w:numPr>
          <w:ilvl w:val="0"/>
          <w:numId w:val="3"/>
        </w:numPr>
        <w:spacing w:after="240" w:before="240" w:lineRule="auto"/>
        <w:ind w:left="720" w:hanging="360"/>
        <w:jc w:val="both"/>
        <w:rPr/>
      </w:pPr>
      <w:bookmarkStart w:colFirst="0" w:colLast="0" w:name="_heading=h.ta5h34ockj3g" w:id="8"/>
      <w:bookmarkEnd w:id="8"/>
      <w:r w:rsidDel="00000000" w:rsidR="00000000" w:rsidRPr="00000000">
        <w:rPr>
          <w:rFonts w:ascii="Times New Roman" w:cs="Times New Roman" w:eastAsia="Times New Roman" w:hAnsi="Times New Roman"/>
          <w:sz w:val="24"/>
          <w:szCs w:val="24"/>
          <w:rtl w:val="0"/>
        </w:rPr>
        <w:t xml:space="preserve">Objetivos de Negocios:</w:t>
      </w:r>
    </w:p>
    <w:p w:rsidR="00000000" w:rsidDel="00000000" w:rsidP="00000000" w:rsidRDefault="00000000" w:rsidRPr="00000000" w14:paraId="0000008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disponibilidad, integridad y rendimiento óptimo de los motores PostgreSQL mediante una supervisión automatizada que elimine la dependencia de reportes de fallos manuales.</w:t>
      </w:r>
    </w:p>
    <w:p w:rsidR="00000000" w:rsidDel="00000000" w:rsidP="00000000" w:rsidRDefault="00000000" w:rsidRPr="00000000" w14:paraId="00000088">
      <w:pPr>
        <w:pStyle w:val="Heading3"/>
        <w:numPr>
          <w:ilvl w:val="0"/>
          <w:numId w:val="3"/>
        </w:numPr>
        <w:spacing w:after="0" w:afterAutospacing="0" w:before="240" w:lineRule="auto"/>
        <w:ind w:left="720" w:hanging="360"/>
        <w:jc w:val="both"/>
        <w:rPr>
          <w:sz w:val="24"/>
          <w:szCs w:val="24"/>
        </w:rPr>
      </w:pPr>
      <w:bookmarkStart w:colFirst="0" w:colLast="0" w:name="_heading=h.xe8wxx69mdch" w:id="9"/>
      <w:bookmarkEnd w:id="9"/>
      <w:r w:rsidDel="00000000" w:rsidR="00000000" w:rsidRPr="00000000">
        <w:rPr>
          <w:rFonts w:ascii="Times New Roman" w:cs="Times New Roman" w:eastAsia="Times New Roman" w:hAnsi="Times New Roman"/>
          <w:sz w:val="24"/>
          <w:szCs w:val="24"/>
          <w:rtl w:val="0"/>
        </w:rPr>
        <w:t xml:space="preserve">Objetivos de Diseño:</w:t>
      </w:r>
    </w:p>
    <w:p w:rsidR="00000000" w:rsidDel="00000000" w:rsidP="00000000" w:rsidRDefault="00000000" w:rsidRPr="00000000" w14:paraId="00000089">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recolección de KPIs (CPU, memoria, conexiones) con baja sobrecarga.</w:t>
      </w:r>
    </w:p>
    <w:p w:rsidR="00000000" w:rsidDel="00000000" w:rsidP="00000000" w:rsidRDefault="00000000" w:rsidRPr="00000000" w14:paraId="0000008A">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Dashboard interactivo con visualización de semáforos de riesgo.</w:t>
      </w:r>
    </w:p>
    <w:p w:rsidR="00000000" w:rsidDel="00000000" w:rsidP="00000000" w:rsidRDefault="00000000" w:rsidRPr="00000000" w14:paraId="0000008B">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notificaciones automáticas basadas en umbrales dinámicos.</w:t>
      </w:r>
    </w:p>
    <w:p w:rsidR="00000000" w:rsidDel="00000000" w:rsidP="00000000" w:rsidRDefault="00000000" w:rsidRPr="00000000" w14:paraId="0000008C">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diagnósticos específicos sobre </w:t>
      </w:r>
      <w:r w:rsidDel="00000000" w:rsidR="00000000" w:rsidRPr="00000000">
        <w:rPr>
          <w:rFonts w:ascii="Times New Roman" w:cs="Times New Roman" w:eastAsia="Times New Roman" w:hAnsi="Times New Roman"/>
          <w:b w:val="1"/>
          <w:bCs w:val="1"/>
          <w:sz w:val="24"/>
          <w:szCs w:val="24"/>
          <w:rtl w:val="0"/>
        </w:rPr>
        <w:t xml:space="preserve">consultas lentas, bloqueos y detección de índices no utilizados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pStyle w:val="Heading3"/>
        <w:numPr>
          <w:ilvl w:val="0"/>
          <w:numId w:val="3"/>
        </w:numPr>
        <w:spacing w:after="240" w:before="0" w:beforeAutospacing="0" w:lineRule="auto"/>
        <w:ind w:left="720" w:hanging="360"/>
        <w:jc w:val="both"/>
        <w:rPr/>
      </w:pPr>
      <w:bookmarkStart w:colFirst="0" w:colLast="0" w:name="_heading=h.8sav9m7dvdmq" w:id="10"/>
      <w:bookmarkEnd w:id="10"/>
      <w:r w:rsidDel="00000000" w:rsidR="00000000" w:rsidRPr="00000000">
        <w:rPr>
          <w:rFonts w:ascii="Times New Roman" w:cs="Times New Roman" w:eastAsia="Times New Roman" w:hAnsi="Times New Roman"/>
          <w:sz w:val="24"/>
          <w:szCs w:val="24"/>
          <w:rtl w:val="0"/>
        </w:rPr>
        <w:t xml:space="preserve">Alcance del Proyecto:</w:t>
      </w:r>
    </w:p>
    <w:p w:rsidR="00000000" w:rsidDel="00000000" w:rsidP="00000000" w:rsidRDefault="00000000" w:rsidRPr="00000000" w14:paraId="0000008E">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y despliegue de una herramienta en 4 meses, optimizada para PostgreSQL, utilizando Docker para portabilidad y entornos de nube gratuitos para validación final.</w:t>
      </w:r>
    </w:p>
    <w:p w:rsidR="00000000" w:rsidDel="00000000" w:rsidP="00000000" w:rsidRDefault="00000000" w:rsidRPr="00000000" w14:paraId="0000008F">
      <w:pPr>
        <w:pStyle w:val="Heading3"/>
        <w:numPr>
          <w:ilvl w:val="0"/>
          <w:numId w:val="3"/>
        </w:numPr>
        <w:spacing w:after="240" w:before="240" w:lineRule="auto"/>
        <w:ind w:left="720" w:hanging="360"/>
        <w:jc w:val="both"/>
        <w:rPr/>
      </w:pPr>
      <w:bookmarkStart w:colFirst="0" w:colLast="0" w:name="_heading=h.3rcve3rz6i2g" w:id="11"/>
      <w:bookmarkEnd w:id="11"/>
      <w:r w:rsidDel="00000000" w:rsidR="00000000" w:rsidRPr="00000000">
        <w:rPr>
          <w:rFonts w:ascii="Times New Roman" w:cs="Times New Roman" w:eastAsia="Times New Roman" w:hAnsi="Times New Roman"/>
          <w:sz w:val="24"/>
          <w:szCs w:val="24"/>
          <w:rtl w:val="0"/>
        </w:rPr>
        <w:t xml:space="preserve">Análisis de Riesgos (Matriz de Mitigación):</w:t>
      </w:r>
    </w:p>
    <w:tbl>
      <w:tblPr>
        <w:tblStyle w:val="Table3"/>
        <w:tblW w:w="850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975"/>
        <w:gridCol w:w="2025"/>
        <w:gridCol w:w="1755"/>
        <w:gridCol w:w="3750"/>
        <w:tblGridChange w:id="0">
          <w:tblGrid>
            <w:gridCol w:w="975"/>
            <w:gridCol w:w="2025"/>
            <w:gridCol w:w="1755"/>
            <w:gridCol w:w="3750"/>
          </w:tblGrid>
        </w:tblGridChange>
      </w:tblGrid>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Probabilidad / Impacto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Mitigación Estratégica</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limitado a servidor real</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Alto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w:t>
            </w:r>
            <w:r w:rsidDel="00000000" w:rsidR="00000000" w:rsidRPr="00000000">
              <w:rPr>
                <w:rFonts w:ascii="Times New Roman" w:cs="Times New Roman" w:eastAsia="Times New Roman" w:hAnsi="Times New Roman"/>
                <w:b w:val="1"/>
                <w:bCs w:val="1"/>
                <w:sz w:val="24"/>
                <w:szCs w:val="24"/>
                <w:rtl w:val="0"/>
              </w:rPr>
              <w:t xml:space="preserve">Docker</w:t>
            </w:r>
            <w:r w:rsidDel="00000000" w:rsidR="00000000" w:rsidRPr="00000000">
              <w:rPr>
                <w:rFonts w:ascii="Times New Roman" w:cs="Times New Roman" w:eastAsia="Times New Roman" w:hAnsi="Times New Roman"/>
                <w:sz w:val="24"/>
                <w:szCs w:val="24"/>
                <w:rtl w:val="0"/>
              </w:rPr>
              <w:t xml:space="preserve"> para simular entornos de producción idénticos.</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en requerimientos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Medio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alcance rígida y control de cambios formal.</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Dificultades técnicas en APIs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 Alto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concepto (PoC) tempranas con SQLAlchemy y psycopg2.</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académica del equipo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Medio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Cronograma estricto con hitos semanales y distribución equitativa.</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desactualizada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 Bajo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a repositorios oficiales de FastAPI y PostgreSQL 15.</w:t>
            </w:r>
          </w:p>
        </w:tc>
      </w:tr>
    </w:tbl>
    <w:p w:rsidR="00000000" w:rsidDel="00000000" w:rsidP="00000000" w:rsidRDefault="00000000" w:rsidRPr="00000000" w14:paraId="000000A8">
      <w:pPr>
        <w:pStyle w:val="Heading3"/>
        <w:numPr>
          <w:ilvl w:val="0"/>
          <w:numId w:val="3"/>
        </w:numPr>
        <w:spacing w:after="0" w:afterAutospacing="0" w:before="240" w:lineRule="auto"/>
        <w:ind w:left="720" w:hanging="360"/>
        <w:jc w:val="both"/>
        <w:rPr>
          <w:sz w:val="24"/>
          <w:szCs w:val="24"/>
        </w:rPr>
      </w:pPr>
      <w:bookmarkStart w:colFirst="0" w:colLast="0" w:name="_heading=h.t314mct417af" w:id="12"/>
      <w:bookmarkEnd w:id="12"/>
      <w:r w:rsidDel="00000000" w:rsidR="00000000" w:rsidRPr="00000000">
        <w:rPr>
          <w:rFonts w:ascii="Times New Roman" w:cs="Times New Roman" w:eastAsia="Times New Roman" w:hAnsi="Times New Roman"/>
          <w:sz w:val="24"/>
          <w:szCs w:val="24"/>
          <w:rtl w:val="0"/>
        </w:rPr>
        <w:t xml:space="preserve">Viabilidad del Sistema:</w:t>
      </w:r>
    </w:p>
    <w:p w:rsidR="00000000" w:rsidDel="00000000" w:rsidP="00000000" w:rsidRDefault="00000000" w:rsidRPr="00000000" w14:paraId="000000A9">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Técnica:</w:t>
      </w:r>
      <w:r w:rsidDel="00000000" w:rsidR="00000000" w:rsidRPr="00000000">
        <w:rPr>
          <w:rFonts w:ascii="Times New Roman" w:cs="Times New Roman" w:eastAsia="Times New Roman" w:hAnsi="Times New Roman"/>
          <w:sz w:val="24"/>
          <w:szCs w:val="24"/>
          <w:rtl w:val="0"/>
        </w:rPr>
        <w:t xml:space="preserve"> El uso de </w:t>
      </w:r>
      <w:r w:rsidDel="00000000" w:rsidR="00000000" w:rsidRPr="00000000">
        <w:rPr>
          <w:rFonts w:ascii="Times New Roman" w:cs="Times New Roman" w:eastAsia="Times New Roman" w:hAnsi="Times New Roman"/>
          <w:b w:val="1"/>
          <w:bCs w:val="1"/>
          <w:sz w:val="24"/>
          <w:szCs w:val="24"/>
          <w:rtl w:val="0"/>
        </w:rPr>
        <w:t xml:space="preserve">Python 3.11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SQLAlchemy</w:t>
      </w:r>
      <w:r w:rsidDel="00000000" w:rsidR="00000000" w:rsidRPr="00000000">
        <w:rPr>
          <w:rFonts w:ascii="Times New Roman" w:cs="Times New Roman" w:eastAsia="Times New Roman" w:hAnsi="Times New Roman"/>
          <w:sz w:val="24"/>
          <w:szCs w:val="24"/>
          <w:rtl w:val="0"/>
        </w:rPr>
        <w:t xml:space="preserve"> asegura un sistema de alto rendimiento. FastAPI es elegido por su naturaleza asíncrona, ideal para el monitoreo en tiempo real con mínima latencia.</w:t>
      </w:r>
    </w:p>
    <w:p w:rsidR="00000000" w:rsidDel="00000000" w:rsidP="00000000" w:rsidRDefault="00000000" w:rsidRPr="00000000" w14:paraId="000000AA">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Económica:</w:t>
      </w:r>
      <w:r w:rsidDel="00000000" w:rsidR="00000000" w:rsidRPr="00000000">
        <w:rPr>
          <w:rFonts w:ascii="Times New Roman" w:cs="Times New Roman" w:eastAsia="Times New Roman" w:hAnsi="Times New Roman"/>
          <w:sz w:val="24"/>
          <w:szCs w:val="24"/>
          <w:rtl w:val="0"/>
        </w:rPr>
        <w:t xml:space="preserve"> Inversión total de </w:t>
      </w:r>
      <w:r w:rsidDel="00000000" w:rsidR="00000000" w:rsidRPr="00000000">
        <w:rPr>
          <w:rFonts w:ascii="Times New Roman" w:cs="Times New Roman" w:eastAsia="Times New Roman" w:hAnsi="Times New Roman"/>
          <w:b w:val="1"/>
          <w:bCs w:val="1"/>
          <w:sz w:val="24"/>
          <w:szCs w:val="24"/>
          <w:rtl w:val="0"/>
        </w:rPr>
        <w:t xml:space="preserve">S/ 310.00</w:t>
      </w:r>
      <w:r w:rsidDel="00000000" w:rsidR="00000000" w:rsidRPr="00000000">
        <w:rPr>
          <w:rFonts w:ascii="Times New Roman" w:cs="Times New Roman" w:eastAsia="Times New Roman" w:hAnsi="Times New Roman"/>
          <w:sz w:val="24"/>
          <w:szCs w:val="24"/>
          <w:rtl w:val="0"/>
        </w:rPr>
        <w:t xml:space="preserve">. La relación B/C es mayor a 1, dado que una sola hora de inactividad en producción suele costar más que la inversión total del proyecto.</w:t>
      </w:r>
    </w:p>
    <w:p w:rsidR="00000000" w:rsidDel="00000000" w:rsidP="00000000" w:rsidRDefault="00000000" w:rsidRPr="00000000" w14:paraId="000000AB">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Operativa:</w:t>
      </w:r>
      <w:r w:rsidDel="00000000" w:rsidR="00000000" w:rsidRPr="00000000">
        <w:rPr>
          <w:rFonts w:ascii="Times New Roman" w:cs="Times New Roman" w:eastAsia="Times New Roman" w:hAnsi="Times New Roman"/>
          <w:sz w:val="24"/>
          <w:szCs w:val="24"/>
          <w:rtl w:val="0"/>
        </w:rPr>
        <w:t xml:space="preserve"> El despliegue mediante contenedores permite que cualquier laboratorio con hardware básico (i5/i7, 8GB RAM) ejecute el sistema sin configuraciones complejas.</w:t>
      </w:r>
    </w:p>
    <w:p w:rsidR="00000000" w:rsidDel="00000000" w:rsidP="00000000" w:rsidRDefault="00000000" w:rsidRPr="00000000" w14:paraId="000000AC">
      <w:pPr>
        <w:pStyle w:val="Heading3"/>
        <w:numPr>
          <w:ilvl w:val="0"/>
          <w:numId w:val="3"/>
        </w:numPr>
        <w:spacing w:after="240" w:before="0" w:beforeAutospacing="0" w:lineRule="auto"/>
        <w:ind w:left="720" w:hanging="360"/>
        <w:jc w:val="both"/>
        <w:rPr>
          <w:sz w:val="24"/>
          <w:szCs w:val="24"/>
        </w:rPr>
      </w:pPr>
      <w:bookmarkStart w:colFirst="0" w:colLast="0" w:name="_heading=h.kbhcg1gv2h5v" w:id="13"/>
      <w:bookmarkEnd w:id="13"/>
      <w:r w:rsidDel="00000000" w:rsidR="00000000" w:rsidRPr="00000000">
        <w:rPr>
          <w:rFonts w:ascii="Times New Roman" w:cs="Times New Roman" w:eastAsia="Times New Roman" w:hAnsi="Times New Roman"/>
          <w:sz w:val="24"/>
          <w:szCs w:val="24"/>
          <w:rtl w:val="0"/>
        </w:rPr>
        <w:t xml:space="preserve">Infraestructura Tecnológica:</w:t>
      </w:r>
    </w:p>
    <w:p w:rsidR="00000000" w:rsidDel="00000000" w:rsidP="00000000" w:rsidRDefault="00000000" w:rsidRPr="00000000" w14:paraId="000000A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w:t>
      </w:r>
      <w:r w:rsidDel="00000000" w:rsidR="00000000" w:rsidRPr="00000000">
        <w:rPr>
          <w:rFonts w:ascii="Times New Roman" w:cs="Times New Roman" w:eastAsia="Times New Roman" w:hAnsi="Times New Roman"/>
          <w:b w:val="1"/>
          <w:bCs w:val="1"/>
          <w:sz w:val="24"/>
          <w:szCs w:val="24"/>
          <w:rtl w:val="0"/>
        </w:rPr>
        <w:t xml:space="preserve">psycopg2</w:t>
      </w:r>
      <w:r w:rsidDel="00000000" w:rsidR="00000000" w:rsidRPr="00000000">
        <w:rPr>
          <w:rFonts w:ascii="Times New Roman" w:cs="Times New Roman" w:eastAsia="Times New Roman" w:hAnsi="Times New Roman"/>
          <w:sz w:val="24"/>
          <w:szCs w:val="24"/>
          <w:rtl w:val="0"/>
        </w:rPr>
        <w:t xml:space="preserve"> como adaptador de bajo nivel para garantizar la comunicación más eficiente posible con PostgreSQL, permitiendo que SQLAlchemy gestione el mapeo de datos con precisión.</w:t>
      </w:r>
    </w:p>
    <w:p w:rsidR="00000000" w:rsidDel="00000000" w:rsidP="00000000" w:rsidRDefault="00000000" w:rsidRPr="00000000" w14:paraId="000000AE">
      <w:pPr>
        <w:pStyle w:val="Heading2"/>
        <w:keepNext w:val="0"/>
        <w:keepLines w:val="0"/>
        <w:jc w:val="both"/>
        <w:rPr>
          <w:rFonts w:ascii="Times New Roman" w:cs="Times New Roman" w:eastAsia="Times New Roman" w:hAnsi="Times New Roman"/>
          <w:sz w:val="34"/>
          <w:szCs w:val="34"/>
        </w:rPr>
      </w:pPr>
      <w:bookmarkStart w:colFirst="0" w:colLast="0" w:name="_heading=h.587i9hp21xt" w:id="14"/>
      <w:bookmarkEnd w:id="14"/>
      <w:r w:rsidDel="00000000" w:rsidR="00000000" w:rsidRPr="00000000">
        <w:rPr>
          <w:rFonts w:ascii="Times New Roman" w:cs="Times New Roman" w:eastAsia="Times New Roman" w:hAnsi="Times New Roman"/>
          <w:sz w:val="34"/>
          <w:szCs w:val="34"/>
          <w:rtl w:val="0"/>
        </w:rPr>
        <w:t xml:space="preserve">III. Análisis de Procesos</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modelado de procesos es vital para cuantificar el valor del MSBDD. Al automatizar la detección, reducimos el </w:t>
      </w:r>
      <w:r w:rsidDel="00000000" w:rsidR="00000000" w:rsidRPr="00000000">
        <w:rPr>
          <w:rFonts w:ascii="Times New Roman" w:cs="Times New Roman" w:eastAsia="Times New Roman" w:hAnsi="Times New Roman"/>
          <w:b w:val="1"/>
          <w:bCs w:val="1"/>
          <w:sz w:val="24"/>
          <w:szCs w:val="24"/>
          <w:rtl w:val="0"/>
        </w:rPr>
        <w:t xml:space="preserve">Tiempo Medio de Detección (MTTD)</w:t>
      </w:r>
      <w:r w:rsidDel="00000000" w:rsidR="00000000" w:rsidRPr="00000000">
        <w:rPr>
          <w:rFonts w:ascii="Times New Roman" w:cs="Times New Roman" w:eastAsia="Times New Roman" w:hAnsi="Times New Roman"/>
          <w:sz w:val="24"/>
          <w:szCs w:val="24"/>
          <w:rtl w:val="0"/>
        </w:rPr>
        <w:t xml:space="preserve"> drásticamente al eliminar el paso crítico del reporte manual del usuario.</w:t>
      </w:r>
    </w:p>
    <w:p w:rsidR="00000000" w:rsidDel="00000000" w:rsidP="00000000" w:rsidRDefault="00000000" w:rsidRPr="00000000" w14:paraId="000000B0">
      <w:pPr>
        <w:pStyle w:val="Heading4"/>
        <w:spacing w:after="240" w:before="240" w:lineRule="auto"/>
        <w:jc w:val="both"/>
        <w:rPr>
          <w:rFonts w:ascii="Times New Roman" w:cs="Times New Roman" w:eastAsia="Times New Roman" w:hAnsi="Times New Roman"/>
        </w:rPr>
      </w:pPr>
      <w:bookmarkStart w:colFirst="0" w:colLast="0" w:name="_heading=h.dsyihut86ku3" w:id="15"/>
      <w:bookmarkEnd w:id="15"/>
      <w:r w:rsidDel="00000000" w:rsidR="00000000" w:rsidRPr="00000000">
        <w:rPr>
          <w:rFonts w:ascii="Times New Roman" w:cs="Times New Roman" w:eastAsia="Times New Roman" w:hAnsi="Times New Roman"/>
          <w:rtl w:val="0"/>
        </w:rPr>
        <w:t xml:space="preserve">a) Diagrama del Proceso Actual (Reactivo)</w:t>
      </w:r>
    </w:p>
    <w:p w:rsidR="00000000" w:rsidDel="00000000" w:rsidP="00000000" w:rsidRDefault="00000000" w:rsidRPr="00000000" w14:paraId="000000B1">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5011" cy="3514408"/>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35011" cy="351440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4"/>
        <w:spacing w:after="240" w:before="240" w:lineRule="auto"/>
        <w:jc w:val="both"/>
        <w:rPr>
          <w:rFonts w:ascii="Times New Roman" w:cs="Times New Roman" w:eastAsia="Times New Roman" w:hAnsi="Times New Roman"/>
        </w:rPr>
      </w:pPr>
      <w:bookmarkStart w:colFirst="0" w:colLast="0" w:name="_heading=h.f34zbxn994jk" w:id="16"/>
      <w:bookmarkEnd w:id="16"/>
      <w:r w:rsidDel="00000000" w:rsidR="00000000" w:rsidRPr="00000000">
        <w:rPr>
          <w:rFonts w:ascii="Times New Roman" w:cs="Times New Roman" w:eastAsia="Times New Roman" w:hAnsi="Times New Roman"/>
          <w:rtl w:val="0"/>
        </w:rPr>
        <w:t xml:space="preserve">b) Diagrama del Proceso Propuesto (Proactivo)</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6850" cy="357187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768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Impacto:</w:t>
      </w:r>
      <w:r w:rsidDel="00000000" w:rsidR="00000000" w:rsidRPr="00000000">
        <w:rPr>
          <w:rFonts w:ascii="Times New Roman" w:cs="Times New Roman" w:eastAsia="Times New Roman" w:hAnsi="Times New Roman"/>
          <w:sz w:val="24"/>
          <w:szCs w:val="24"/>
          <w:rtl w:val="0"/>
        </w:rPr>
        <w:t xml:space="preserve"> El proceso propuesto elimina el cuello de botella del "Reporte de Usuario". Al mover el diagnóstico al inicio del flujo, se logra una gestión preventiva que protege la integridad de la operación.</w:t>
      </w:r>
    </w:p>
    <w:p w:rsidR="00000000" w:rsidDel="00000000" w:rsidP="00000000" w:rsidRDefault="00000000" w:rsidRPr="00000000" w14:paraId="000000B5">
      <w:pPr>
        <w:pStyle w:val="Heading2"/>
        <w:keepNext w:val="0"/>
        <w:keepLines w:val="0"/>
        <w:jc w:val="both"/>
        <w:rPr>
          <w:rFonts w:ascii="Times New Roman" w:cs="Times New Roman" w:eastAsia="Times New Roman" w:hAnsi="Times New Roman"/>
          <w:sz w:val="34"/>
          <w:szCs w:val="34"/>
        </w:rPr>
      </w:pPr>
      <w:bookmarkStart w:colFirst="0" w:colLast="0" w:name="_heading=h.k4w8lf6s028m" w:id="17"/>
      <w:bookmarkEnd w:id="17"/>
      <w:r w:rsidDel="00000000" w:rsidR="00000000" w:rsidRPr="00000000">
        <w:rPr>
          <w:rFonts w:ascii="Times New Roman" w:cs="Times New Roman" w:eastAsia="Times New Roman" w:hAnsi="Times New Roman"/>
          <w:sz w:val="34"/>
          <w:szCs w:val="34"/>
          <w:rtl w:val="0"/>
        </w:rPr>
        <w:t xml:space="preserve">IV. Especificación de Requerimientos de Software</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actúan como un contrato técnico para asegurar que el sistema resuelva los problemas de diagnóstico identificados.</w:t>
      </w:r>
    </w:p>
    <w:p w:rsidR="00000000" w:rsidDel="00000000" w:rsidP="00000000" w:rsidRDefault="00000000" w:rsidRPr="00000000" w14:paraId="000000B7">
      <w:pPr>
        <w:pStyle w:val="Heading4"/>
        <w:spacing w:after="240" w:before="240" w:lineRule="auto"/>
        <w:jc w:val="both"/>
        <w:rPr>
          <w:rFonts w:ascii="Times New Roman" w:cs="Times New Roman" w:eastAsia="Times New Roman" w:hAnsi="Times New Roman"/>
        </w:rPr>
      </w:pPr>
      <w:bookmarkStart w:colFirst="0" w:colLast="0" w:name="_heading=h.cev84d7numfx" w:id="18"/>
      <w:bookmarkEnd w:id="18"/>
      <w:r w:rsidDel="00000000" w:rsidR="00000000" w:rsidRPr="00000000">
        <w:rPr>
          <w:rFonts w:ascii="Times New Roman" w:cs="Times New Roman" w:eastAsia="Times New Roman" w:hAnsi="Times New Roman"/>
          <w:rtl w:val="0"/>
        </w:rPr>
        <w:t xml:space="preserve">a) Cuadro de Requerimientos Funcionales Final </w:t>
      </w:r>
    </w:p>
    <w:tbl>
      <w:tblPr>
        <w:tblStyle w:val="Table4"/>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160"/>
        <w:gridCol w:w="5235"/>
        <w:tblGridChange w:id="0">
          <w:tblGrid>
            <w:gridCol w:w="1110"/>
            <w:gridCol w:w="2160"/>
            <w:gridCol w:w="52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de KPIs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CPU, memoria y conexiones activas vía pg_stat_activity.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interactivo con Dash/Plotly para visualización de métricas.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Alertas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automáticas al superar umbrales de riesgo.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Avanzado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consultas lentas, bloqueos y detección de índices no utilizados.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históricos para análisis de tendencias de rendimiento.</w:t>
            </w:r>
          </w:p>
        </w:tc>
      </w:tr>
    </w:tbl>
    <w:p w:rsidR="00000000" w:rsidDel="00000000" w:rsidP="00000000" w:rsidRDefault="00000000" w:rsidRPr="00000000" w14:paraId="000000CA">
      <w:pPr>
        <w:pStyle w:val="Heading4"/>
        <w:spacing w:after="240" w:before="240" w:lineRule="auto"/>
        <w:jc w:val="both"/>
        <w:rPr>
          <w:rFonts w:ascii="Times New Roman" w:cs="Times New Roman" w:eastAsia="Times New Roman" w:hAnsi="Times New Roman"/>
        </w:rPr>
      </w:pPr>
      <w:bookmarkStart w:colFirst="0" w:colLast="0" w:name="_heading=h.r4105a8j2w51" w:id="19"/>
      <w:bookmarkEnd w:id="19"/>
      <w:r w:rsidDel="00000000" w:rsidR="00000000" w:rsidRPr="00000000">
        <w:rPr>
          <w:rFonts w:ascii="Times New Roman" w:cs="Times New Roman" w:eastAsia="Times New Roman" w:hAnsi="Times New Roman"/>
          <w:rtl w:val="0"/>
        </w:rPr>
        <w:t xml:space="preserve">b) Cuadro de Requerimientos No Funcionales</w:t>
      </w:r>
    </w:p>
    <w:p w:rsidR="00000000" w:rsidDel="00000000" w:rsidP="00000000" w:rsidRDefault="00000000" w:rsidRPr="00000000" w14:paraId="000000CB">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Fonts w:ascii="Times New Roman" w:cs="Times New Roman" w:eastAsia="Times New Roman" w:hAnsi="Times New Roman"/>
          <w:sz w:val="24"/>
          <w:szCs w:val="24"/>
          <w:rtl w:val="0"/>
        </w:rPr>
        <w:t xml:space="preserve"> Recolección en tiempo real con un overhead &lt; 2% en el motor monitoreado.</w:t>
      </w:r>
    </w:p>
    <w:p w:rsidR="00000000" w:rsidDel="00000000" w:rsidP="00000000" w:rsidRDefault="00000000" w:rsidRPr="00000000" w14:paraId="000000CC">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Portabilidad:</w:t>
      </w:r>
      <w:r w:rsidDel="00000000" w:rsidR="00000000" w:rsidRPr="00000000">
        <w:rPr>
          <w:rFonts w:ascii="Times New Roman" w:cs="Times New Roman" w:eastAsia="Times New Roman" w:hAnsi="Times New Roman"/>
          <w:sz w:val="24"/>
          <w:szCs w:val="24"/>
          <w:rtl w:val="0"/>
        </w:rPr>
        <w:t xml:space="preserve"> Despliegue agnóstico al SO mediante contenedores </w:t>
      </w:r>
      <w:r w:rsidDel="00000000" w:rsidR="00000000" w:rsidRPr="00000000">
        <w:rPr>
          <w:rFonts w:ascii="Times New Roman" w:cs="Times New Roman" w:eastAsia="Times New Roman" w:hAnsi="Times New Roman"/>
          <w:b w:val="1"/>
          <w:bCs w:val="1"/>
          <w:sz w:val="24"/>
          <w:szCs w:val="24"/>
          <w:rtl w:val="0"/>
        </w:rPr>
        <w:t xml:space="preserve">Docker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Aislamiento total; el sistema solo lee metadatos de sistema (pg_catalog), sin acceso a datos de usuario.</w:t>
      </w:r>
    </w:p>
    <w:p w:rsidR="00000000" w:rsidDel="00000000" w:rsidP="00000000" w:rsidRDefault="00000000" w:rsidRPr="00000000" w14:paraId="000000CE">
      <w:pPr>
        <w:pStyle w:val="Heading4"/>
        <w:spacing w:after="240" w:before="240" w:lineRule="auto"/>
        <w:jc w:val="both"/>
        <w:rPr>
          <w:rFonts w:ascii="Times New Roman" w:cs="Times New Roman" w:eastAsia="Times New Roman" w:hAnsi="Times New Roman"/>
        </w:rPr>
      </w:pPr>
      <w:bookmarkStart w:colFirst="0" w:colLast="0" w:name="_heading=h.n6pg9j3qa7g7" w:id="20"/>
      <w:bookmarkEnd w:id="20"/>
      <w:r w:rsidDel="00000000" w:rsidR="00000000" w:rsidRPr="00000000">
        <w:rPr>
          <w:rFonts w:ascii="Times New Roman" w:cs="Times New Roman" w:eastAsia="Times New Roman" w:hAnsi="Times New Roman"/>
          <w:rtl w:val="0"/>
        </w:rPr>
        <w:t xml:space="preserve">c) Reglas de Negocio</w:t>
      </w:r>
    </w:p>
    <w:p w:rsidR="00000000" w:rsidDel="00000000" w:rsidP="00000000" w:rsidRDefault="00000000" w:rsidRPr="00000000" w14:paraId="000000CF">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alertas se disparan si el umbral es superado en dos ciclos de lectura consecutivos para evitar falsos positivos por picos transitorios.</w:t>
      </w:r>
    </w:p>
    <w:p w:rsidR="00000000" w:rsidDel="00000000" w:rsidP="00000000" w:rsidRDefault="00000000" w:rsidRPr="00000000" w14:paraId="000000D0">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 estrictamente prohibido el acceso a tablas que no pertenezcan al esquema de estadísticas de PostgreSQL.</w:t>
      </w:r>
    </w:p>
    <w:p w:rsidR="00000000" w:rsidDel="00000000" w:rsidP="00000000" w:rsidRDefault="00000000" w:rsidRPr="00000000" w14:paraId="000000D1">
      <w:pPr>
        <w:pStyle w:val="Heading2"/>
        <w:keepNext w:val="0"/>
        <w:keepLines w:val="0"/>
        <w:jc w:val="both"/>
        <w:rPr>
          <w:rFonts w:ascii="Times New Roman" w:cs="Times New Roman" w:eastAsia="Times New Roman" w:hAnsi="Times New Roman"/>
          <w:sz w:val="34"/>
          <w:szCs w:val="34"/>
        </w:rPr>
      </w:pPr>
      <w:bookmarkStart w:colFirst="0" w:colLast="0" w:name="_heading=h.7vt7wmryx9lq" w:id="21"/>
      <w:bookmarkEnd w:id="21"/>
      <w:r w:rsidDel="00000000" w:rsidR="00000000" w:rsidRPr="00000000">
        <w:rPr>
          <w:rFonts w:ascii="Times New Roman" w:cs="Times New Roman" w:eastAsia="Times New Roman" w:hAnsi="Times New Roman"/>
          <w:sz w:val="34"/>
          <w:szCs w:val="34"/>
          <w:rtl w:val="0"/>
        </w:rPr>
        <w:t xml:space="preserve">V. Fase de Desarrollo</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técnica se ha diseñado para ser escalable y liviana, utilizando microservicios contenidos para facilitar el mantenimiento.</w:t>
      </w:r>
    </w:p>
    <w:p w:rsidR="00000000" w:rsidDel="00000000" w:rsidP="00000000" w:rsidRDefault="00000000" w:rsidRPr="00000000" w14:paraId="000000D3">
      <w:pPr>
        <w:pStyle w:val="Heading3"/>
        <w:numPr>
          <w:ilvl w:val="0"/>
          <w:numId w:val="6"/>
        </w:numPr>
        <w:spacing w:after="0" w:afterAutospacing="0" w:before="240" w:lineRule="auto"/>
        <w:ind w:left="720" w:hanging="360"/>
        <w:jc w:val="both"/>
        <w:rPr>
          <w:rFonts w:ascii="Times New Roman" w:cs="Times New Roman" w:eastAsia="Times New Roman" w:hAnsi="Times New Roman"/>
          <w:sz w:val="24"/>
          <w:szCs w:val="24"/>
        </w:rPr>
      </w:pPr>
      <w:bookmarkStart w:colFirst="0" w:colLast="0" w:name="_heading=h.u2s79sihchdz" w:id="22"/>
      <w:bookmarkEnd w:id="22"/>
      <w:r w:rsidDel="00000000" w:rsidR="00000000" w:rsidRPr="00000000">
        <w:rPr>
          <w:rFonts w:ascii="Times New Roman" w:cs="Times New Roman" w:eastAsia="Times New Roman" w:hAnsi="Times New Roman"/>
          <w:sz w:val="24"/>
          <w:szCs w:val="24"/>
          <w:rtl w:val="0"/>
        </w:rPr>
        <w:t xml:space="preserve">Perfiles de Usuario:</w:t>
      </w:r>
    </w:p>
    <w:p w:rsidR="00000000" w:rsidDel="00000000" w:rsidP="00000000" w:rsidRDefault="00000000" w:rsidRPr="00000000" w14:paraId="000000D4">
      <w:pPr>
        <w:numPr>
          <w:ilvl w:val="1"/>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DBA:</w:t>
      </w:r>
      <w:r w:rsidDel="00000000" w:rsidR="00000000" w:rsidRPr="00000000">
        <w:rPr>
          <w:rFonts w:ascii="Times New Roman" w:cs="Times New Roman" w:eastAsia="Times New Roman" w:hAnsi="Times New Roman"/>
          <w:sz w:val="24"/>
          <w:szCs w:val="24"/>
          <w:rtl w:val="0"/>
        </w:rPr>
        <w:t xml:space="preserve"> Administrador con acceso total a configuración de umbrales y diagnósticos profundos.</w:t>
      </w:r>
    </w:p>
    <w:p w:rsidR="00000000" w:rsidDel="00000000" w:rsidP="00000000" w:rsidRDefault="00000000" w:rsidRPr="00000000" w14:paraId="000000D5">
      <w:pPr>
        <w:numPr>
          <w:ilvl w:val="1"/>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Estudiante/Docente:</w:t>
      </w:r>
      <w:r w:rsidDel="00000000" w:rsidR="00000000" w:rsidRPr="00000000">
        <w:rPr>
          <w:rFonts w:ascii="Times New Roman" w:cs="Times New Roman" w:eastAsia="Times New Roman" w:hAnsi="Times New Roman"/>
          <w:sz w:val="24"/>
          <w:szCs w:val="24"/>
          <w:rtl w:val="0"/>
        </w:rPr>
        <w:t xml:space="preserve"> Perfiles de consulta para análisis académico y supervisión de rendimiento.</w:t>
      </w:r>
    </w:p>
    <w:p w:rsidR="00000000" w:rsidDel="00000000" w:rsidP="00000000" w:rsidRDefault="00000000" w:rsidRPr="00000000" w14:paraId="000000D6">
      <w:pPr>
        <w:pStyle w:val="Heading3"/>
        <w:numPr>
          <w:ilvl w:val="0"/>
          <w:numId w:val="6"/>
        </w:numPr>
        <w:spacing w:after="240" w:before="0" w:beforeAutospacing="0" w:lineRule="auto"/>
        <w:ind w:left="720" w:hanging="360"/>
        <w:jc w:val="both"/>
        <w:rPr>
          <w:rFonts w:ascii="Times New Roman" w:cs="Times New Roman" w:eastAsia="Times New Roman" w:hAnsi="Times New Roman"/>
          <w:sz w:val="24"/>
          <w:szCs w:val="24"/>
        </w:rPr>
      </w:pPr>
      <w:bookmarkStart w:colFirst="0" w:colLast="0" w:name="_heading=h.ai594vmpgzed" w:id="23"/>
      <w:bookmarkEnd w:id="23"/>
      <w:r w:rsidDel="00000000" w:rsidR="00000000" w:rsidRPr="00000000">
        <w:rPr>
          <w:rFonts w:ascii="Times New Roman" w:cs="Times New Roman" w:eastAsia="Times New Roman" w:hAnsi="Times New Roman"/>
          <w:sz w:val="24"/>
          <w:szCs w:val="24"/>
          <w:rtl w:val="0"/>
        </w:rPr>
        <w:t xml:space="preserve">Modelo Conceptual:</w:t>
      </w:r>
    </w:p>
    <w:p w:rsidR="00000000" w:rsidDel="00000000" w:rsidP="00000000" w:rsidRDefault="00000000" w:rsidRPr="00000000" w14:paraId="000000D7">
      <w:pPr>
        <w:pStyle w:val="Heading4"/>
        <w:spacing w:after="240" w:before="240" w:lineRule="auto"/>
        <w:jc w:val="both"/>
        <w:rPr>
          <w:rFonts w:ascii="Times New Roman" w:cs="Times New Roman" w:eastAsia="Times New Roman" w:hAnsi="Times New Roman"/>
        </w:rPr>
      </w:pPr>
      <w:bookmarkStart w:colFirst="0" w:colLast="0" w:name="_heading=h.c9msdfdmetvd" w:id="24"/>
      <w:bookmarkEnd w:id="24"/>
      <w:r w:rsidDel="00000000" w:rsidR="00000000" w:rsidRPr="00000000">
        <w:rPr>
          <w:rFonts w:ascii="Times New Roman" w:cs="Times New Roman" w:eastAsia="Times New Roman" w:hAnsi="Times New Roman"/>
          <w:rtl w:val="0"/>
        </w:rPr>
        <w:t xml:space="preserve">a) Diagrama de Paquetes</w:t>
      </w:r>
    </w:p>
    <w:p w:rsidR="00000000" w:rsidDel="00000000" w:rsidP="00000000" w:rsidRDefault="00000000" w:rsidRPr="00000000" w14:paraId="000000D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0828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9973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4"/>
        <w:spacing w:after="240" w:before="240" w:lineRule="auto"/>
        <w:jc w:val="both"/>
        <w:rPr>
          <w:rFonts w:ascii="Times New Roman" w:cs="Times New Roman" w:eastAsia="Times New Roman" w:hAnsi="Times New Roman"/>
        </w:rPr>
      </w:pPr>
      <w:bookmarkStart w:colFirst="0" w:colLast="0" w:name="_heading=h.tfa1fs53ep68" w:id="25"/>
      <w:bookmarkEnd w:id="25"/>
      <w:r w:rsidDel="00000000" w:rsidR="00000000" w:rsidRPr="00000000">
        <w:rPr>
          <w:rFonts w:ascii="Times New Roman" w:cs="Times New Roman" w:eastAsia="Times New Roman" w:hAnsi="Times New Roman"/>
          <w:rtl w:val="0"/>
        </w:rPr>
        <w:t xml:space="preserve">b) Diagrama de Casos de Uso</w:t>
      </w:r>
    </w:p>
    <w:p w:rsidR="00000000" w:rsidDel="00000000" w:rsidP="00000000" w:rsidRDefault="00000000" w:rsidRPr="00000000" w14:paraId="000000DA">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17538" cy="2942908"/>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17538" cy="294290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4"/>
        <w:spacing w:after="240" w:before="240" w:lineRule="auto"/>
        <w:jc w:val="both"/>
        <w:rPr>
          <w:rFonts w:ascii="Times New Roman" w:cs="Times New Roman" w:eastAsia="Times New Roman" w:hAnsi="Times New Roman"/>
        </w:rPr>
      </w:pPr>
      <w:bookmarkStart w:colFirst="0" w:colLast="0" w:name="_heading=h.sb86wzs8n654" w:id="26"/>
      <w:bookmarkEnd w:id="26"/>
      <w:r w:rsidDel="00000000" w:rsidR="00000000" w:rsidRPr="00000000">
        <w:rPr>
          <w:rFonts w:ascii="Times New Roman" w:cs="Times New Roman" w:eastAsia="Times New Roman" w:hAnsi="Times New Roman"/>
          <w:rtl w:val="0"/>
        </w:rPr>
        <w:t xml:space="preserve">c) Escenarios de Caso de Uso: Generación de Alerta por CPU alta</w:t>
      </w:r>
    </w:p>
    <w:p w:rsidR="00000000" w:rsidDel="00000000" w:rsidP="00000000" w:rsidRDefault="00000000" w:rsidRPr="00000000" w14:paraId="000000DC">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Sistema MSBDD.</w:t>
      </w:r>
    </w:p>
    <w:p w:rsidR="00000000" w:rsidDel="00000000" w:rsidP="00000000" w:rsidRDefault="00000000" w:rsidRPr="00000000" w14:paraId="000000DD">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r w:rsidDel="00000000" w:rsidR="00000000" w:rsidRPr="00000000">
        <w:rPr>
          <w:rFonts w:ascii="Times New Roman" w:cs="Times New Roman" w:eastAsia="Times New Roman" w:hAnsi="Times New Roman"/>
          <w:sz w:val="24"/>
          <w:szCs w:val="24"/>
          <w:rtl w:val="0"/>
        </w:rPr>
        <w:t xml:space="preserve"> Cada 60 segundos (Intervalo configurable).</w:t>
      </w:r>
    </w:p>
    <w:p w:rsidR="00000000" w:rsidDel="00000000" w:rsidP="00000000" w:rsidRDefault="00000000" w:rsidRPr="00000000" w14:paraId="000000DE">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 (Happy Path):</w:t>
      </w:r>
    </w:p>
    <w:p w:rsidR="00000000" w:rsidDel="00000000" w:rsidP="00000000" w:rsidRDefault="00000000" w:rsidRPr="00000000" w14:paraId="000000DF">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Agente consulta el estado del sistema.</w:t>
      </w:r>
    </w:p>
    <w:p w:rsidR="00000000" w:rsidDel="00000000" w:rsidP="00000000" w:rsidRDefault="00000000" w:rsidRPr="00000000" w14:paraId="000000E0">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 uso de CPU al 92% (Umbral: 85%).</w:t>
      </w:r>
    </w:p>
    <w:p w:rsidR="00000000" w:rsidDel="00000000" w:rsidP="00000000" w:rsidRDefault="00000000" w:rsidRPr="00000000" w14:paraId="000000E1">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Reglas válida la persistencia de la condición.</w:t>
      </w:r>
    </w:p>
    <w:p w:rsidR="00000000" w:rsidDel="00000000" w:rsidP="00000000" w:rsidRDefault="00000000" w:rsidRPr="00000000" w14:paraId="000000E2">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dispara alerta visual en el Dashboard y se registra en el log.</w:t>
      </w:r>
    </w:p>
    <w:p w:rsidR="00000000" w:rsidDel="00000000" w:rsidP="00000000" w:rsidRDefault="00000000" w:rsidRPr="00000000" w14:paraId="000000E3">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la métrica vuelve a la normalidad en el siguiente ciclo, se marca el evento como "Pico controlado" sin escalar la alerta al DBA.</w:t>
      </w:r>
    </w:p>
    <w:p w:rsidR="00000000" w:rsidDel="00000000" w:rsidP="00000000" w:rsidRDefault="00000000" w:rsidRPr="00000000" w14:paraId="000000E4">
      <w:pPr>
        <w:pStyle w:val="Heading3"/>
        <w:numPr>
          <w:ilvl w:val="0"/>
          <w:numId w:val="6"/>
        </w:numPr>
        <w:spacing w:after="240" w:before="0" w:beforeAutospacing="0" w:lineRule="auto"/>
        <w:ind w:left="720" w:hanging="360"/>
        <w:jc w:val="both"/>
        <w:rPr>
          <w:rFonts w:ascii="Times New Roman" w:cs="Times New Roman" w:eastAsia="Times New Roman" w:hAnsi="Times New Roman"/>
          <w:sz w:val="24"/>
          <w:szCs w:val="24"/>
        </w:rPr>
      </w:pPr>
      <w:bookmarkStart w:colFirst="0" w:colLast="0" w:name="_heading=h.wqkl2hhry8mf" w:id="27"/>
      <w:bookmarkEnd w:id="27"/>
      <w:r w:rsidDel="00000000" w:rsidR="00000000" w:rsidRPr="00000000">
        <w:rPr>
          <w:rFonts w:ascii="Times New Roman" w:cs="Times New Roman" w:eastAsia="Times New Roman" w:hAnsi="Times New Roman"/>
          <w:sz w:val="24"/>
          <w:szCs w:val="24"/>
          <w:rtl w:val="0"/>
        </w:rPr>
        <w:t xml:space="preserve">Modelo Lógico:</w:t>
      </w:r>
    </w:p>
    <w:p w:rsidR="00000000" w:rsidDel="00000000" w:rsidP="00000000" w:rsidRDefault="00000000" w:rsidRPr="00000000" w14:paraId="000000E5">
      <w:pPr>
        <w:pStyle w:val="Heading4"/>
        <w:spacing w:after="240" w:before="240" w:lineRule="auto"/>
        <w:jc w:val="both"/>
        <w:rPr>
          <w:rFonts w:ascii="Times New Roman" w:cs="Times New Roman" w:eastAsia="Times New Roman" w:hAnsi="Times New Roman"/>
        </w:rPr>
      </w:pPr>
      <w:bookmarkStart w:colFirst="0" w:colLast="0" w:name="_heading=h.mfcmxzynffko" w:id="28"/>
      <w:bookmarkEnd w:id="28"/>
      <w:r w:rsidDel="00000000" w:rsidR="00000000" w:rsidRPr="00000000">
        <w:rPr>
          <w:rFonts w:ascii="Times New Roman" w:cs="Times New Roman" w:eastAsia="Times New Roman" w:hAnsi="Times New Roman"/>
          <w:rtl w:val="0"/>
        </w:rPr>
        <w:t xml:space="preserve">a) Diagrama de Secuencia: Recolección y Notificación</w:t>
      </w:r>
    </w:p>
    <w:p w:rsidR="00000000" w:rsidDel="00000000" w:rsidP="00000000" w:rsidRDefault="00000000" w:rsidRPr="00000000" w14:paraId="000000E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8288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9973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4"/>
        <w:spacing w:after="240" w:before="240" w:lineRule="auto"/>
        <w:jc w:val="both"/>
        <w:rPr>
          <w:rFonts w:ascii="Times New Roman" w:cs="Times New Roman" w:eastAsia="Times New Roman" w:hAnsi="Times New Roman"/>
        </w:rPr>
      </w:pPr>
      <w:bookmarkStart w:colFirst="0" w:colLast="0" w:name="_heading=h.3y39tcl69qwt" w:id="29"/>
      <w:bookmarkEnd w:id="29"/>
      <w:r w:rsidDel="00000000" w:rsidR="00000000" w:rsidRPr="00000000">
        <w:rPr>
          <w:rFonts w:ascii="Times New Roman" w:cs="Times New Roman" w:eastAsia="Times New Roman" w:hAnsi="Times New Roman"/>
          <w:rtl w:val="0"/>
        </w:rPr>
        <w:t xml:space="preserve">b) Diagrama de Clases</w:t>
      </w:r>
    </w:p>
    <w:p w:rsidR="00000000" w:rsidDel="00000000" w:rsidP="00000000" w:rsidRDefault="00000000" w:rsidRPr="00000000" w14:paraId="000000E8">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06035" cy="2080712"/>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406035" cy="2080712"/>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CONCLUSIONES</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ingeniería confirma que el proyecto </w:t>
      </w:r>
      <w:r w:rsidDel="00000000" w:rsidR="00000000" w:rsidRPr="00000000">
        <w:rPr>
          <w:rFonts w:ascii="Times New Roman" w:cs="Times New Roman" w:eastAsia="Times New Roman" w:hAnsi="Times New Roman"/>
          <w:b w:val="1"/>
          <w:bCs w:val="1"/>
          <w:sz w:val="24"/>
          <w:szCs w:val="24"/>
          <w:rtl w:val="0"/>
        </w:rPr>
        <w:t xml:space="preserve">MSBDD</w:t>
      </w:r>
      <w:r w:rsidDel="00000000" w:rsidR="00000000" w:rsidRPr="00000000">
        <w:rPr>
          <w:rFonts w:ascii="Times New Roman" w:cs="Times New Roman" w:eastAsia="Times New Roman" w:hAnsi="Times New Roman"/>
          <w:sz w:val="24"/>
          <w:szCs w:val="24"/>
          <w:rtl w:val="0"/>
        </w:rPr>
        <w:t xml:space="preserve"> es técnicamente factible y estratégicamente necesario. La integración de tecnologías modernas como </w:t>
      </w:r>
      <w:r w:rsidDel="00000000" w:rsidR="00000000" w:rsidRPr="00000000">
        <w:rPr>
          <w:rFonts w:ascii="Times New Roman" w:cs="Times New Roman" w:eastAsia="Times New Roman" w:hAnsi="Times New Roman"/>
          <w:b w:val="1"/>
          <w:bCs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Docker</w:t>
      </w:r>
      <w:r w:rsidDel="00000000" w:rsidR="00000000" w:rsidRPr="00000000">
        <w:rPr>
          <w:rFonts w:ascii="Times New Roman" w:cs="Times New Roman" w:eastAsia="Times New Roman" w:hAnsi="Times New Roman"/>
          <w:sz w:val="24"/>
          <w:szCs w:val="24"/>
          <w:rtl w:val="0"/>
        </w:rPr>
        <w:t xml:space="preserve"> permite superar el riesgo de acceso limitado a servidores físicos mediante la virtualización eficiente. Con una inversión mínima de </w:t>
      </w:r>
      <w:r w:rsidDel="00000000" w:rsidR="00000000" w:rsidRPr="00000000">
        <w:rPr>
          <w:rFonts w:ascii="Times New Roman" w:cs="Times New Roman" w:eastAsia="Times New Roman" w:hAnsi="Times New Roman"/>
          <w:b w:val="1"/>
          <w:bCs w:val="1"/>
          <w:sz w:val="24"/>
          <w:szCs w:val="24"/>
          <w:rtl w:val="0"/>
        </w:rPr>
        <w:t xml:space="preserve">S/ 310.00</w:t>
      </w:r>
      <w:r w:rsidDel="00000000" w:rsidR="00000000" w:rsidRPr="00000000">
        <w:rPr>
          <w:rFonts w:ascii="Times New Roman" w:cs="Times New Roman" w:eastAsia="Times New Roman" w:hAnsi="Times New Roman"/>
          <w:sz w:val="24"/>
          <w:szCs w:val="24"/>
          <w:rtl w:val="0"/>
        </w:rPr>
        <w:t xml:space="preserve">, el proyecto ofrece una rentabilidad inmediata al sustituir herramientas comerciales costosas y reducir el riesgo de caídas de servicio. Se valida que el sistema no solo cumple con los estándares de ingeniería de la UPT, sino que promueve una cultura de observabilidad proactiva indispensable para cualquier administrador de bases de datos moderno.</w:t>
      </w:r>
    </w:p>
    <w:p w:rsidR="00000000" w:rsidDel="00000000" w:rsidP="00000000" w:rsidRDefault="00000000" w:rsidRPr="00000000" w14:paraId="000000EB">
      <w:pPr>
        <w:pStyle w:val="Heading2"/>
        <w:keepNext w:val="0"/>
        <w:keepLines w:val="0"/>
        <w:jc w:val="both"/>
        <w:rPr>
          <w:rFonts w:ascii="Times New Roman" w:cs="Times New Roman" w:eastAsia="Times New Roman" w:hAnsi="Times New Roman"/>
          <w:sz w:val="34"/>
          <w:szCs w:val="34"/>
        </w:rPr>
      </w:pPr>
      <w:bookmarkStart w:colFirst="0" w:colLast="0" w:name="_heading=h.iqxgwrgfttyi" w:id="30"/>
      <w:bookmarkEnd w:id="30"/>
      <w:r w:rsidDel="00000000" w:rsidR="00000000" w:rsidRPr="00000000">
        <w:rPr>
          <w:rFonts w:ascii="Times New Roman" w:cs="Times New Roman" w:eastAsia="Times New Roman" w:hAnsi="Times New Roman"/>
          <w:sz w:val="34"/>
          <w:szCs w:val="34"/>
          <w:rtl w:val="0"/>
        </w:rPr>
        <w:t xml:space="preserve">RECOMENDACIONES</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la aprobación inmediata para la fase de construcción, con un enfoque estricto en el cumplimiento del cronograma de 4 meses. Es fundamental priorizar la implementación del módulo de </w:t>
      </w:r>
      <w:r w:rsidDel="00000000" w:rsidR="00000000" w:rsidRPr="00000000">
        <w:rPr>
          <w:rFonts w:ascii="Times New Roman" w:cs="Times New Roman" w:eastAsia="Times New Roman" w:hAnsi="Times New Roman"/>
          <w:b w:val="1"/>
          <w:bCs w:val="1"/>
          <w:sz w:val="24"/>
          <w:szCs w:val="24"/>
          <w:rtl w:val="0"/>
        </w:rPr>
        <w:t xml:space="preserve">diagnóstico de índices no utilizados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bloqueos</w:t>
      </w:r>
      <w:r w:rsidDel="00000000" w:rsidR="00000000" w:rsidRPr="00000000">
        <w:rPr>
          <w:rFonts w:ascii="Times New Roman" w:cs="Times New Roman" w:eastAsia="Times New Roman" w:hAnsi="Times New Roman"/>
          <w:sz w:val="24"/>
          <w:szCs w:val="24"/>
          <w:rtl w:val="0"/>
        </w:rPr>
        <w:t xml:space="preserve">, ya que estos representan los mayores beneficios operativos para el DBA. Asimismo, se sugiere realizar las pruebas de despliegue en servicios de nube gratuitos (Railway o Render) desde el segundo mes para garantizar la estabilidad del sistema en entornos externos.</w:t>
      </w:r>
    </w:p>
    <w:p w:rsidR="00000000" w:rsidDel="00000000" w:rsidP="00000000" w:rsidRDefault="00000000" w:rsidRPr="00000000" w14:paraId="000000ED">
      <w:pPr>
        <w:pStyle w:val="Heading2"/>
        <w:keepNext w:val="0"/>
        <w:keepLines w:val="0"/>
        <w:jc w:val="both"/>
        <w:rPr>
          <w:rFonts w:ascii="Times New Roman" w:cs="Times New Roman" w:eastAsia="Times New Roman" w:hAnsi="Times New Roman"/>
          <w:sz w:val="34"/>
          <w:szCs w:val="34"/>
        </w:rPr>
      </w:pPr>
      <w:bookmarkStart w:colFirst="0" w:colLast="0" w:name="_heading=h.5c9s9zhiq53b" w:id="31"/>
      <w:bookmarkEnd w:id="31"/>
      <w:r w:rsidDel="00000000" w:rsidR="00000000" w:rsidRPr="00000000">
        <w:rPr>
          <w:rFonts w:ascii="Times New Roman" w:cs="Times New Roman" w:eastAsia="Times New Roman" w:hAnsi="Times New Roman"/>
          <w:sz w:val="34"/>
          <w:szCs w:val="34"/>
          <w:rtl w:val="0"/>
        </w:rPr>
        <w:t xml:space="preserve">BIBLIOGRAFÍA / WEBGRAFÍA</w:t>
      </w:r>
    </w:p>
    <w:p w:rsidR="00000000" w:rsidDel="00000000" w:rsidP="00000000" w:rsidRDefault="00000000" w:rsidRPr="00000000" w14:paraId="000000EE">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PostgreSQL Global Development Group (2023):</w:t>
      </w:r>
      <w:r w:rsidDel="00000000" w:rsidR="00000000" w:rsidRPr="00000000">
        <w:rPr>
          <w:rFonts w:ascii="Times New Roman" w:cs="Times New Roman" w:eastAsia="Times New Roman" w:hAnsi="Times New Roman"/>
          <w:sz w:val="24"/>
          <w:szCs w:val="24"/>
          <w:rtl w:val="0"/>
        </w:rPr>
        <w:t xml:space="preserve"> Documentación técnica de PostgreSQL 15 y vistas estadísticas.</w:t>
      </w:r>
    </w:p>
    <w:p w:rsidR="00000000" w:rsidDel="00000000" w:rsidP="00000000" w:rsidRDefault="00000000" w:rsidRPr="00000000" w14:paraId="000000EF">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FastAPI Documentation:</w:t>
      </w:r>
      <w:r w:rsidDel="00000000" w:rsidR="00000000" w:rsidRPr="00000000">
        <w:rPr>
          <w:rFonts w:ascii="Times New Roman" w:cs="Times New Roman" w:eastAsia="Times New Roman" w:hAnsi="Times New Roman"/>
          <w:sz w:val="24"/>
          <w:szCs w:val="24"/>
          <w:rtl w:val="0"/>
        </w:rPr>
        <w:t xml:space="preserve"> Documentación oficial para la construcción de APIs asíncronas de alto rendimiento.</w:t>
      </w:r>
    </w:p>
    <w:p w:rsidR="00000000" w:rsidDel="00000000" w:rsidP="00000000" w:rsidRDefault="00000000" w:rsidRPr="00000000" w14:paraId="000000F0">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SQLAlchemy &amp; Psycopg2:</w:t>
      </w:r>
      <w:r w:rsidDel="00000000" w:rsidR="00000000" w:rsidRPr="00000000">
        <w:rPr>
          <w:rFonts w:ascii="Times New Roman" w:cs="Times New Roman" w:eastAsia="Times New Roman" w:hAnsi="Times New Roman"/>
          <w:sz w:val="24"/>
          <w:szCs w:val="24"/>
          <w:rtl w:val="0"/>
        </w:rPr>
        <w:t xml:space="preserve"> Guías de referencia para la conectividad y ORM en Python.</w:t>
      </w:r>
    </w:p>
    <w:p w:rsidR="00000000" w:rsidDel="00000000" w:rsidP="00000000" w:rsidRDefault="00000000" w:rsidRPr="00000000" w14:paraId="000000F1">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Docker Inc.:</w:t>
      </w:r>
      <w:r w:rsidDel="00000000" w:rsidR="00000000" w:rsidRPr="00000000">
        <w:rPr>
          <w:rFonts w:ascii="Times New Roman" w:cs="Times New Roman" w:eastAsia="Times New Roman" w:hAnsi="Times New Roman"/>
          <w:sz w:val="24"/>
          <w:szCs w:val="24"/>
          <w:rtl w:val="0"/>
        </w:rPr>
        <w:t xml:space="preserve"> Mejores prácticas para la contenerización de microservicios de monitoreo.</w:t>
      </w:r>
    </w:p>
    <w:p w:rsidR="00000000" w:rsidDel="00000000" w:rsidP="00000000" w:rsidRDefault="00000000" w:rsidRPr="00000000" w14:paraId="000000F2">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Privada de Tacna:</w:t>
      </w:r>
      <w:r w:rsidDel="00000000" w:rsidR="00000000" w:rsidRPr="00000000">
        <w:rPr>
          <w:rFonts w:ascii="Times New Roman" w:cs="Times New Roman" w:eastAsia="Times New Roman" w:hAnsi="Times New Roman"/>
          <w:sz w:val="24"/>
          <w:szCs w:val="24"/>
          <w:rtl w:val="0"/>
        </w:rPr>
        <w:t xml:space="preserve"> Lineamientos de la Escuela Profesional de Ingeniería de Sistemas (EPIS).</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sectPr>
      <w:headerReference r:id="rId14" w:type="default"/>
      <w:footerReference r:id="rId15"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ma7Uag+Z8KTzYfFrb76ZT2h+uw==">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