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2E74B5"/>
          <w:sz w:val="20"/>
        </w:rPr>
        <w:t>PROYECTO SI783 · BASE DE DATOS</w:t>
      </w:r>
    </w:p>
    <w:p>
      <w:pPr>
        <w:spacing w:after="80"/>
      </w:pPr>
      <w:r>
        <w:rPr>
          <w:rFonts w:ascii="Calibri" w:hAnsi="Calibri"/>
          <w:b/>
          <w:color w:val="000000"/>
          <w:sz w:val="46"/>
        </w:rPr>
        <w:t>FD01 - INFORME DE FACTIBILIDAD</w:t>
      </w:r>
    </w:p>
    <w:p>
      <w:pPr>
        <w:spacing w:after="280"/>
      </w:pPr>
      <w:r>
        <w:rPr>
          <w:rFonts w:ascii="Calibri" w:hAnsi="Calibri"/>
          <w:color w:val="666666"/>
          <w:sz w:val="26"/>
        </w:rPr>
        <w:t>Query Analyzer · Evidencia factual de rendimiento de consultas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Documento: </w:t>
      </w:r>
      <w:r>
        <w:rPr>
          <w:rFonts w:ascii="Calibri" w:hAnsi="Calibri"/>
          <w:sz w:val="21"/>
        </w:rPr>
        <w:t>FD01 - Informe de factibilidad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Versión: </w:t>
      </w:r>
      <w:r>
        <w:rPr>
          <w:rFonts w:ascii="Calibri" w:hAnsi="Calibri"/>
          <w:sz w:val="21"/>
        </w:rPr>
        <w:t>2.1.0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Plataforma: </w:t>
      </w:r>
      <w:r>
        <w:rPr>
          <w:rFonts w:ascii="Calibri" w:hAnsi="Calibri"/>
          <w:sz w:val="21"/>
        </w:rPr>
        <w:t>Python 3.14+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Interfaces: </w:t>
      </w:r>
      <w:r>
        <w:rPr>
          <w:rFonts w:ascii="Calibri" w:hAnsi="Calibri"/>
          <w:sz w:val="21"/>
        </w:rPr>
        <w:t>CLI, TUI y API REST local</w:t>
      </w:r>
    </w:p>
    <w:p>
      <w:pPr>
        <w:spacing w:before="200" w:after="200"/>
        <w:pBdr>
          <w:bottom w:val="single" w:sz="12" w:space="1" w:color="2E74B5"/>
        </w:pBdr>
      </w:pPr>
    </w:p>
    <w:p>
      <w:pPr>
        <w:pStyle w:val="Heading1"/>
      </w:pPr>
      <w:r>
        <w:rPr>
          <w:rFonts w:ascii="Calibri" w:hAnsi="Calibri"/>
        </w:rPr>
        <w:t>Identificación</w:t>
      </w:r>
    </w:p>
    <w:p>
      <w:pPr>
        <w:pStyle w:val="ListBullet"/>
      </w:pPr>
      <w:r>
        <w:rPr>
          <w:rFonts w:ascii="Calibri" w:hAnsi="Calibri"/>
        </w:rPr>
        <w:t>Proyecto: Query Analyzer</w:t>
      </w:r>
    </w:p>
    <w:p>
      <w:pPr>
        <w:pStyle w:val="ListBullet"/>
      </w:pPr>
      <w:r>
        <w:rPr>
          <w:rFonts w:ascii="Calibri" w:hAnsi="Calibri"/>
        </w:rPr>
        <w:t>Versión documentada: 2.1.0</w:t>
      </w:r>
    </w:p>
    <w:p>
      <w:pPr>
        <w:pStyle w:val="ListBullet"/>
      </w:pPr>
      <w:r>
        <w:rPr>
          <w:rFonts w:ascii="Calibri" w:hAnsi="Calibri"/>
        </w:rPr>
        <w:t>Plataforma: Python 3.14+</w:t>
      </w:r>
    </w:p>
    <w:p>
      <w:pPr>
        <w:pStyle w:val="ListBullet"/>
      </w:pPr>
      <w:r>
        <w:rPr>
          <w:rFonts w:ascii="Calibri" w:hAnsi="Calibri"/>
        </w:rPr>
        <w:t>Interfaces: CLI, TUI y API REST local</w:t>
      </w:r>
    </w:p>
    <w:p>
      <w:pPr>
        <w:pStyle w:val="Heading1"/>
      </w:pPr>
      <w:r>
        <w:rPr>
          <w:rFonts w:ascii="Calibri" w:hAnsi="Calibri"/>
        </w:rPr>
        <w:t>Problema</w:t>
      </w:r>
    </w:p>
    <w:p>
      <w:r>
        <w:rPr>
          <w:rFonts w:ascii="Calibri" w:hAnsi="Calibri"/>
        </w:rPr>
        <w:t>Los motores de bases de datos entregan planes y métricas con formatos distintos. La inspección manual exige conocer cada motor, reunir datos dispersos y evitar comparaciones engañosas entre valores que no tienen el mismo significado.</w:t>
      </w:r>
    </w:p>
    <w:p>
      <w:pPr>
        <w:pStyle w:val="Heading1"/>
      </w:pPr>
      <w:r>
        <w:rPr>
          <w:rFonts w:ascii="Calibri" w:hAnsi="Calibri"/>
        </w:rPr>
        <w:t>Solución propuesta</w:t>
      </w:r>
    </w:p>
    <w:p>
      <w:r>
        <w:rPr>
          <w:rFonts w:ascii="Calibri" w:hAnsi="Calibri"/>
        </w:rPr>
        <w:t xml:space="preserve">Query Analyzer unifica el acceso a motores SQL y NoSQL mediante adaptadores. Cada adaptador obtiene la evidencia disponible y construye un </w:t>
      </w:r>
      <w:r>
        <w:rPr>
          <w:rFonts w:ascii="Consolas" w:hAnsi="Consolas"/>
          <w:color w:val="1F4D78"/>
          <w:sz w:val="19"/>
        </w:rPr>
        <w:t>QueryAnalysisReport</w:t>
      </w:r>
      <w:r>
        <w:rPr>
          <w:rFonts w:ascii="Calibri" w:hAnsi="Calibri"/>
        </w:rPr>
        <w:t xml:space="preserve"> con:</w:t>
      </w:r>
    </w:p>
    <w:p>
      <w:pPr>
        <w:pStyle w:val="ListBullet"/>
      </w:pPr>
      <w:r>
        <w:rPr>
          <w:rFonts w:ascii="Calibri" w:hAnsi="Calibri"/>
        </w:rPr>
        <w:t>consulta y motor;</w:t>
      </w:r>
    </w:p>
    <w:p>
      <w:pPr>
        <w:pStyle w:val="ListBullet"/>
      </w:pPr>
      <w:r>
        <w:rPr>
          <w:rFonts w:ascii="Calibri" w:hAnsi="Calibri"/>
        </w:rPr>
        <w:t>tiempo observado;</w:t>
      </w:r>
    </w:p>
    <w:p>
      <w:pPr>
        <w:pStyle w:val="ListBullet"/>
      </w:pPr>
      <w:r>
        <w:rPr>
          <w:rFonts w:ascii="Calibri" w:hAnsi="Calibri"/>
        </w:rPr>
        <w:t>plan normalizado;</w:t>
      </w:r>
    </w:p>
    <w:p>
      <w:pPr>
        <w:pStyle w:val="ListBullet"/>
      </w:pPr>
      <w:r>
        <w:rPr>
          <w:rFonts w:ascii="Calibri" w:hAnsi="Calibri"/>
        </w:rPr>
        <w:t>plan original;</w:t>
      </w:r>
    </w:p>
    <w:p>
      <w:pPr>
        <w:pStyle w:val="ListBullet"/>
      </w:pPr>
      <w:r>
        <w:rPr>
          <w:rFonts w:ascii="Calibri" w:hAnsi="Calibri"/>
        </w:rPr>
        <w:t>métricas disponibles;</w:t>
      </w:r>
    </w:p>
    <w:p>
      <w:pPr>
        <w:pStyle w:val="ListBullet"/>
      </w:pPr>
      <w:r>
        <w:rPr>
          <w:rFonts w:ascii="Calibri" w:hAnsi="Calibri"/>
        </w:rPr>
        <w:t>fecha de análisis;</w:t>
      </w:r>
    </w:p>
    <w:p>
      <w:pPr>
        <w:pStyle w:val="ListBullet"/>
      </w:pPr>
      <w:r>
        <w:rPr>
          <w:rFonts w:ascii="Calibri" w:hAnsi="Calibri"/>
        </w:rPr>
        <w:t>interpretación opcional mediante IA.</w:t>
      </w:r>
    </w:p>
    <w:p>
      <w:r>
        <w:rPr>
          <w:rFonts w:ascii="Calibri" w:hAnsi="Calibri"/>
        </w:rPr>
        <w:t>El sistema no genera una puntuación 0-100 ni clasifica automáticamente la calidad de la consulta. Esa decisión evita presentar heurísticas como hechos.</w:t>
      </w:r>
    </w:p>
    <w:p>
      <w:pPr>
        <w:pStyle w:val="Heading1"/>
      </w:pPr>
      <w:r>
        <w:rPr>
          <w:rFonts w:ascii="Calibri" w:hAnsi="Calibri"/>
        </w:rPr>
        <w:t>Factibilidad técnica</w:t>
      </w:r>
    </w:p>
    <w:p>
      <w:r>
        <w:rPr>
          <w:rFonts w:ascii="Calibri" w:hAnsi="Calibri"/>
        </w:rPr>
        <w:t>La arquitectura utiliza:</w:t>
      </w:r>
    </w:p>
    <w:p>
      <w:pPr>
        <w:pStyle w:val="ListBullet"/>
      </w:pPr>
      <w:r>
        <w:rPr>
          <w:rFonts w:ascii="Calibri" w:hAnsi="Calibri"/>
        </w:rPr>
        <w:t>Python 3.14;</w:t>
      </w:r>
    </w:p>
    <w:p>
      <w:pPr>
        <w:pStyle w:val="ListBullet"/>
      </w:pPr>
      <w:r>
        <w:rPr>
          <w:rFonts w:ascii="Calibri" w:hAnsi="Calibri"/>
        </w:rPr>
        <w:t>Pydantic para contratos;</w:t>
      </w:r>
    </w:p>
    <w:p>
      <w:pPr>
        <w:pStyle w:val="ListBullet"/>
      </w:pPr>
      <w:r>
        <w:rPr>
          <w:rFonts w:ascii="Calibri" w:hAnsi="Calibri"/>
        </w:rPr>
        <w:t>Typer y Rich para CLI;</w:t>
      </w:r>
    </w:p>
    <w:p>
      <w:pPr>
        <w:pStyle w:val="ListBullet"/>
      </w:pPr>
      <w:r>
        <w:rPr>
          <w:rFonts w:ascii="Calibri" w:hAnsi="Calibri"/>
        </w:rPr>
        <w:t>Textual para TUI;</w:t>
      </w:r>
    </w:p>
    <w:p>
      <w:pPr>
        <w:pStyle w:val="ListBullet"/>
      </w:pPr>
      <w:r>
        <w:rPr>
          <w:rFonts w:ascii="Calibri" w:hAnsi="Calibri"/>
        </w:rPr>
        <w:t>FastAPI y Uvicorn para API;</w:t>
      </w:r>
    </w:p>
    <w:p>
      <w:pPr>
        <w:pStyle w:val="ListBullet"/>
      </w:pPr>
      <w:r>
        <w:rPr>
          <w:rFonts w:ascii="Calibri" w:hAnsi="Calibri"/>
        </w:rPr>
        <w:t>drivers oficiales o ampliamente utilizados;</w:t>
      </w:r>
    </w:p>
    <w:p>
      <w:pPr>
        <w:pStyle w:val="ListBullet"/>
      </w:pPr>
      <w:r>
        <w:rPr>
          <w:rFonts w:ascii="Calibri" w:hAnsi="Calibri"/>
        </w:rPr>
        <w:t>Docker para integración local.</w:t>
      </w:r>
    </w:p>
    <w:p>
      <w:r>
        <w:rPr>
          <w:rFonts w:ascii="Calibri" w:hAnsi="Calibri"/>
        </w:rPr>
        <w:t>La separación por adaptadores permite añadir motores sin cambiar el contrato principal. Las pruebas unitarias, Ruff y mypy validan el núcleo.</w:t>
      </w:r>
    </w:p>
    <w:p>
      <w:pPr>
        <w:pStyle w:val="Heading1"/>
      </w:pPr>
      <w:r>
        <w:rPr>
          <w:rFonts w:ascii="Calibri" w:hAnsi="Calibri"/>
        </w:rPr>
        <w:t>Factibilidad operativa</w:t>
      </w:r>
    </w:p>
    <w:p>
      <w:r>
        <w:rPr>
          <w:rFonts w:ascii="Calibri" w:hAnsi="Calibri"/>
        </w:rPr>
        <w:t>El usuario puede:</w:t>
      </w:r>
    </w:p>
    <w:p>
      <w:pPr>
        <w:pStyle w:val="ListNumber"/>
      </w:pPr>
      <w:r>
        <w:rPr>
          <w:rFonts w:ascii="Calibri" w:hAnsi="Calibri"/>
        </w:rPr>
        <w:t>Crear un perfil cifrado.</w:t>
      </w:r>
    </w:p>
    <w:p>
      <w:pPr>
        <w:pStyle w:val="ListNumber"/>
      </w:pPr>
      <w:r>
        <w:rPr>
          <w:rFonts w:ascii="Calibri" w:hAnsi="Calibri"/>
        </w:rPr>
        <w:t>Diagnosticar la conexión.</w:t>
      </w:r>
    </w:p>
    <w:p>
      <w:pPr>
        <w:pStyle w:val="ListNumber"/>
      </w:pPr>
      <w:r>
        <w:rPr>
          <w:rFonts w:ascii="Calibri" w:hAnsi="Calibri"/>
        </w:rPr>
        <w:t>Ejecutar el análisis.</w:t>
      </w:r>
    </w:p>
    <w:p>
      <w:pPr>
        <w:pStyle w:val="ListNumber"/>
      </w:pPr>
      <w:r>
        <w:rPr>
          <w:rFonts w:ascii="Calibri" w:hAnsi="Calibri"/>
        </w:rPr>
        <w:t>revisar plan, métricas y datos originales.</w:t>
      </w:r>
    </w:p>
    <w:p>
      <w:pPr>
        <w:pStyle w:val="ListNumber"/>
      </w:pPr>
      <w:r>
        <w:rPr>
          <w:rFonts w:ascii="Calibri" w:hAnsi="Calibri"/>
        </w:rPr>
        <w:t>Exportar el reporte.</w:t>
      </w:r>
    </w:p>
    <w:p>
      <w:pPr>
        <w:pStyle w:val="ListNumber"/>
      </w:pPr>
      <w:r>
        <w:rPr>
          <w:rFonts w:ascii="Calibri" w:hAnsi="Calibri"/>
        </w:rPr>
        <w:t>Solicitar interpretación de IA de manera opcional.</w:t>
      </w:r>
    </w:p>
    <w:p>
      <w:r>
        <w:rPr>
          <w:rFonts w:ascii="Calibri" w:hAnsi="Calibri"/>
        </w:rPr>
        <w:t>La herramienta funciona localmente y no requiere almacenar credenciales en un servicio externo. La API recibe secretos por solicitud y no los persiste.</w:t>
      </w:r>
    </w:p>
    <w:p>
      <w:pPr>
        <w:pStyle w:val="Heading1"/>
      </w:pPr>
      <w:r>
        <w:rPr>
          <w:rFonts w:ascii="Calibri" w:hAnsi="Calibri"/>
        </w:rPr>
        <w:t>Riesgos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</w:rPr>
              <w:t>Riesgo</w:t>
            </w:r>
          </w:p>
        </w:tc>
        <w:tc>
          <w:tcPr>
            <w:tcW w:type="dxa" w:w="6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</w:rPr>
              <w:t>Tratamiento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Métricas diferentes entre motores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Documentar semántica y evitar un score común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 xml:space="preserve">Motores sin </w:t>
            </w:r>
            <w:r>
              <w:rPr>
                <w:rFonts w:ascii="Consolas" w:hAnsi="Consolas"/>
                <w:color w:val="1F4D78"/>
                <w:sz w:val="19"/>
              </w:rPr>
              <w:t>EXPLAIN</w:t>
            </w:r>
            <w:r>
              <w:rPr>
                <w:rFonts w:ascii="Calibri" w:hAnsi="Calibri"/>
              </w:rPr>
              <w:t xml:space="preserve"> formal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Reportar solo datos realmente disponibles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Exposición de credenciales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Cifrado, </w:t>
            </w:r>
            <w:r>
              <w:rPr>
                <w:rFonts w:ascii="Consolas" w:hAnsi="Consolas"/>
                <w:color w:val="1F4D78"/>
                <w:sz w:val="19"/>
              </w:rPr>
              <w:t>SecretStr</w:t>
            </w:r>
            <w:r>
              <w:rPr>
                <w:rFonts w:ascii="Calibri" w:hAnsi="Calibri"/>
              </w:rPr>
              <w:t xml:space="preserve"> y sanitización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Interpretaciones incorrectas de IA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Separar IA de datos factuales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Dependencias opcionales difíciles de compilar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Instalación y soporte documentados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/>
        </w:rPr>
        <w:t>Conclusión</w:t>
      </w:r>
    </w:p>
    <w:p>
      <w:r>
        <w:rPr>
          <w:rFonts w:ascii="Calibri" w:hAnsi="Calibri"/>
        </w:rPr>
        <w:t>El proyecto es técnicamente viable. El valor principal está en normalizar y presentar evidencia verificable de múltiples motores, no en emitir diagnósticos automáticos sin contexto.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Informe de factibilidad  |  Versión 2.1.0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6666"/>
        <w:sz w:val="17"/>
      </w:rPr>
      <w:t>QUERY ANALYZER  |  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FD01 - Informe de factibilidad</dc:title>
  <dc:subject>Query Analyzer 2.1.0</dc:subject>
  <dc:creator>Equipo del proyecto SI783</dc:creator>
  <cp:keywords>Query Analyzer, bases de datos, rendimiento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