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2E74B5"/>
          <w:sz w:val="20"/>
        </w:rPr>
        <w:t>PROYECTO SI783 · BASE DE DATOS</w:t>
      </w:r>
    </w:p>
    <w:p>
      <w:pPr>
        <w:spacing w:after="80"/>
      </w:pPr>
      <w:r>
        <w:rPr>
          <w:rFonts w:ascii="Calibri" w:hAnsi="Calibri"/>
          <w:b/>
          <w:color w:val="000000"/>
          <w:sz w:val="46"/>
        </w:rPr>
        <w:t>FD04 - INFORME DE ARQUITECTURA</w:t>
      </w:r>
    </w:p>
    <w:p>
      <w:pPr>
        <w:spacing w:after="280"/>
      </w:pPr>
      <w:r>
        <w:rPr>
          <w:rFonts w:ascii="Calibri" w:hAnsi="Calibri"/>
          <w:color w:val="666666"/>
          <w:sz w:val="26"/>
        </w:rPr>
        <w:t>Query Analyzer · Evidencia factual de rendimiento de consultas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Documento: </w:t>
      </w:r>
      <w:r>
        <w:rPr>
          <w:rFonts w:ascii="Calibri" w:hAnsi="Calibri"/>
          <w:sz w:val="21"/>
        </w:rPr>
        <w:t>FD04 - Informe de arquitectura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Versión: </w:t>
      </w:r>
      <w:r>
        <w:rPr>
          <w:rFonts w:ascii="Calibri" w:hAnsi="Calibri"/>
          <w:sz w:val="21"/>
        </w:rPr>
        <w:t>2.1.0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Plataforma: </w:t>
      </w:r>
      <w:r>
        <w:rPr>
          <w:rFonts w:ascii="Calibri" w:hAnsi="Calibri"/>
          <w:sz w:val="21"/>
        </w:rPr>
        <w:t>Python 3.14+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Interfaces: </w:t>
      </w:r>
      <w:r>
        <w:rPr>
          <w:rFonts w:ascii="Calibri" w:hAnsi="Calibri"/>
          <w:sz w:val="21"/>
        </w:rPr>
        <w:t>CLI, TUI y API REST local</w:t>
      </w:r>
    </w:p>
    <w:p>
      <w:pPr>
        <w:spacing w:before="200" w:after="200"/>
        <w:pBdr>
          <w:bottom w:val="single" w:sz="12" w:space="1" w:color="2E74B5"/>
        </w:pBdr>
      </w:pPr>
    </w:p>
    <w:p>
      <w:pPr>
        <w:pStyle w:val="Heading1"/>
      </w:pPr>
      <w:r>
        <w:rPr>
          <w:rFonts w:ascii="Calibri" w:hAnsi="Calibri"/>
        </w:rPr>
        <w:t>Estilo</w:t>
      </w:r>
    </w:p>
    <w:p>
      <w:r>
        <w:rPr>
          <w:rFonts w:ascii="Calibri" w:hAnsi="Calibri"/>
        </w:rPr>
        <w:t>La solución combina arquitectura por capas con patrón Adapter.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CLI / TUI / API</w:t>
              <w:br/>
              <w:t xml:space="preserve">       |</w:t>
              <w:br/>
              <w:t>Modelos y servicios de aplicación</w:t>
              <w:br/>
              <w:t xml:space="preserve">       |</w:t>
              <w:br/>
              <w:t>AdapterRegistry + BaseAdapter</w:t>
              <w:br/>
              <w:t xml:space="preserve">       |</w:t>
              <w:br/>
              <w:t>Drivers de motores</w:t>
            </w:r>
          </w:p>
        </w:tc>
      </w:tr>
    </w:tbl>
    <w:p>
      <w:pPr>
        <w:pStyle w:val="Heading1"/>
      </w:pPr>
      <w:r>
        <w:rPr>
          <w:rFonts w:ascii="Calibri" w:hAnsi="Calibri"/>
        </w:rPr>
        <w:t>Componentes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</w:rPr>
              <w:t>Componente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</w:rPr>
              <w:t>Responsabilidad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F4D78"/>
                <w:sz w:val="19"/>
              </w:rPr>
              <w:t>query_analyzer/adapters/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Conexión, extracción y normalización por motor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F4D78"/>
                <w:sz w:val="19"/>
              </w:rPr>
              <w:t>query_analyzer/config/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Perfiles y cifrado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F4D78"/>
                <w:sz w:val="19"/>
              </w:rPr>
              <w:t>query_analyzer/core/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Diagnóstico e IA opcional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F4D78"/>
                <w:sz w:val="19"/>
              </w:rPr>
              <w:t>query_analyzer/cli/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Interfaz de comandos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F4D78"/>
                <w:sz w:val="19"/>
              </w:rPr>
              <w:t>query_analyzer/tui/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Interfaz terminal interactiva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onsolas" w:hAnsi="Consolas"/>
                <w:color w:val="1F4D78"/>
                <w:sz w:val="19"/>
              </w:rPr>
              <w:t>query_analyzer/api/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FastAPI, schemas y endpoints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</w:rPr>
        <w:t>Flujo de análisis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Solicitud</w:t>
              <w:br/>
              <w:t xml:space="preserve">  -&gt; validar entrada</w:t>
              <w:br/>
              <w:t xml:space="preserve">  -&gt; construir ConnectionConfig</w:t>
              <w:br/>
              <w:t xml:space="preserve">  -&gt; AdapterRegistry.create</w:t>
              <w:br/>
              <w:t xml:space="preserve">  -&gt; connect</w:t>
              <w:br/>
              <w:t xml:space="preserve">  -&gt; execute_explain</w:t>
              <w:br/>
              <w:t xml:space="preserve">  -&gt; QueryAnalysisReport</w:t>
              <w:br/>
              <w:t xml:space="preserve">  -&gt; presentar o serializar</w:t>
              <w:br/>
              <w:t xml:space="preserve">  -&gt; disconnect</w:t>
            </w:r>
          </w:p>
        </w:tc>
      </w:tr>
    </w:tbl>
    <w:p>
      <w:pPr>
        <w:pStyle w:val="Heading1"/>
      </w:pPr>
      <w:r>
        <w:rPr>
          <w:rFonts w:ascii="Calibri" w:hAnsi="Calibri"/>
        </w:rPr>
        <w:t>Modelo factual</w:t>
      </w:r>
    </w:p>
    <w:p>
      <w:r>
        <w:rPr>
          <w:rFonts w:ascii="Calibri" w:hAnsi="Calibri"/>
        </w:rPr>
        <w:t xml:space="preserve">Los adaptadores convierten resultados específicos en </w:t>
      </w:r>
      <w:r>
        <w:rPr>
          <w:rFonts w:ascii="Consolas" w:hAnsi="Consolas"/>
          <w:color w:val="1F4D78"/>
          <w:sz w:val="19"/>
        </w:rPr>
        <w:t>PlanNode</w:t>
      </w:r>
      <w:r>
        <w:rPr>
          <w:rFonts w:ascii="Calibri" w:hAnsi="Calibri"/>
        </w:rPr>
        <w:t xml:space="preserve"> y </w:t>
      </w:r>
      <w:r>
        <w:rPr>
          <w:rFonts w:ascii="Consolas" w:hAnsi="Consolas"/>
          <w:color w:val="1F4D78"/>
          <w:sz w:val="19"/>
        </w:rPr>
        <w:t>QueryAnalysisReport</w:t>
      </w:r>
      <w:r>
        <w:rPr>
          <w:rFonts w:ascii="Calibri" w:hAnsi="Calibri"/>
        </w:rPr>
        <w:t xml:space="preserve">. La normalización no debe añadir evaluaciones de calidad. Valores ausentes permanecen como </w:t>
      </w:r>
      <w:r>
        <w:rPr>
          <w:rFonts w:ascii="Consolas" w:hAnsi="Consolas"/>
          <w:color w:val="1F4D78"/>
          <w:sz w:val="19"/>
        </w:rPr>
        <w:t>None</w:t>
      </w:r>
      <w:r>
        <w:rPr>
          <w:rFonts w:ascii="Calibri" w:hAnsi="Calibri"/>
        </w:rPr>
        <w:t xml:space="preserve"> o se omiten según el contrato.</w:t>
      </w:r>
    </w:p>
    <w:p>
      <w:pPr>
        <w:pStyle w:val="Heading1"/>
      </w:pPr>
      <w:r>
        <w:rPr>
          <w:rFonts w:ascii="Calibri" w:hAnsi="Calibri"/>
        </w:rPr>
        <w:t>IA</w:t>
      </w:r>
    </w:p>
    <w:p>
      <w:r>
        <w:rPr>
          <w:rFonts w:ascii="Consolas" w:hAnsi="Consolas"/>
          <w:color w:val="1F4D78"/>
          <w:sz w:val="19"/>
        </w:rPr>
        <w:t>AIAnalyzer</w:t>
      </w:r>
      <w:r>
        <w:rPr>
          <w:rFonts w:ascii="Calibri" w:hAnsi="Calibri"/>
        </w:rPr>
        <w:t xml:space="preserve"> acepta configuración por entorno o parámetros explícitos. Su salida se convierte en </w:t>
      </w:r>
      <w:r>
        <w:rPr>
          <w:rFonts w:ascii="Consolas" w:hAnsi="Consolas"/>
          <w:color w:val="1F4D78"/>
          <w:sz w:val="19"/>
        </w:rPr>
        <w:t>AIAnalysisResult</w:t>
      </w:r>
      <w:r>
        <w:rPr>
          <w:rFonts w:ascii="Calibri" w:hAnsi="Calibri"/>
        </w:rPr>
        <w:t xml:space="preserve"> y se almacena separada de las métricas.</w:t>
      </w:r>
    </w:p>
    <w:p>
      <w:pPr>
        <w:pStyle w:val="Heading1"/>
      </w:pPr>
      <w:r>
        <w:rPr>
          <w:rFonts w:ascii="Calibri" w:hAnsi="Calibri"/>
        </w:rPr>
        <w:t>API</w:t>
      </w:r>
    </w:p>
    <w:p>
      <w:r>
        <w:rPr>
          <w:rFonts w:ascii="Consolas" w:hAnsi="Consolas"/>
          <w:color w:val="1F4D78"/>
          <w:sz w:val="19"/>
        </w:rPr>
        <w:t>query_analyzer.api.app:app</w:t>
      </w:r>
      <w:r>
        <w:rPr>
          <w:rFonts w:ascii="Calibri" w:hAnsi="Calibri"/>
        </w:rPr>
        <w:t xml:space="preserve"> expone rutas bajo </w:t>
      </w:r>
      <w:r>
        <w:rPr>
          <w:rFonts w:ascii="Consolas" w:hAnsi="Consolas"/>
          <w:color w:val="1F4D78"/>
          <w:sz w:val="19"/>
        </w:rPr>
        <w:t>/api/v1/analyzer</w:t>
      </w:r>
      <w:r>
        <w:rPr>
          <w:rFonts w:ascii="Calibri" w:hAnsi="Calibri"/>
        </w:rPr>
        <w:t xml:space="preserve">. Los schemas usan </w:t>
      </w:r>
      <w:r>
        <w:rPr>
          <w:rFonts w:ascii="Consolas" w:hAnsi="Consolas"/>
          <w:color w:val="1F4D78"/>
          <w:sz w:val="19"/>
        </w:rPr>
        <w:t>SecretStr</w:t>
      </w:r>
      <w:r>
        <w:rPr>
          <w:rFonts w:ascii="Calibri" w:hAnsi="Calibri"/>
        </w:rPr>
        <w:t xml:space="preserve"> para credenciales. Los errores internos se registran de forma sanitizada y la respuesta pública utiliza mensajes genéricos.</w:t>
      </w:r>
    </w:p>
    <w:p>
      <w:pPr>
        <w:pStyle w:val="Heading1"/>
      </w:pPr>
      <w:r>
        <w:rPr>
          <w:rFonts w:ascii="Calibri" w:hAnsi="Calibri"/>
        </w:rPr>
        <w:t>Seguridad</w:t>
      </w:r>
    </w:p>
    <w:p>
      <w:pPr>
        <w:pStyle w:val="ListBullet"/>
      </w:pPr>
      <w:r>
        <w:rPr>
          <w:rFonts w:ascii="Calibri" w:hAnsi="Calibri"/>
        </w:rPr>
        <w:t>Cifrado local de perfiles.</w:t>
      </w:r>
    </w:p>
    <w:p>
      <w:pPr>
        <w:pStyle w:val="ListBullet"/>
      </w:pPr>
      <w:r>
        <w:rPr>
          <w:rFonts w:ascii="Calibri" w:hAnsi="Calibri"/>
        </w:rPr>
        <w:t>Sanitización de URIs, contraseñas, tokens y claves.</w:t>
      </w:r>
    </w:p>
    <w:p>
      <w:pPr>
        <w:pStyle w:val="ListBullet"/>
      </w:pPr>
      <w:r>
        <w:rPr>
          <w:rFonts w:ascii="Calibri" w:hAnsi="Calibri"/>
        </w:rPr>
        <w:t>Liberación de conexiones mediante context manager.</w:t>
      </w:r>
    </w:p>
    <w:p>
      <w:pPr>
        <w:pStyle w:val="ListBullet"/>
      </w:pPr>
      <w:r>
        <w:rPr>
          <w:rFonts w:ascii="Calibri" w:hAnsi="Calibri"/>
        </w:rPr>
        <w:t>Sin persistencia de claves recibidas por API.</w:t>
      </w:r>
    </w:p>
    <w:p>
      <w:pPr>
        <w:pStyle w:val="ListBullet"/>
      </w:pPr>
      <w:r>
        <w:rPr>
          <w:rFonts w:ascii="Calibri" w:hAnsi="Calibri"/>
        </w:rPr>
        <w:t xml:space="preserve">Servidor API enlazado a </w:t>
      </w:r>
      <w:r>
        <w:rPr>
          <w:rFonts w:ascii="Consolas" w:hAnsi="Consolas"/>
          <w:color w:val="1F4D78"/>
          <w:sz w:val="19"/>
        </w:rPr>
        <w:t>127.0.0.1</w:t>
      </w:r>
      <w:r>
        <w:rPr>
          <w:rFonts w:ascii="Calibri" w:hAnsi="Calibri"/>
        </w:rPr>
        <w:t xml:space="preserve"> por defecto.</w:t>
      </w:r>
    </w:p>
    <w:p>
      <w:pPr>
        <w:pStyle w:val="Heading1"/>
      </w:pPr>
      <w:r>
        <w:rPr>
          <w:rFonts w:ascii="Calibri" w:hAnsi="Calibri"/>
        </w:rPr>
        <w:t>Calidad</w:t>
      </w:r>
    </w:p>
    <w:p>
      <w:pPr>
        <w:pStyle w:val="ListBullet"/>
      </w:pPr>
      <w:r>
        <w:rPr>
          <w:rFonts w:ascii="Calibri" w:hAnsi="Calibri"/>
        </w:rPr>
        <w:t>Ruff para formato y lint.</w:t>
      </w:r>
    </w:p>
    <w:p>
      <w:pPr>
        <w:pStyle w:val="ListBullet"/>
      </w:pPr>
      <w:r>
        <w:rPr>
          <w:rFonts w:ascii="Calibri" w:hAnsi="Calibri"/>
        </w:rPr>
        <w:t>mypy para tipado.</w:t>
      </w:r>
    </w:p>
    <w:p>
      <w:pPr>
        <w:pStyle w:val="ListBullet"/>
      </w:pPr>
      <w:r>
        <w:rPr>
          <w:rFonts w:ascii="Calibri" w:hAnsi="Calibri"/>
        </w:rPr>
        <w:t>pytest para pruebas unitarias e integración.</w:t>
      </w:r>
    </w:p>
    <w:p>
      <w:pPr>
        <w:pStyle w:val="ListBullet"/>
      </w:pPr>
      <w:r>
        <w:rPr>
          <w:rFonts w:ascii="Calibri" w:hAnsi="Calibri"/>
        </w:rPr>
        <w:t>Docker Compose para motores locales.</w:t>
      </w:r>
    </w:p>
    <w:p>
      <w:pPr>
        <w:pStyle w:val="Heading1"/>
      </w:pPr>
      <w:r>
        <w:rPr>
          <w:rFonts w:ascii="Calibri" w:hAnsi="Calibri"/>
        </w:rPr>
        <w:t>Decisiones</w:t>
      </w:r>
    </w:p>
    <w:p>
      <w:pPr>
        <w:pStyle w:val="ListNumber"/>
      </w:pPr>
      <w:r>
        <w:rPr>
          <w:rFonts w:ascii="Calibri" w:hAnsi="Calibri"/>
        </w:rPr>
        <w:t xml:space="preserve">No existe un </w:t>
      </w:r>
      <w:r>
        <w:rPr>
          <w:rFonts w:ascii="Consolas" w:hAnsi="Consolas"/>
          <w:color w:val="1F4D78"/>
          <w:sz w:val="19"/>
        </w:rPr>
        <w:t>ScoringEngine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No existe un detector central de antipatrones.</w:t>
      </w:r>
    </w:p>
    <w:p>
      <w:pPr>
        <w:pStyle w:val="ListNumber"/>
      </w:pPr>
      <w:r>
        <w:rPr>
          <w:rFonts w:ascii="Calibri" w:hAnsi="Calibri"/>
        </w:rPr>
        <w:t>Cada motor conserva sus datos originales además del formato normalizado.</w:t>
      </w:r>
    </w:p>
    <w:p>
      <w:pPr>
        <w:pStyle w:val="ListNumber"/>
      </w:pPr>
      <w:r>
        <w:rPr>
          <w:rFonts w:ascii="Calibri" w:hAnsi="Calibri"/>
        </w:rPr>
        <w:t>La interpretación pertenece a IA opcional, no al núcleo factual.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Informe de arquitectura de software  |  Versión 2.1.0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666"/>
        <w:sz w:val="17"/>
      </w:rPr>
      <w:t>QUERY ANALYZER  |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FD04 - Informe de arquitectura</dc:title>
  <dc:subject>Query Analyzer 2.1.0</dc:subject>
  <dc:creator>Equipo del proyecto SI783</dc:creator>
  <cp:keywords>Query Analyzer, bases de datos, rendimiento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