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UNIVERSIDAD PRIVADA DE TACNA</w:t>
      </w:r>
    </w:p>
    <w:p>
      <w:pPr>
        <w:jc w:val="center"/>
      </w:pPr>
      <w:r>
        <w:rPr>
          <w:rFonts w:ascii="Arial" w:hAnsi="Arial"/>
          <w:b/>
          <w:sz w:val="28"/>
        </w:rPr>
        <w:t>FACULTAD DE INGENIERIA</w:t>
      </w:r>
    </w:p>
    <w:p>
      <w:pPr>
        <w:jc w:val="center"/>
      </w:pPr>
      <w:r>
        <w:rPr>
          <w:rFonts w:ascii="Arial" w:hAnsi="Arial"/>
          <w:b w:val="0"/>
          <w:sz w:val="28"/>
        </w:rPr>
        <w:t>Escuela Profesional de Ingenieria de Sistemas</w:t>
      </w:r>
    </w:p>
    <w:p>
      <w:pPr>
        <w:jc w:val="center"/>
      </w:pPr>
      <w:r>
        <w:rPr>
          <w:rFonts w:ascii="Arial" w:hAnsi="Arial"/>
          <w:b/>
          <w:sz w:val="28"/>
        </w:rPr>
        <w:t>Drop Nexus - Replicador de Datos entre Bases de Datos</w:t>
      </w:r>
    </w:p>
    <w:p>
      <w:pPr>
        <w:jc w:val="center"/>
      </w:pPr>
      <w:r>
        <w:rPr>
          <w:rFonts w:ascii="Arial" w:hAnsi="Arial"/>
          <w:b/>
          <w:sz w:val="28"/>
        </w:rPr>
        <w:t>FD02 - Documento de Vision</w:t>
      </w:r>
    </w:p>
    <w:p>
      <w:pPr>
        <w:jc w:val="center"/>
      </w:pPr>
      <w:r>
        <w:rPr>
          <w:rFonts w:ascii="Arial" w:hAnsi="Arial"/>
          <w:b w:val="0"/>
          <w:sz w:val="22"/>
        </w:rPr>
        <w:t>Curso: SI783 - Proyecto de Sistemas</w:t>
      </w:r>
    </w:p>
    <w:p>
      <w:pPr>
        <w:jc w:val="center"/>
      </w:pPr>
      <w:r>
        <w:rPr>
          <w:rFonts w:ascii="Arial" w:hAnsi="Arial"/>
          <w:b w:val="0"/>
          <w:sz w:val="22"/>
        </w:rPr>
        <w:t>Docente: Docente del curso</w:t>
      </w:r>
    </w:p>
    <w:p>
      <w:pPr>
        <w:jc w:val="center"/>
      </w:pPr>
      <w:r>
        <w:rPr>
          <w:rFonts w:ascii="Arial" w:hAnsi="Arial"/>
          <w:b w:val="0"/>
          <w:sz w:val="22"/>
        </w:rPr>
        <w:t>Integrantes: Equipo del proyecto</w:t>
      </w:r>
    </w:p>
    <w:p>
      <w:pPr>
        <w:jc w:val="center"/>
      </w:pPr>
      <w:r>
        <w:rPr>
          <w:rFonts w:ascii="Arial" w:hAnsi="Arial"/>
          <w:b w:val="0"/>
          <w:sz w:val="22"/>
        </w:rPr>
        <w:t>Version: 2.0</w:t>
      </w:r>
    </w:p>
    <w:p>
      <w:pPr>
        <w:jc w:val="center"/>
      </w:pPr>
      <w:r>
        <w:rPr>
          <w:rFonts w:ascii="Arial" w:hAnsi="Arial"/>
          <w:b w:val="0"/>
          <w:sz w:val="22"/>
        </w:rPr>
        <w:t>Fecha: 04/07/2026</w:t>
      </w:r>
    </w:p>
    <w:p>
      <w:pPr>
        <w:jc w:val="center"/>
      </w:pPr>
      <w:r>
        <w:rPr>
          <w:rFonts w:ascii="Arial" w:hAnsi="Arial"/>
          <w:b w:val="0"/>
          <w:sz w:val="22"/>
        </w:rPr>
        <w:t>Ubicacion del aplicativo: web/ del repositorio local</w:t>
      </w:r>
    </w:p>
    <w:p>
      <w:pPr>
        <w:jc w:val="center"/>
      </w:pPr>
      <w:r>
        <w:rPr>
          <w:rFonts w:ascii="Arial" w:hAnsi="Arial"/>
          <w:b w:val="0"/>
          <w:sz w:val="22"/>
        </w:rPr>
        <w:t>Tacna - Peru 2026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Hecha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Revisada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Aprobada por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168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Motivo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1.0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Adaptacion inicial al sistema implementado</w:t>
            </w:r>
          </w:p>
        </w:tc>
      </w:tr>
      <w:tr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2.0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Equipo del proyecto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Pendiente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04/07/2026</w:t>
            </w:r>
          </w:p>
        </w:tc>
        <w:tc>
          <w:tcPr>
            <w:tcW w:type="dxa" w:w="1680"/>
            <w:vAlign w:val="center"/>
          </w:tcPr>
          <w:p>
            <w:r/>
            <w:r>
              <w:rPr>
                <w:b w:val="0"/>
                <w:sz w:val="17"/>
              </w:rPr>
              <w:t>Ampliacion con funcionalidades, tablas y diagramas de la carpeta web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1. Introduccion</w:t>
      </w:r>
    </w:p>
    <w:p>
      <w:r>
        <w:rPr>
          <w:rFonts w:ascii="Arial" w:hAnsi="Arial"/>
          <w:sz w:val="20"/>
        </w:rPr>
        <w:t>Este documento define la vision de producto de Drop Nexus a partir de la implementacion existente en la carpeta web. El sistema busca convertir la replicacion de datos entre motores en un flujo guiado, observable y descargable desde navegador.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Termino</w:t>
            </w:r>
          </w:p>
        </w:tc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Definicion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Catalogo normalizado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Representacion interna de tablas, columnas y filas importadas desde archivos.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Replica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Trabajo que copia datos desde origen a destino aplicando mapeo, transformaciones y modo de escritura.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Adaptador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Componente backend que implementa operaciones comunes para cada motor.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Chatbox Nexus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Asistente contextual para orientar al usuario dentro del dashboard.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2. Posicionamiento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504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Descripcion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Oportunidad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Estudiantes y usuarios tecnicos necesitan probar migraciones sin construir scripts diferentes por motor.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Problema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Las transferencias manuales carecen de progreso, diagnostico, reintentos y descarga final uniforme.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Solucion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Una web con importacion, configuracion, mapeo, replica, historial y exportacion de resultados.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Diferenciador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Integra bases relacionales, MongoDB y archivos academicos como Excel, CSV y SQLite.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3. Interesados y 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Interesado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Necesidad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Beneficio esperado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Estudiante/desarrollador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Probar replicas entre tecnologias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Aprendizaje visible y reproducible.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Docente/evaluador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Revisar alcance, evidencias y arquitectura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Documentos FD y app en un mismo repositorio.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Usuario tecnico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Transformar y descargar datos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Entrega en JSON, XLSX o SQLite.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Administrador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Controlar usuarios del sistema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Gestion basica de cuentas y roles.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4. Vista general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Capacidad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Descripcion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Archivos relacionados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Autenticacion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Registro, login, JWT de siete dias y rutas privadas.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backend/src/routes/auth.ts; frontend/src/contexts/AuthContext.tsx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Importacion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Carga y normalizacion de SQL, SQLite, MongoDB, Excel/CSV y .bak configurado.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backend/src/services/fileCatalog.ts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Configuraciones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Alta, edicion, eliminacion, prueba y exportacion por usuario.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backend/src/routes/configurations.ts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Replicacion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Seleccion de tablas, mapeo, transformaciones, lotes, reintentos y programacion.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backend/src/services/replicationService.ts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Monitoreo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Historial, progreso, velocidad, errores, diagnostico y reportes JSON.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frontend/src/components/ReplicationPanel.tsx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Asistencia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Chatbox, skill markdown, plugin y extension VS Code.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frontend/src/components/NexusChatbox.tsx; vscode-extension/</w:t>
            </w:r>
          </w:p>
        </w:tc>
      </w:tr>
    </w:tbl>
    <w:p/>
    <w:p>
      <w:r>
        <w:rPr>
          <w:rFonts w:ascii="Arial" w:hAnsi="Arial"/>
          <w:b/>
          <w:sz w:val="20"/>
        </w:rPr>
        <w:t>Flujo funcional del producto</w:t>
      </w:r>
    </w:p>
    <w:p>
      <w:pPr>
        <w:pStyle w:val="NoSpacing"/>
      </w:pPr>
      <w:r>
        <w:rPr>
          <w:rFonts w:ascii="Consolas" w:hAnsi="Consolas" w:eastAsia="Consolas"/>
          <w:sz w:val="16"/>
        </w:rPr>
        <w:t>```mermaid</w:t>
        <w:br/>
        <w:t>flowchart LR</w:t>
        <w:br/>
        <w:t xml:space="preserve">  A[Importar o seleccionar base origen] --&gt; B[Importar o seleccionar destino]</w:t>
        <w:br/>
        <w:t xml:space="preserve">  B --&gt; C[Listar tablas y columnas]</w:t>
        <w:br/>
        <w:t xml:space="preserve">  C --&gt; D[Seleccionar tablas]</w:t>
        <w:br/>
        <w:t xml:space="preserve">  D --&gt; E[Mapear columnas y conversiones]</w:t>
        <w:br/>
        <w:t xml:space="preserve">  E --&gt; F[Vista previa y validacion]</w:t>
        <w:br/>
        <w:t xml:space="preserve">  F --&gt; G[Ejecutar o programar]</w:t>
        <w:br/>
        <w:t xml:space="preserve">  G --&gt; H[Monitorear progreso]</w:t>
        <w:br/>
        <w:t xml:space="preserve">  H --&gt; I[Descargar reporte o base modificada]</w:t>
        <w:br/>
        <w:t>```</w:t>
      </w:r>
    </w:p>
    <w:p/>
    <w:p>
      <w:pPr>
        <w:pStyle w:val="Heading1"/>
      </w:pPr>
      <w:r>
        <w:rPr>
          <w:rFonts w:ascii="Arial" w:hAnsi="Arial"/>
          <w:sz w:val="20"/>
        </w:rPr>
        <w:t>5. Restricciones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Restriccion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Detalle</w:t>
            </w:r>
          </w:p>
        </w:tc>
        <w:tc>
          <w:tcPr>
            <w:tcW w:type="dxa" w:w="3360"/>
            <w:vAlign w:val="center"/>
            <w:shd w:fill="1F4E79"/>
          </w:tcPr>
          <w:p>
            <w:r/>
            <w:r>
              <w:rPr>
                <w:b/>
                <w:color w:val="FFFFFF"/>
                <w:sz w:val="17"/>
              </w:rPr>
              <w:t>Impacto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CDC exact-once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No implementa WAL, binlog ni change streams.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Las replicas incrementales son por offset.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.bak SQL Server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Requiere SQL Server externo y carpeta compartida.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Se recomienda .sql si no existe infraestructura.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Tamano de archivo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Controlado por MAX_DATABASE_FILE_SIZE_MB.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Archivos masivos requieren ajuste de entorno.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Conexiones externas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Dependen de red, permisos y credenciales.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Puede fallar por timeout o permisos insuficientes.</w:t>
            </w:r>
          </w:p>
        </w:tc>
      </w:tr>
    </w:tbl>
    <w:p/>
    <w:p>
      <w:pPr>
        <w:pStyle w:val="Heading1"/>
      </w:pPr>
      <w:r>
        <w:rPr>
          <w:rFonts w:ascii="Arial" w:hAnsi="Arial"/>
          <w:sz w:val="20"/>
        </w:rPr>
        <w:t>6. Criterios de exito</w:t>
      </w:r>
    </w:p>
    <w:p>
      <w:pPr>
        <w:pStyle w:val="ListBullet"/>
      </w:pPr>
      <w:r>
        <w:rPr>
          <w:rFonts w:ascii="Arial" w:hAnsi="Arial"/>
          <w:sz w:val="20"/>
        </w:rPr>
        <w:t>El usuario puede importar dos bases o archivos compatibles.</w:t>
      </w:r>
    </w:p>
    <w:p>
      <w:pPr>
        <w:pStyle w:val="ListBullet"/>
      </w:pPr>
      <w:r>
        <w:rPr>
          <w:rFonts w:ascii="Arial" w:hAnsi="Arial"/>
          <w:sz w:val="20"/>
        </w:rPr>
        <w:t>El sistema lista tablas y permite seleccionar multiples tablas.</w:t>
      </w:r>
    </w:p>
    <w:p>
      <w:pPr>
        <w:pStyle w:val="ListBullet"/>
      </w:pPr>
      <w:r>
        <w:rPr>
          <w:rFonts w:ascii="Arial" w:hAnsi="Arial"/>
          <w:sz w:val="20"/>
        </w:rPr>
        <w:t>La vista previa informa registros, advertencias y creacion de destino.</w:t>
      </w:r>
    </w:p>
    <w:p>
      <w:pPr>
        <w:pStyle w:val="ListBullet"/>
      </w:pPr>
      <w:r>
        <w:rPr>
          <w:rFonts w:ascii="Arial" w:hAnsi="Arial"/>
          <w:sz w:val="20"/>
        </w:rPr>
        <w:t>La replica registra progreso, velocidad, reintentos y errores.</w:t>
      </w:r>
    </w:p>
    <w:p>
      <w:pPr>
        <w:pStyle w:val="ListBullet"/>
      </w:pPr>
      <w:r>
        <w:rPr>
          <w:rFonts w:ascii="Arial" w:hAnsi="Arial"/>
          <w:sz w:val="20"/>
        </w:rPr>
        <w:t>El usuario descarga reporte y, en catalogos importados, la base modificada.</w:t>
      </w:r>
    </w:p>
    <w:p>
      <w:pPr>
        <w:pStyle w:val="Heading1"/>
      </w:pPr>
      <w:r>
        <w:t>Anexo de diagramas visuales</w:t>
      </w:r>
    </w:p>
    <w:p>
      <w:r>
        <w:drawing>
          <wp:inline xmlns:a="http://schemas.openxmlformats.org/drawingml/2006/main" xmlns:pic="http://schemas.openxmlformats.org/drawingml/2006/picture">
            <wp:extent cx="6126480" cy="3471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7167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