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1167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167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6"/>
        </w:rPr>
        <w:t>UNIVERSIDAD PRIVADA DE TACNA</w:t>
      </w:r>
    </w:p>
    <w:p>
      <w:pPr>
        <w:jc w:val="center"/>
      </w:pPr>
      <w:r>
        <w:rPr>
          <w:b/>
          <w:sz w:val="24"/>
        </w:rPr>
        <w:t>FACULTAD DE INGENIERIA</w:t>
      </w:r>
    </w:p>
    <w:p>
      <w:pPr>
        <w:jc w:val="center"/>
      </w:pPr>
      <w:r>
        <w:rPr>
          <w:b/>
          <w:sz w:val="22"/>
        </w:rPr>
        <w:t>Escuela Profesional de Ingenieria de Sistemas</w:t>
      </w:r>
    </w:p>
    <w:p/>
    <w:p>
      <w:pPr>
        <w:jc w:val="center"/>
      </w:pPr>
      <w:r>
        <w:rPr>
          <w:b/>
          <w:color w:val="1F4E79"/>
          <w:sz w:val="36"/>
        </w:rPr>
        <w:t>Drop Nexus - Replicador de Datos entre Bases de Datos</w:t>
      </w:r>
    </w:p>
    <w:p>
      <w:pPr>
        <w:jc w:val="center"/>
      </w:pPr>
      <w:r>
        <w:rPr>
          <w:b/>
          <w:sz w:val="30"/>
        </w:rPr>
        <w:t>FD02 - Documento de Vision</w:t>
      </w:r>
    </w:p>
    <w:p/>
    <w:p>
      <w:pPr>
        <w:jc w:val="center"/>
      </w:pPr>
      <w:r>
        <w:rPr>
          <w:b/>
        </w:rPr>
        <w:t xml:space="preserve">Curso: </w:t>
      </w:r>
      <w:r>
        <w:t>SI783 - Proyecto de Sistemas</w:t>
      </w:r>
    </w:p>
    <w:p>
      <w:pPr>
        <w:jc w:val="center"/>
      </w:pPr>
      <w:r>
        <w:rPr>
          <w:b/>
        </w:rPr>
        <w:t xml:space="preserve">Integrantes: </w:t>
      </w:r>
      <w:r>
        <w:t>Equipo del proyecto</w:t>
      </w:r>
    </w:p>
    <w:p>
      <w:pPr>
        <w:jc w:val="center"/>
      </w:pPr>
      <w:r>
        <w:rPr>
          <w:b/>
        </w:rPr>
        <w:t xml:space="preserve">Version: </w:t>
      </w:r>
      <w:r>
        <w:t>1.0</w:t>
      </w:r>
    </w:p>
    <w:p>
      <w:pPr>
        <w:jc w:val="center"/>
      </w:pPr>
      <w:r>
        <w:rPr>
          <w:b/>
        </w:rPr>
        <w:t xml:space="preserve">Fecha: </w:t>
      </w:r>
      <w:r>
        <w:t>04/07/2026</w:t>
      </w:r>
    </w:p>
    <w:p>
      <w:pPr>
        <w:jc w:val="center"/>
      </w:pPr>
      <w:r>
        <w:rPr>
          <w:b/>
        </w:rPr>
        <w:t xml:space="preserve">Ubicacion del aplicativo: </w:t>
      </w:r>
      <w:r>
        <w:t>Carpeta web/ del repositorio local</w:t>
      </w:r>
    </w:p>
    <w:p>
      <w:pPr>
        <w:jc w:val="center"/>
      </w:pPr>
      <w:r>
        <w:rPr>
          <w:b/>
        </w:rPr>
        <w:t>Tacna - Peru</w:t>
      </w:r>
    </w:p>
    <w:p>
      <w:r>
        <w:br w:type="page"/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08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Version</w:t>
            </w:r>
          </w:p>
        </w:tc>
        <w:tc>
          <w:tcPr>
            <w:tcW w:type="dxa" w:w="180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Hecha por</w:t>
            </w:r>
          </w:p>
        </w:tc>
        <w:tc>
          <w:tcPr>
            <w:tcW w:type="dxa" w:w="180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Revisada por</w:t>
            </w:r>
          </w:p>
        </w:tc>
        <w:tc>
          <w:tcPr>
            <w:tcW w:type="dxa" w:w="180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Aprobada por</w:t>
            </w:r>
          </w:p>
        </w:tc>
        <w:tc>
          <w:tcPr>
            <w:tcW w:type="dxa" w:w="1296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Fecha</w:t>
            </w:r>
          </w:p>
        </w:tc>
        <w:tc>
          <w:tcPr>
            <w:tcW w:type="dxa" w:w="2951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Motivo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40"/>
            </w:pPr>
            <w:r>
              <w:t>1.0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Equipo del proyecto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Pendiente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Pendiente</w:t>
            </w:r>
          </w:p>
        </w:tc>
        <w:tc>
          <w:tcPr>
            <w:tcW w:type="dxa" w:w="1296"/>
            <w:vAlign w:val="center"/>
          </w:tcPr>
          <w:p>
            <w:pPr>
              <w:spacing w:after="40"/>
            </w:pPr>
            <w:r>
              <w:t>04/07/2026</w:t>
            </w:r>
          </w:p>
        </w:tc>
        <w:tc>
          <w:tcPr>
            <w:tcW w:type="dxa" w:w="2951"/>
            <w:vAlign w:val="center"/>
          </w:tcPr>
          <w:p>
            <w:pPr>
              <w:spacing w:after="40"/>
            </w:pPr>
            <w:r>
              <w:t>Adaptacion del documento FD02 - Documento de Vision a la app implementada</w:t>
            </w:r>
          </w:p>
        </w:tc>
      </w:tr>
    </w:tbl>
    <w:p>
      <w:pPr>
        <w:pStyle w:val="Heading1"/>
      </w:pPr>
      <w:r>
        <w:t>1. Introduccion</w:t>
      </w:r>
    </w:p>
    <w:p>
      <w:r>
        <w:t>Proposito: definir la vision funcional del sistema Drop Nexus y alinear los documentos del proyecto con la aplicacion implementada.</w:t>
      </w:r>
    </w:p>
    <w:p>
      <w:r>
        <w:t>Alcance: aplicacion web para importar bases, conectar motores, replicar datos, validar errores, consultar historial y descargar resultados.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2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Aspecto</w:t>
            </w:r>
          </w:p>
        </w:tc>
        <w:tc>
          <w:tcPr>
            <w:tcW w:type="dxa" w:w="684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Descripcion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t>Catalogo de archivo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t>Representacion interna normalizada de una base importada desde SQL, SQLite, MongoDB, Excel/CSV o .bak restaurado.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t>Replica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t>Proceso que copia filas desde una tabla origen hacia una tabla destino aplicando mapeo, transformaciones y modo de escritura.</w:t>
            </w:r>
          </w:p>
        </w:tc>
      </w:tr>
      <w:tr>
        <w:tc>
          <w:tcPr>
            <w:tcW w:type="dxa" w:w="2520"/>
            <w:vAlign w:val="center"/>
          </w:tcPr>
          <w:p>
            <w:pPr>
              <w:spacing w:after="40"/>
            </w:pPr>
            <w:r>
              <w:t>Chatbox</w:t>
            </w:r>
          </w:p>
        </w:tc>
        <w:tc>
          <w:tcPr>
            <w:tcW w:type="dxa" w:w="6840"/>
            <w:vAlign w:val="center"/>
          </w:tcPr>
          <w:p>
            <w:pPr>
              <w:spacing w:after="40"/>
            </w:pPr>
            <w:r>
              <w:t>Asistente integrado que orienta al usuario sobre importacion, replicacion, descargas y uso de la skill del proyecto.</w:t>
            </w:r>
          </w:p>
        </w:tc>
      </w:tr>
    </w:tbl>
    <w:p>
      <w:pPr>
        <w:pStyle w:val="Heading1"/>
      </w:pPr>
      <w:r>
        <w:t>2. Posicionamiento</w:t>
      </w:r>
    </w:p>
    <w:p>
      <w:r>
        <w:t>Oportunidad: existe necesidad de probar migraciones y sincronizaciones entre motores sin construir scripts aislados para cada caso.</w:t>
      </w:r>
    </w:p>
    <w:p>
      <w:r>
        <w:t>Problema: las exportaciones manuales no conservan trazabilidad, dificultan validar errores y no siempre permiten recuperar la base ya modificada en un formato util.</w:t>
      </w:r>
    </w:p>
    <w:p>
      <w:r>
        <w:t>Solucion: Drop Nexus ofrece un flujo guiado desde navegador para cargar o conectar bases, mapear datos, ejecutar replicas y descargar la base resultante.</w:t>
      </w:r>
    </w:p>
    <w:p>
      <w:pPr>
        <w:pStyle w:val="Heading1"/>
      </w:pPr>
      <w:r>
        <w:t>3. Interesados y usuarios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304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Perfil</w:t>
            </w:r>
          </w:p>
        </w:tc>
        <w:tc>
          <w:tcPr>
            <w:tcW w:type="dxa" w:w="3528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Necesidad</w:t>
            </w:r>
          </w:p>
        </w:tc>
        <w:tc>
          <w:tcPr>
            <w:tcW w:type="dxa" w:w="3528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Beneficio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40"/>
            </w:pPr>
            <w:r>
              <w:t>Estudiante/desarrollador</w:t>
            </w:r>
          </w:p>
        </w:tc>
        <w:tc>
          <w:tcPr>
            <w:tcW w:type="dxa" w:w="3528"/>
            <w:vAlign w:val="center"/>
          </w:tcPr>
          <w:p>
            <w:pPr>
              <w:spacing w:after="40"/>
            </w:pPr>
            <w:r>
              <w:t>Probar replicas entre motores</w:t>
            </w:r>
          </w:p>
        </w:tc>
        <w:tc>
          <w:tcPr>
            <w:tcW w:type="dxa" w:w="3528"/>
            <w:vAlign w:val="center"/>
          </w:tcPr>
          <w:p>
            <w:pPr>
              <w:spacing w:after="40"/>
            </w:pPr>
            <w:r>
              <w:t>Aprende integracion de datos con una herramienta visible y documentada.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40"/>
            </w:pPr>
            <w:r>
              <w:t>Administrador</w:t>
            </w:r>
          </w:p>
        </w:tc>
        <w:tc>
          <w:tcPr>
            <w:tcW w:type="dxa" w:w="3528"/>
            <w:vAlign w:val="center"/>
          </w:tcPr>
          <w:p>
            <w:pPr>
              <w:spacing w:after="40"/>
            </w:pPr>
            <w:r>
              <w:t>Gestionar usuarios y revisar configuraciones</w:t>
            </w:r>
          </w:p>
        </w:tc>
        <w:tc>
          <w:tcPr>
            <w:tcW w:type="dxa" w:w="3528"/>
            <w:vAlign w:val="center"/>
          </w:tcPr>
          <w:p>
            <w:pPr>
              <w:spacing w:after="40"/>
            </w:pPr>
            <w:r>
              <w:t>Vista de administracion sin exponer credenciales.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40"/>
            </w:pPr>
            <w:r>
              <w:t>Docente/evaluador</w:t>
            </w:r>
          </w:p>
        </w:tc>
        <w:tc>
          <w:tcPr>
            <w:tcW w:type="dxa" w:w="3528"/>
            <w:vAlign w:val="center"/>
          </w:tcPr>
          <w:p>
            <w:pPr>
              <w:spacing w:after="40"/>
            </w:pPr>
            <w:r>
              <w:t>Ver alcance, arquitectura y funcionamiento</w:t>
            </w:r>
          </w:p>
        </w:tc>
        <w:tc>
          <w:tcPr>
            <w:tcW w:type="dxa" w:w="3528"/>
            <w:vAlign w:val="center"/>
          </w:tcPr>
          <w:p>
            <w:pPr>
              <w:spacing w:after="40"/>
            </w:pPr>
            <w:r>
              <w:t>Cuenta con documentos y web en un mismo repositorio.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40"/>
            </w:pPr>
            <w:r>
              <w:t>Usuario tecnico</w:t>
            </w:r>
          </w:p>
        </w:tc>
        <w:tc>
          <w:tcPr>
            <w:tcW w:type="dxa" w:w="3528"/>
            <w:vAlign w:val="center"/>
          </w:tcPr>
          <w:p>
            <w:pPr>
              <w:spacing w:after="40"/>
            </w:pPr>
            <w:r>
              <w:t>Descargar la base transformada</w:t>
            </w:r>
          </w:p>
        </w:tc>
        <w:tc>
          <w:tcPr>
            <w:tcW w:type="dxa" w:w="3528"/>
            <w:vAlign w:val="center"/>
          </w:tcPr>
          <w:p>
            <w:pPr>
              <w:spacing w:after="40"/>
            </w:pPr>
            <w:r>
              <w:t>Obtiene JSON, Excel o SQLite despues de la replica.</w:t>
            </w:r>
          </w:p>
        </w:tc>
      </w:tr>
    </w:tbl>
    <w:p>
      <w:pPr>
        <w:pStyle w:val="Heading1"/>
      </w:pPr>
      <w:r>
        <w:t>4. Vista general del producto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88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Capacidad</w:t>
            </w:r>
          </w:p>
        </w:tc>
        <w:tc>
          <w:tcPr>
            <w:tcW w:type="dxa" w:w="648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Descripcion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>
              <w:t>Importacion de archivos</w:t>
            </w:r>
          </w:p>
        </w:tc>
        <w:tc>
          <w:tcPr>
            <w:tcW w:type="dxa" w:w="6480"/>
            <w:vAlign w:val="center"/>
          </w:tcPr>
          <w:p>
            <w:pPr>
              <w:spacing w:after="40"/>
            </w:pPr>
            <w:r>
              <w:t>SQLite, scripts SQL, MongoDB JSON/NDJSON, Excel/CSV y SQL Server .bak con restauracion configurada.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>
              <w:t>Configuracion de motores</w:t>
            </w:r>
          </w:p>
        </w:tc>
        <w:tc>
          <w:tcPr>
            <w:tcW w:type="dxa" w:w="6480"/>
            <w:vAlign w:val="center"/>
          </w:tcPr>
          <w:p>
            <w:pPr>
              <w:spacing w:after="40"/>
            </w:pPr>
            <w:r>
              <w:t>PostgreSQL, MySQL, MariaDB, SQL Server, Oracle, SQLite, MongoDB y Excel como origen de archivo.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>
              <w:t>Mapeo y transformacion</w:t>
            </w:r>
          </w:p>
        </w:tc>
        <w:tc>
          <w:tcPr>
            <w:tcW w:type="dxa" w:w="6480"/>
            <w:vAlign w:val="center"/>
          </w:tcPr>
          <w:p>
            <w:pPr>
              <w:spacing w:after="40"/>
            </w:pPr>
            <w:r>
              <w:t>Seleccion de tablas, columnas, relaciones y transformaciones basicas antes de ejecutar.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>
              <w:t>Ejecucion controlada</w:t>
            </w:r>
          </w:p>
        </w:tc>
        <w:tc>
          <w:tcPr>
            <w:tcW w:type="dxa" w:w="6480"/>
            <w:vAlign w:val="center"/>
          </w:tcPr>
          <w:p>
            <w:pPr>
              <w:spacing w:after="40"/>
            </w:pPr>
            <w:r>
              <w:t>Procesamiento por lotes, progreso persistente, reintentos e historial.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>
              <w:t>Descarga de resultado</w:t>
            </w:r>
          </w:p>
        </w:tc>
        <w:tc>
          <w:tcPr>
            <w:tcW w:type="dxa" w:w="6480"/>
            <w:vAlign w:val="center"/>
          </w:tcPr>
          <w:p>
            <w:pPr>
              <w:spacing w:after="40"/>
            </w:pPr>
            <w:r>
              <w:t>Exportacion de la base modificada en JSON, Excel .xlsx o SQLite.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>
              <w:t>Asistencia integrada</w:t>
            </w:r>
          </w:p>
        </w:tc>
        <w:tc>
          <w:tcPr>
            <w:tcW w:type="dxa" w:w="6480"/>
            <w:vAlign w:val="center"/>
          </w:tcPr>
          <w:p>
            <w:pPr>
              <w:spacing w:after="40"/>
            </w:pPr>
            <w:r>
              <w:t>Skill .md, plugin del chatbox y extension local de VS Code para orientar el flujo.</w:t>
            </w:r>
          </w:p>
        </w:tc>
      </w:tr>
    </w:tbl>
    <w:p>
      <w:pPr>
        <w:pStyle w:val="Heading1"/>
      </w:pPr>
      <w:r>
        <w:t>5. Caracteristicas del producto</w:t>
      </w:r>
    </w:p>
    <w:p>
      <w:pPr>
        <w:pStyle w:val="ListBullet"/>
      </w:pPr>
      <w:r>
        <w:t>Autenticacion con JWT y aislamiento por usuario.</w:t>
      </w:r>
    </w:p>
    <w:p>
      <w:pPr>
        <w:pStyle w:val="ListBullet"/>
      </w:pPr>
      <w:r>
        <w:t>Validaciones de carga: extension, tamano, cabecera SQLite, archivo vacio, binarios no compatibles y pertenencia del catalogo.</w:t>
      </w:r>
    </w:p>
    <w:p>
      <w:pPr>
        <w:pStyle w:val="ListBullet"/>
      </w:pPr>
      <w:r>
        <w:t>Persistencia de catalogos comprimidos en Supabase/PostgreSQL, adecuada para Render sin disco persistente.</w:t>
      </w:r>
    </w:p>
    <w:p>
      <w:pPr>
        <w:pStyle w:val="ListBullet"/>
      </w:pPr>
      <w:r>
        <w:t>Frontend profesional con formularios de configuracion, lista de bases, acciones de descarga y panel de replicacion.</w:t>
      </w:r>
    </w:p>
    <w:p>
      <w:pPr>
        <w:pStyle w:val="Heading1"/>
      </w:pPr>
      <w:r>
        <w:t>6. Restricciones y calidad</w:t>
      </w:r>
    </w:p>
    <w:p>
      <w:pPr>
        <w:pStyle w:val="ListBullet"/>
      </w:pPr>
      <w:r>
        <w:t>La restauracion .bak requiere SQL Server externo y carpetas compartidas configuradas.</w:t>
      </w:r>
    </w:p>
    <w:p>
      <w:pPr>
        <w:pStyle w:val="ListBullet"/>
      </w:pPr>
      <w:r>
        <w:t>La replica incremental por offset no reemplaza CDC basado en WAL, binlog o change streams.</w:t>
      </w:r>
    </w:p>
    <w:p>
      <w:pPr>
        <w:pStyle w:val="ListBullet"/>
      </w:pPr>
      <w:r>
        <w:t>El sistema prioriza trazabilidad, seguridad de credenciales, mensajes de error claros y despliegue simple en Render.</w:t>
      </w:r>
    </w:p>
    <w:p>
      <w:pPr>
        <w:pStyle w:val="Heading1"/>
      </w:pPr>
      <w:r>
        <w:t>Conclusiones y recomendaciones</w:t>
      </w:r>
    </w:p>
    <w:p>
      <w:r>
        <w:t>La vision queda centrada en la app de replicacion, no en modulos secundarios. Se recomienda presentar la web desde web/ y demostrar un flujo completo: importar Excel, replicar hacia un catalogo y descargar el resultado.</w:t>
      </w:r>
    </w:p>
    <w:sectPr w:rsidR="00FC693F" w:rsidRPr="0006063C" w:rsidSect="00034616">
      <w:footerReference w:type="default" r:id="rId10"/>
      <w:pgSz w:w="12240" w:h="15840"/>
      <w:pgMar w:top="1152" w:right="1224" w:bottom="1152" w:left="1224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Drop Nexus - Replicador de Datos entre Bases de Datos | FD02 - Documento de Vision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