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1225685"/>
            <wp:docPr id="1" name="Picture 1"/>
            <wp:cNvGraphicFramePr>
              <a:graphicFrameLocks noChangeAspect="1"/>
            </wp:cNvGraphicFramePr>
            <a:graphic>
              <a:graphicData uri="http://schemas.openxmlformats.org/drawingml/2006/picture">
                <pic:pic>
                  <pic:nvPicPr>
                    <pic:cNvPr id="0" name="logo-upt.png"/>
                    <pic:cNvPicPr/>
                  </pic:nvPicPr>
                  <pic:blipFill>
                    <a:blip r:embed="rId9"/>
                    <a:stretch>
                      <a:fillRect/>
                    </a:stretch>
                  </pic:blipFill>
                  <pic:spPr>
                    <a:xfrm>
                      <a:off x="0" y="0"/>
                      <a:ext cx="960120" cy="1225685"/>
                    </a:xfrm>
                    <a:prstGeom prst="rect"/>
                  </pic:spPr>
                </pic:pic>
              </a:graphicData>
            </a:graphic>
          </wp:inline>
        </w:drawing>
      </w:r>
    </w:p>
    <w:p>
      <w:pPr>
        <w:jc w:val="center"/>
      </w:pPr>
      <w:r>
        <w:rPr>
          <w:b/>
          <w:sz w:val="24"/>
        </w:rPr>
        <w:t>UNIVERSIDAD PRIVADA DE TACNA</w:t>
        <w:br/>
        <w:t>FACULTAD DE INGENIERÍA</w:t>
        <w:br/>
        <w:t>Escuela Profesional de Ingeniería de Sistemas</w:t>
      </w:r>
    </w:p>
    <w:p>
      <w:pPr>
        <w:jc w:val="center"/>
      </w:pPr>
      <w:r>
        <w:rPr>
          <w:b/>
          <w:sz w:val="32"/>
        </w:rPr>
        <w:t>FD01</w:t>
      </w:r>
    </w:p>
    <w:p>
      <w:pPr>
        <w:jc w:val="center"/>
      </w:pPr>
      <w:r>
        <w:rPr>
          <w:b/>
          <w:sz w:val="36"/>
        </w:rPr>
        <w:t>Informe de Factibilidad</w:t>
      </w:r>
    </w:p>
    <w:p>
      <w:pPr>
        <w:jc w:val="center"/>
      </w:pPr>
      <w:r>
        <w:rPr>
          <w:b w:val="0"/>
          <w:sz w:val="22"/>
        </w:rPr>
        <w:t>Evaluación técnica, económica, operativa, legal, social y ambiental</w:t>
      </w:r>
    </w:p>
    <w:p>
      <w:pPr>
        <w:jc w:val="center"/>
      </w:pPr>
      <w:r>
        <w:t>Proyecto: Drop Nexus - Replicador de Datos entre Bases de Datos</w:t>
      </w:r>
    </w:p>
    <w:p>
      <w:pPr>
        <w:jc w:val="center"/>
      </w:pPr>
      <w:r>
        <w:t>Equipo: CARBAJAL - LLANOS - YUPA - ZAPANA</w:t>
      </w:r>
    </w:p>
    <w:p>
      <w:pPr>
        <w:jc w:val="center"/>
      </w:pPr>
      <w:r>
        <w:t>Versión: 2.0</w:t>
      </w:r>
    </w:p>
    <w:p>
      <w:pPr>
        <w:jc w:val="center"/>
      </w:pPr>
      <w:r>
        <w:t>Julio 2026</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
              <w:rPr>
                <w:b/>
                <w:sz w:val="18"/>
              </w:rPr>
              <w:t>Versión</w:t>
            </w:r>
          </w:p>
        </w:tc>
        <w:tc>
          <w:tcPr>
            <w:tcW w:type="dxa" w:w="2520"/>
            <w:vAlign w:val="center"/>
          </w:tcPr>
          <w:p>
            <w:r/>
            <w:r>
              <w:rPr>
                <w:b/>
                <w:sz w:val="18"/>
              </w:rPr>
              <w:t>Fecha</w:t>
            </w:r>
          </w:p>
        </w:tc>
        <w:tc>
          <w:tcPr>
            <w:tcW w:type="dxa" w:w="2520"/>
            <w:vAlign w:val="center"/>
          </w:tcPr>
          <w:p>
            <w:r/>
            <w:r>
              <w:rPr>
                <w:b/>
                <w:sz w:val="18"/>
              </w:rPr>
              <w:t>Responsable</w:t>
            </w:r>
          </w:p>
        </w:tc>
        <w:tc>
          <w:tcPr>
            <w:tcW w:type="dxa" w:w="2520"/>
            <w:vAlign w:val="center"/>
          </w:tcPr>
          <w:p>
            <w:r/>
            <w:r>
              <w:rPr>
                <w:b/>
                <w:sz w:val="18"/>
              </w:rPr>
              <w:t>Descripción</w:t>
            </w:r>
          </w:p>
        </w:tc>
      </w:tr>
      <w:tr>
        <w:tc>
          <w:tcPr>
            <w:tcW w:type="dxa" w:w="2520"/>
            <w:vAlign w:val="center"/>
          </w:tcPr>
          <w:p>
            <w:r/>
            <w:r>
              <w:rPr>
                <w:b w:val="0"/>
                <w:sz w:val="18"/>
              </w:rPr>
              <w:t>1.0</w:t>
            </w:r>
          </w:p>
        </w:tc>
        <w:tc>
          <w:tcPr>
            <w:tcW w:type="dxa" w:w="2520"/>
            <w:vAlign w:val="center"/>
          </w:tcPr>
          <w:p>
            <w:r/>
            <w:r>
              <w:rPr>
                <w:b w:val="0"/>
                <w:sz w:val="18"/>
              </w:rPr>
              <w:t>Julio 2026</w:t>
            </w:r>
          </w:p>
        </w:tc>
        <w:tc>
          <w:tcPr>
            <w:tcW w:type="dxa" w:w="2520"/>
            <w:vAlign w:val="center"/>
          </w:tcPr>
          <w:p>
            <w:r/>
            <w:r>
              <w:rPr>
                <w:b w:val="0"/>
                <w:sz w:val="18"/>
              </w:rPr>
              <w:t>CARBAJAL - LLANOS - YUPA - ZAPANA</w:t>
            </w:r>
          </w:p>
        </w:tc>
        <w:tc>
          <w:tcPr>
            <w:tcW w:type="dxa" w:w="2520"/>
            <w:vAlign w:val="center"/>
          </w:tcPr>
          <w:p>
            <w:r/>
            <w:r>
              <w:rPr>
                <w:b w:val="0"/>
                <w:sz w:val="18"/>
              </w:rPr>
              <w:t>Documento base del proyecto.</w:t>
            </w:r>
          </w:p>
        </w:tc>
      </w:tr>
      <w:tr>
        <w:tc>
          <w:tcPr>
            <w:tcW w:type="dxa" w:w="2520"/>
            <w:vAlign w:val="center"/>
          </w:tcPr>
          <w:p>
            <w:r/>
            <w:r>
              <w:rPr>
                <w:b w:val="0"/>
                <w:sz w:val="18"/>
              </w:rPr>
              <w:t>2.0</w:t>
            </w:r>
          </w:p>
        </w:tc>
        <w:tc>
          <w:tcPr>
            <w:tcW w:type="dxa" w:w="2520"/>
            <w:vAlign w:val="center"/>
          </w:tcPr>
          <w:p>
            <w:r/>
            <w:r>
              <w:rPr>
                <w:b w:val="0"/>
                <w:sz w:val="18"/>
              </w:rPr>
              <w:t>Julio 2026</w:t>
            </w:r>
          </w:p>
        </w:tc>
        <w:tc>
          <w:tcPr>
            <w:tcW w:type="dxa" w:w="2520"/>
            <w:vAlign w:val="center"/>
          </w:tcPr>
          <w:p>
            <w:r/>
            <w:r>
              <w:rPr>
                <w:b w:val="0"/>
                <w:sz w:val="18"/>
              </w:rPr>
              <w:t>CARBAJAL - LLANOS - YUPA - ZAPANA</w:t>
            </w:r>
          </w:p>
        </w:tc>
        <w:tc>
          <w:tcPr>
            <w:tcW w:type="dxa" w:w="2520"/>
            <w:vAlign w:val="center"/>
          </w:tcPr>
          <w:p>
            <w:r/>
            <w:r>
              <w:rPr>
                <w:b w:val="0"/>
                <w:sz w:val="18"/>
              </w:rPr>
              <w:t>Ampliación y alineamiento con la implementación real de la carpeta web.</w:t>
            </w:r>
          </w:p>
        </w:tc>
      </w:tr>
    </w:tbl>
    <w:p/>
    <w:p>
      <w:pPr>
        <w:pStyle w:val="Heading1"/>
      </w:pPr>
      <w:r>
        <w:t>Índice general</w:t>
      </w:r>
    </w:p>
    <w:p>
      <w:pPr>
        <w:pStyle w:val="ListNumber"/>
      </w:pPr>
      <w:r>
        <w:t>Introducción</w:t>
      </w:r>
    </w:p>
    <w:p>
      <w:pPr>
        <w:pStyle w:val="ListNumber"/>
      </w:pPr>
      <w:r>
        <w:t>Contexto y alcance</w:t>
      </w:r>
    </w:p>
    <w:p>
      <w:pPr>
        <w:pStyle w:val="ListNumber"/>
      </w:pPr>
      <w:r>
        <w:t>Desarrollo del documento</w:t>
      </w:r>
    </w:p>
    <w:p>
      <w:pPr>
        <w:pStyle w:val="ListNumber"/>
      </w:pPr>
      <w:r>
        <w:t>Diagramas y evidencias</w:t>
      </w:r>
    </w:p>
    <w:p>
      <w:pPr>
        <w:pStyle w:val="ListNumber"/>
      </w:pPr>
      <w:r>
        <w:t>Conclusiones y recomendaciones</w:t>
      </w:r>
    </w:p>
    <w:p>
      <w:r>
        <w:br w:type="page"/>
      </w:r>
    </w:p>
    <w:p>
      <w:pPr>
        <w:pStyle w:val="Heading1"/>
      </w:pPr>
      <w:r>
        <w:t>1. Introducción</w:t>
      </w:r>
    </w:p>
    <w:p>
      <w:r>
        <w:t>Este documento evalúa la viabilidad de Drop Nexus, aplicación web para importar bases de datos o archivos compatibles, normalizar su estructura en catálogos, replicar tablas entre origen y destino, registrar progreso y descargar resultados modificados. El análisis toma como fuente la implementación real en la carpeta web.</w:t>
      </w:r>
    </w:p>
    <w:p>
      <w:pPr>
        <w:pStyle w:val="Heading1"/>
      </w:pPr>
      <w:r>
        <w:t>2. Descripción del proyecto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18"/>
              </w:rPr>
              <w:t>Elemento</w:t>
            </w:r>
          </w:p>
        </w:tc>
        <w:tc>
          <w:tcPr>
            <w:tcW w:type="dxa" w:w="5040"/>
            <w:vAlign w:val="center"/>
          </w:tcPr>
          <w:p>
            <w:r/>
            <w:r>
              <w:rPr>
                <w:b/>
                <w:sz w:val="18"/>
              </w:rPr>
              <w:t>Descripción</w:t>
            </w:r>
          </w:p>
        </w:tc>
      </w:tr>
      <w:tr>
        <w:tc>
          <w:tcPr>
            <w:tcW w:type="dxa" w:w="5040"/>
            <w:vAlign w:val="center"/>
          </w:tcPr>
          <w:p>
            <w:r/>
            <w:r>
              <w:rPr>
                <w:b w:val="0"/>
                <w:sz w:val="18"/>
              </w:rPr>
              <w:t>Nombre</w:t>
            </w:r>
          </w:p>
        </w:tc>
        <w:tc>
          <w:tcPr>
            <w:tcW w:type="dxa" w:w="5040"/>
            <w:vAlign w:val="center"/>
          </w:tcPr>
          <w:p>
            <w:r/>
            <w:r>
              <w:rPr>
                <w:b w:val="0"/>
                <w:sz w:val="18"/>
              </w:rPr>
              <w:t>Drop Nexus - Replicador de Datos entre Bases de Datos</w:t>
            </w:r>
          </w:p>
        </w:tc>
      </w:tr>
      <w:tr>
        <w:tc>
          <w:tcPr>
            <w:tcW w:type="dxa" w:w="5040"/>
            <w:vAlign w:val="center"/>
          </w:tcPr>
          <w:p>
            <w:r/>
            <w:r>
              <w:rPr>
                <w:b w:val="0"/>
                <w:sz w:val="18"/>
              </w:rPr>
              <w:t>Objetivo</w:t>
            </w:r>
          </w:p>
        </w:tc>
        <w:tc>
          <w:tcPr>
            <w:tcW w:type="dxa" w:w="5040"/>
            <w:vAlign w:val="center"/>
          </w:tcPr>
          <w:p>
            <w:r/>
            <w:r>
              <w:rPr>
                <w:b w:val="0"/>
                <w:sz w:val="18"/>
              </w:rPr>
              <w:t>Implementar una consola web multiusuario para replicación de datos heterogénea.</w:t>
            </w:r>
          </w:p>
        </w:tc>
      </w:tr>
      <w:tr>
        <w:tc>
          <w:tcPr>
            <w:tcW w:type="dxa" w:w="5040"/>
            <w:vAlign w:val="center"/>
          </w:tcPr>
          <w:p>
            <w:r/>
            <w:r>
              <w:rPr>
                <w:b w:val="0"/>
                <w:sz w:val="18"/>
              </w:rPr>
              <w:t>Stack</w:t>
            </w:r>
          </w:p>
        </w:tc>
        <w:tc>
          <w:tcPr>
            <w:tcW w:type="dxa" w:w="5040"/>
            <w:vAlign w:val="center"/>
          </w:tcPr>
          <w:p>
            <w:r/>
            <w:r>
              <w:rPr>
                <w:b w:val="0"/>
                <w:sz w:val="18"/>
              </w:rPr>
              <w:t>React 19, Vite, Tailwind CSS, Fastify 5, TypeScript, PostgreSQL/Supabase y Render</w:t>
            </w:r>
          </w:p>
        </w:tc>
      </w:tr>
      <w:tr>
        <w:tc>
          <w:tcPr>
            <w:tcW w:type="dxa" w:w="5040"/>
            <w:vAlign w:val="center"/>
          </w:tcPr>
          <w:p>
            <w:r/>
            <w:r>
              <w:rPr>
                <w:b w:val="0"/>
                <w:sz w:val="18"/>
              </w:rPr>
              <w:t>Runtime</w:t>
            </w:r>
          </w:p>
        </w:tc>
        <w:tc>
          <w:tcPr>
            <w:tcW w:type="dxa" w:w="5040"/>
            <w:vAlign w:val="center"/>
          </w:tcPr>
          <w:p>
            <w:r/>
            <w:r>
              <w:rPr>
                <w:b w:val="0"/>
                <w:sz w:val="18"/>
              </w:rPr>
              <w:t>Node.js 22.14.0 y npm 10 o superior</w:t>
            </w:r>
          </w:p>
        </w:tc>
      </w:tr>
      <w:tr>
        <w:tc>
          <w:tcPr>
            <w:tcW w:type="dxa" w:w="5040"/>
            <w:vAlign w:val="center"/>
          </w:tcPr>
          <w:p>
            <w:r/>
            <w:r>
              <w:rPr>
                <w:b w:val="0"/>
                <w:sz w:val="18"/>
              </w:rPr>
              <w:t>Persistencia</w:t>
            </w:r>
          </w:p>
        </w:tc>
        <w:tc>
          <w:tcPr>
            <w:tcW w:type="dxa" w:w="5040"/>
            <w:vAlign w:val="center"/>
          </w:tcPr>
          <w:p>
            <w:r/>
            <w:r>
              <w:rPr>
                <w:b w:val="0"/>
                <w:sz w:val="18"/>
              </w:rPr>
              <w:t>PostgreSQL/Supabase para usuarios, configuraciones, trabajos y catálogos comprimidos</w:t>
            </w:r>
          </w:p>
        </w:tc>
      </w:tr>
    </w:tbl>
    <w:p/>
    <w:p/>
    <w:p>
      <w:r>
        <w:drawing>
          <wp:inline xmlns:a="http://schemas.openxmlformats.org/drawingml/2006/main" xmlns:pic="http://schemas.openxmlformats.org/drawingml/2006/picture">
            <wp:extent cx="6126480" cy="3719649"/>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719649"/>
                    </a:xfrm>
                    <a:prstGeom prst="rect"/>
                  </pic:spPr>
                </pic:pic>
              </a:graphicData>
            </a:graphic>
          </wp:inline>
        </w:drawing>
      </w:r>
    </w:p>
    <w:p>
      <w:pPr>
        <w:jc w:val="center"/>
      </w:pPr>
      <w:r>
        <w:rPr>
          <w:i/>
          <w:sz w:val="18"/>
        </w:rPr>
        <w:t>Figura 1. Arquitectura usada para evaluar la factibilidad técnica.</w:t>
      </w:r>
    </w:p>
    <w:p>
      <w:pPr>
        <w:pStyle w:val="Heading1"/>
      </w:pPr>
      <w:r>
        <w:t>3. Factibilidad técnica</w:t>
      </w:r>
    </w:p>
    <w:p>
      <w:r>
        <w:t>La solución es viable porque se apoya en tecnologías disponibles y coherentes con el despliegue definido: React 19, Vite, Tailwind, Fastify 5, TypeScript, PostgreSQL/Supabase y Render con Node.js 22.14.0.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
              <w:rPr>
                <w:b/>
                <w:sz w:val="18"/>
              </w:rPr>
              <w:t>Componente</w:t>
            </w:r>
          </w:p>
        </w:tc>
        <w:tc>
          <w:tcPr>
            <w:tcW w:type="dxa" w:w="3360"/>
            <w:vAlign w:val="center"/>
          </w:tcPr>
          <w:p>
            <w:r/>
            <w:r>
              <w:rPr>
                <w:b/>
                <w:sz w:val="18"/>
              </w:rPr>
              <w:t>Evidencia</w:t>
            </w:r>
          </w:p>
        </w:tc>
        <w:tc>
          <w:tcPr>
            <w:tcW w:type="dxa" w:w="3360"/>
            <w:vAlign w:val="center"/>
          </w:tcPr>
          <w:p>
            <w:r/>
            <w:r>
              <w:rPr>
                <w:b/>
                <w:sz w:val="18"/>
              </w:rPr>
              <w:t>Viabilidad</w:t>
            </w:r>
          </w:p>
        </w:tc>
      </w:tr>
      <w:tr>
        <w:tc>
          <w:tcPr>
            <w:tcW w:type="dxa" w:w="3360"/>
            <w:vAlign w:val="center"/>
          </w:tcPr>
          <w:p>
            <w:r/>
            <w:r>
              <w:rPr>
                <w:b w:val="0"/>
                <w:sz w:val="18"/>
              </w:rPr>
              <w:t>Frontend</w:t>
            </w:r>
          </w:p>
        </w:tc>
        <w:tc>
          <w:tcPr>
            <w:tcW w:type="dxa" w:w="3360"/>
            <w:vAlign w:val="center"/>
          </w:tcPr>
          <w:p>
            <w:r/>
            <w:r>
              <w:rPr>
                <w:b w:val="0"/>
                <w:sz w:val="18"/>
              </w:rPr>
              <w:t>React/Vite/Tailwind</w:t>
            </w:r>
          </w:p>
        </w:tc>
        <w:tc>
          <w:tcPr>
            <w:tcW w:type="dxa" w:w="3360"/>
            <w:vAlign w:val="center"/>
          </w:tcPr>
          <w:p>
            <w:r/>
            <w:r>
              <w:rPr>
                <w:b w:val="0"/>
                <w:sz w:val="18"/>
              </w:rPr>
              <w:t>Alta: interfaz modular y responsiva.</w:t>
            </w:r>
          </w:p>
        </w:tc>
      </w:tr>
      <w:tr>
        <w:tc>
          <w:tcPr>
            <w:tcW w:type="dxa" w:w="3360"/>
            <w:vAlign w:val="center"/>
          </w:tcPr>
          <w:p>
            <w:r/>
            <w:r>
              <w:rPr>
                <w:b w:val="0"/>
                <w:sz w:val="18"/>
              </w:rPr>
              <w:t>Backend</w:t>
            </w:r>
          </w:p>
        </w:tc>
        <w:tc>
          <w:tcPr>
            <w:tcW w:type="dxa" w:w="3360"/>
            <w:vAlign w:val="center"/>
          </w:tcPr>
          <w:p>
            <w:r/>
            <w:r>
              <w:rPr>
                <w:b w:val="0"/>
                <w:sz w:val="18"/>
              </w:rPr>
              <w:t>Fastify/TypeScript</w:t>
            </w:r>
          </w:p>
        </w:tc>
        <w:tc>
          <w:tcPr>
            <w:tcW w:type="dxa" w:w="3360"/>
            <w:vAlign w:val="center"/>
          </w:tcPr>
          <w:p>
            <w:r/>
            <w:r>
              <w:rPr>
                <w:b w:val="0"/>
                <w:sz w:val="18"/>
              </w:rPr>
              <w:t>Alta: rutas y servicios separados.</w:t>
            </w:r>
          </w:p>
        </w:tc>
      </w:tr>
      <w:tr>
        <w:tc>
          <w:tcPr>
            <w:tcW w:type="dxa" w:w="3360"/>
            <w:vAlign w:val="center"/>
          </w:tcPr>
          <w:p>
            <w:r/>
            <w:r>
              <w:rPr>
                <w:b w:val="0"/>
                <w:sz w:val="18"/>
              </w:rPr>
              <w:t>Catálogos</w:t>
            </w:r>
          </w:p>
        </w:tc>
        <w:tc>
          <w:tcPr>
            <w:tcW w:type="dxa" w:w="3360"/>
            <w:vAlign w:val="center"/>
          </w:tcPr>
          <w:p>
            <w:r/>
            <w:r>
              <w:rPr>
                <w:b w:val="0"/>
                <w:sz w:val="18"/>
              </w:rPr>
              <w:t>database_catalogs y FileDatabaseAdapter</w:t>
            </w:r>
          </w:p>
        </w:tc>
        <w:tc>
          <w:tcPr>
            <w:tcW w:type="dxa" w:w="3360"/>
            <w:vAlign w:val="center"/>
          </w:tcPr>
          <w:p>
            <w:r/>
            <w:r>
              <w:rPr>
                <w:b w:val="0"/>
                <w:sz w:val="18"/>
              </w:rPr>
              <w:t>Alta: evita depender de disco persistente.</w:t>
            </w:r>
          </w:p>
        </w:tc>
      </w:tr>
      <w:tr>
        <w:tc>
          <w:tcPr>
            <w:tcW w:type="dxa" w:w="3360"/>
            <w:vAlign w:val="center"/>
          </w:tcPr>
          <w:p>
            <w:r/>
            <w:r>
              <w:rPr>
                <w:b w:val="0"/>
                <w:sz w:val="18"/>
              </w:rPr>
              <w:t>Motores</w:t>
            </w:r>
          </w:p>
        </w:tc>
        <w:tc>
          <w:tcPr>
            <w:tcW w:type="dxa" w:w="3360"/>
            <w:vAlign w:val="center"/>
          </w:tcPr>
          <w:p>
            <w:r/>
            <w:r>
              <w:rPr>
                <w:b w:val="0"/>
                <w:sz w:val="18"/>
              </w:rPr>
              <w:t>PostgreSQL, MySQL, MariaDB, SQL Server, Oracle por script, SQLite, MongoDB, Excel/CSV</w:t>
            </w:r>
          </w:p>
        </w:tc>
        <w:tc>
          <w:tcPr>
            <w:tcW w:type="dxa" w:w="3360"/>
            <w:vAlign w:val="center"/>
          </w:tcPr>
          <w:p>
            <w:r/>
            <w:r>
              <w:rPr>
                <w:b w:val="0"/>
                <w:sz w:val="18"/>
              </w:rPr>
              <w:t>Media/Alta: .bak requiere infraestructura externa.</w:t>
            </w:r>
          </w:p>
        </w:tc>
      </w:tr>
      <w:tr>
        <w:tc>
          <w:tcPr>
            <w:tcW w:type="dxa" w:w="3360"/>
            <w:vAlign w:val="center"/>
          </w:tcPr>
          <w:p>
            <w:r/>
            <w:r>
              <w:rPr>
                <w:b w:val="0"/>
                <w:sz w:val="18"/>
              </w:rPr>
              <w:t>Despliegue</w:t>
            </w:r>
          </w:p>
        </w:tc>
        <w:tc>
          <w:tcPr>
            <w:tcW w:type="dxa" w:w="3360"/>
            <w:vAlign w:val="center"/>
          </w:tcPr>
          <w:p>
            <w:r/>
            <w:r>
              <w:rPr>
                <w:b w:val="0"/>
                <w:sz w:val="18"/>
              </w:rPr>
              <w:t>render.yaml y engines Node 22.14.0</w:t>
            </w:r>
          </w:p>
        </w:tc>
        <w:tc>
          <w:tcPr>
            <w:tcW w:type="dxa" w:w="3360"/>
            <w:vAlign w:val="center"/>
          </w:tcPr>
          <w:p>
            <w:r/>
            <w:r>
              <w:rPr>
                <w:b w:val="0"/>
                <w:sz w:val="18"/>
              </w:rPr>
              <w:t>Alta: listo para Render.</w:t>
            </w:r>
          </w:p>
        </w:tc>
      </w:tr>
    </w:tbl>
    <w:p/>
    <w:p>
      <w:pPr>
        <w:pStyle w:val="Heading1"/>
      </w:pPr>
      <w:r>
        <w:t>4. Factibilidad económica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
              <w:rPr>
                <w:b/>
                <w:sz w:val="18"/>
              </w:rPr>
              <w:t>Concepto</w:t>
            </w:r>
          </w:p>
        </w:tc>
        <w:tc>
          <w:tcPr>
            <w:tcW w:type="dxa" w:w="3360"/>
            <w:vAlign w:val="center"/>
          </w:tcPr>
          <w:p>
            <w:r/>
            <w:r>
              <w:rPr>
                <w:b/>
                <w:sz w:val="18"/>
              </w:rPr>
              <w:t>Costo esperado</w:t>
            </w:r>
          </w:p>
        </w:tc>
        <w:tc>
          <w:tcPr>
            <w:tcW w:type="dxa" w:w="3360"/>
            <w:vAlign w:val="center"/>
          </w:tcPr>
          <w:p>
            <w:r/>
            <w:r>
              <w:rPr>
                <w:b/>
                <w:sz w:val="18"/>
              </w:rPr>
              <w:t>Comentario</w:t>
            </w:r>
          </w:p>
        </w:tc>
      </w:tr>
      <w:tr>
        <w:tc>
          <w:tcPr>
            <w:tcW w:type="dxa" w:w="3360"/>
            <w:vAlign w:val="center"/>
          </w:tcPr>
          <w:p>
            <w:r/>
            <w:r>
              <w:rPr>
                <w:b w:val="0"/>
                <w:sz w:val="18"/>
              </w:rPr>
              <w:t>Desarrollo</w:t>
            </w:r>
          </w:p>
        </w:tc>
        <w:tc>
          <w:tcPr>
            <w:tcW w:type="dxa" w:w="3360"/>
            <w:vAlign w:val="center"/>
          </w:tcPr>
          <w:p>
            <w:r/>
            <w:r>
              <w:rPr>
                <w:b w:val="0"/>
                <w:sz w:val="18"/>
              </w:rPr>
              <w:t>Cubierto por el equipo</w:t>
            </w:r>
          </w:p>
        </w:tc>
        <w:tc>
          <w:tcPr>
            <w:tcW w:type="dxa" w:w="3360"/>
            <w:vAlign w:val="center"/>
          </w:tcPr>
          <w:p>
            <w:r/>
            <w:r>
              <w:rPr>
                <w:b w:val="0"/>
                <w:sz w:val="18"/>
              </w:rPr>
              <w:t>Código fuente en el repositorio.</w:t>
            </w:r>
          </w:p>
        </w:tc>
      </w:tr>
      <w:tr>
        <w:tc>
          <w:tcPr>
            <w:tcW w:type="dxa" w:w="3360"/>
            <w:vAlign w:val="center"/>
          </w:tcPr>
          <w:p>
            <w:r/>
            <w:r>
              <w:rPr>
                <w:b w:val="0"/>
                <w:sz w:val="18"/>
              </w:rPr>
              <w:t>Render</w:t>
            </w:r>
          </w:p>
        </w:tc>
        <w:tc>
          <w:tcPr>
            <w:tcW w:type="dxa" w:w="3360"/>
            <w:vAlign w:val="center"/>
          </w:tcPr>
          <w:p>
            <w:r/>
            <w:r>
              <w:rPr>
                <w:b w:val="0"/>
                <w:sz w:val="18"/>
              </w:rPr>
              <w:t>Plan free o escalable</w:t>
            </w:r>
          </w:p>
        </w:tc>
        <w:tc>
          <w:tcPr>
            <w:tcW w:type="dxa" w:w="3360"/>
            <w:vAlign w:val="center"/>
          </w:tcPr>
          <w:p>
            <w:r/>
            <w:r>
              <w:rPr>
                <w:b w:val="0"/>
                <w:sz w:val="18"/>
              </w:rPr>
              <w:t>Suficiente para demostración.</w:t>
            </w:r>
          </w:p>
        </w:tc>
      </w:tr>
      <w:tr>
        <w:tc>
          <w:tcPr>
            <w:tcW w:type="dxa" w:w="3360"/>
            <w:vAlign w:val="center"/>
          </w:tcPr>
          <w:p>
            <w:r/>
            <w:r>
              <w:rPr>
                <w:b w:val="0"/>
                <w:sz w:val="18"/>
              </w:rPr>
              <w:t>Supabase/PostgreSQL</w:t>
            </w:r>
          </w:p>
        </w:tc>
        <w:tc>
          <w:tcPr>
            <w:tcW w:type="dxa" w:w="3360"/>
            <w:vAlign w:val="center"/>
          </w:tcPr>
          <w:p>
            <w:r/>
            <w:r>
              <w:rPr>
                <w:b w:val="0"/>
                <w:sz w:val="18"/>
              </w:rPr>
              <w:t>Plan gratuito o académico</w:t>
            </w:r>
          </w:p>
        </w:tc>
        <w:tc>
          <w:tcPr>
            <w:tcW w:type="dxa" w:w="3360"/>
            <w:vAlign w:val="center"/>
          </w:tcPr>
          <w:p>
            <w:r/>
            <w:r>
              <w:rPr>
                <w:b w:val="0"/>
                <w:sz w:val="18"/>
              </w:rPr>
              <w:t>Guarda metadatos y catálogos.</w:t>
            </w:r>
          </w:p>
        </w:tc>
      </w:tr>
      <w:tr>
        <w:tc>
          <w:tcPr>
            <w:tcW w:type="dxa" w:w="3360"/>
            <w:vAlign w:val="center"/>
          </w:tcPr>
          <w:p>
            <w:r/>
            <w:r>
              <w:rPr>
                <w:b w:val="0"/>
                <w:sz w:val="18"/>
              </w:rPr>
              <w:t>OpenAI</w:t>
            </w:r>
          </w:p>
        </w:tc>
        <w:tc>
          <w:tcPr>
            <w:tcW w:type="dxa" w:w="3360"/>
            <w:vAlign w:val="center"/>
          </w:tcPr>
          <w:p>
            <w:r/>
            <w:r>
              <w:rPr>
                <w:b w:val="0"/>
                <w:sz w:val="18"/>
              </w:rPr>
              <w:t>Opcional</w:t>
            </w:r>
          </w:p>
        </w:tc>
        <w:tc>
          <w:tcPr>
            <w:tcW w:type="dxa" w:w="3360"/>
            <w:vAlign w:val="center"/>
          </w:tcPr>
          <w:p>
            <w:r/>
            <w:r>
              <w:rPr>
                <w:b w:val="0"/>
                <w:sz w:val="18"/>
              </w:rPr>
              <w:t>Solo con OPENAI_API_KEY.</w:t>
            </w:r>
          </w:p>
        </w:tc>
      </w:tr>
      <w:tr>
        <w:tc>
          <w:tcPr>
            <w:tcW w:type="dxa" w:w="3360"/>
            <w:vAlign w:val="center"/>
          </w:tcPr>
          <w:p>
            <w:r/>
            <w:r>
              <w:rPr>
                <w:b w:val="0"/>
                <w:sz w:val="18"/>
              </w:rPr>
              <w:t>SQL Server para .bak</w:t>
            </w:r>
          </w:p>
        </w:tc>
        <w:tc>
          <w:tcPr>
            <w:tcW w:type="dxa" w:w="3360"/>
            <w:vAlign w:val="center"/>
          </w:tcPr>
          <w:p>
            <w:r/>
            <w:r>
              <w:rPr>
                <w:b w:val="0"/>
                <w:sz w:val="18"/>
              </w:rPr>
              <w:t>Opcional/externo</w:t>
            </w:r>
          </w:p>
        </w:tc>
        <w:tc>
          <w:tcPr>
            <w:tcW w:type="dxa" w:w="3360"/>
            <w:vAlign w:val="center"/>
          </w:tcPr>
          <w:p>
            <w:r/>
            <w:r>
              <w:rPr>
                <w:b w:val="0"/>
                <w:sz w:val="18"/>
              </w:rPr>
              <w:t>No forma parte del servicio Node.</w:t>
            </w:r>
          </w:p>
        </w:tc>
      </w:tr>
    </w:tbl>
    <w:p/>
    <w:p>
      <w:pPr>
        <w:pStyle w:val="Heading1"/>
      </w:pPr>
      <w:r>
        <w:t>5. Factibilidad operativa</w:t>
      </w:r>
    </w:p>
    <w:p>
      <w:r>
        <w:t>La operación se concentra en dos secciones: Bases de datos y Replicador. El usuario importa archivos desde su computadora, valida lectura, selecciona origen y destino, mapea tablas, ejecuta trabajos y descarga reportes o bases modificadas.</w:t>
      </w:r>
    </w:p>
    <w:p/>
    <w:p>
      <w:r>
        <w:drawing>
          <wp:inline xmlns:a="http://schemas.openxmlformats.org/drawingml/2006/main" xmlns:pic="http://schemas.openxmlformats.org/drawingml/2006/picture">
            <wp:extent cx="6126480" cy="3719649"/>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6480" cy="3719649"/>
                    </a:xfrm>
                    <a:prstGeom prst="rect"/>
                  </pic:spPr>
                </pic:pic>
              </a:graphicData>
            </a:graphic>
          </wp:inline>
        </w:drawing>
      </w:r>
    </w:p>
    <w:p>
      <w:pPr>
        <w:jc w:val="center"/>
      </w:pPr>
      <w:r>
        <w:rPr>
          <w:i/>
          <w:sz w:val="18"/>
        </w:rPr>
        <w:t>Figura 2. Flujo operativo principal.</w:t>
      </w:r>
    </w:p>
    <w:p>
      <w:pPr>
        <w:pStyle w:val="Heading1"/>
      </w:pPr>
      <w:r>
        <w:t>6. Riesgos y mitigaciones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
              <w:rPr>
                <w:b/>
                <w:sz w:val="18"/>
              </w:rPr>
              <w:t>Riesgo</w:t>
            </w:r>
          </w:p>
        </w:tc>
        <w:tc>
          <w:tcPr>
            <w:tcW w:type="dxa" w:w="3360"/>
            <w:vAlign w:val="center"/>
          </w:tcPr>
          <w:p>
            <w:r/>
            <w:r>
              <w:rPr>
                <w:b/>
                <w:sz w:val="18"/>
              </w:rPr>
              <w:t>Impacto</w:t>
            </w:r>
          </w:p>
        </w:tc>
        <w:tc>
          <w:tcPr>
            <w:tcW w:type="dxa" w:w="3360"/>
            <w:vAlign w:val="center"/>
          </w:tcPr>
          <w:p>
            <w:r/>
            <w:r>
              <w:rPr>
                <w:b/>
                <w:sz w:val="18"/>
              </w:rPr>
              <w:t>Mitigación</w:t>
            </w:r>
          </w:p>
        </w:tc>
      </w:tr>
      <w:tr>
        <w:tc>
          <w:tcPr>
            <w:tcW w:type="dxa" w:w="3360"/>
            <w:vAlign w:val="center"/>
          </w:tcPr>
          <w:p>
            <w:r/>
            <w:r>
              <w:rPr>
                <w:b w:val="0"/>
                <w:sz w:val="18"/>
              </w:rPr>
              <w:t>Archivo incompatible</w:t>
            </w:r>
          </w:p>
        </w:tc>
        <w:tc>
          <w:tcPr>
            <w:tcW w:type="dxa" w:w="3360"/>
            <w:vAlign w:val="center"/>
          </w:tcPr>
          <w:p>
            <w:r/>
            <w:r>
              <w:rPr>
                <w:b w:val="0"/>
                <w:sz w:val="18"/>
              </w:rPr>
              <w:t>Falla de importación</w:t>
            </w:r>
          </w:p>
        </w:tc>
        <w:tc>
          <w:tcPr>
            <w:tcW w:type="dxa" w:w="3360"/>
            <w:vAlign w:val="center"/>
          </w:tcPr>
          <w:p>
            <w:r/>
            <w:r>
              <w:rPr>
                <w:b w:val="0"/>
                <w:sz w:val="18"/>
              </w:rPr>
              <w:t>Validación por extensión, cabecera y contenido.</w:t>
            </w:r>
          </w:p>
        </w:tc>
      </w:tr>
      <w:tr>
        <w:tc>
          <w:tcPr>
            <w:tcW w:type="dxa" w:w="3360"/>
            <w:vAlign w:val="center"/>
          </w:tcPr>
          <w:p>
            <w:r/>
            <w:r>
              <w:rPr>
                <w:b w:val="0"/>
                <w:sz w:val="18"/>
              </w:rPr>
              <w:t>.bak sin SQL Server</w:t>
            </w:r>
          </w:p>
        </w:tc>
        <w:tc>
          <w:tcPr>
            <w:tcW w:type="dxa" w:w="3360"/>
            <w:vAlign w:val="center"/>
          </w:tcPr>
          <w:p>
            <w:r/>
            <w:r>
              <w:rPr>
                <w:b w:val="0"/>
                <w:sz w:val="18"/>
              </w:rPr>
              <w:t>Función no disponible</w:t>
            </w:r>
          </w:p>
        </w:tc>
        <w:tc>
          <w:tcPr>
            <w:tcW w:type="dxa" w:w="3360"/>
            <w:vAlign w:val="center"/>
          </w:tcPr>
          <w:p>
            <w:r/>
            <w:r>
              <w:rPr>
                <w:b w:val="0"/>
                <w:sz w:val="18"/>
              </w:rPr>
              <w:t>Advertencia y alternativa por .sql.</w:t>
            </w:r>
          </w:p>
        </w:tc>
      </w:tr>
      <w:tr>
        <w:tc>
          <w:tcPr>
            <w:tcW w:type="dxa" w:w="3360"/>
            <w:vAlign w:val="center"/>
          </w:tcPr>
          <w:p>
            <w:r/>
            <w:r>
              <w:rPr>
                <w:b w:val="0"/>
                <w:sz w:val="18"/>
              </w:rPr>
              <w:t>Disco temporal en Render</w:t>
            </w:r>
          </w:p>
        </w:tc>
        <w:tc>
          <w:tcPr>
            <w:tcW w:type="dxa" w:w="3360"/>
            <w:vAlign w:val="center"/>
          </w:tcPr>
          <w:p>
            <w:r/>
            <w:r>
              <w:rPr>
                <w:b w:val="0"/>
                <w:sz w:val="18"/>
              </w:rPr>
              <w:t>Pérdida de archivos</w:t>
            </w:r>
          </w:p>
        </w:tc>
        <w:tc>
          <w:tcPr>
            <w:tcW w:type="dxa" w:w="3360"/>
            <w:vAlign w:val="center"/>
          </w:tcPr>
          <w:p>
            <w:r/>
            <w:r>
              <w:rPr>
                <w:b w:val="0"/>
                <w:sz w:val="18"/>
              </w:rPr>
              <w:t>Catálogos comprimidos en PostgreSQL/Supabase.</w:t>
            </w:r>
          </w:p>
        </w:tc>
      </w:tr>
      <w:tr>
        <w:tc>
          <w:tcPr>
            <w:tcW w:type="dxa" w:w="3360"/>
            <w:vAlign w:val="center"/>
          </w:tcPr>
          <w:p>
            <w:r/>
            <w:r>
              <w:rPr>
                <w:b w:val="0"/>
                <w:sz w:val="18"/>
              </w:rPr>
              <w:t>Credenciales expuestas</w:t>
            </w:r>
          </w:p>
        </w:tc>
        <w:tc>
          <w:tcPr>
            <w:tcW w:type="dxa" w:w="3360"/>
            <w:vAlign w:val="center"/>
          </w:tcPr>
          <w:p>
            <w:r/>
            <w:r>
              <w:rPr>
                <w:b w:val="0"/>
                <w:sz w:val="18"/>
              </w:rPr>
              <w:t>Riesgo de seguridad</w:t>
            </w:r>
          </w:p>
        </w:tc>
        <w:tc>
          <w:tcPr>
            <w:tcW w:type="dxa" w:w="3360"/>
            <w:vAlign w:val="center"/>
          </w:tcPr>
          <w:p>
            <w:r/>
            <w:r>
              <w:rPr>
                <w:b w:val="0"/>
                <w:sz w:val="18"/>
              </w:rPr>
              <w:t>AES-256-GCM y variables de entorno.</w:t>
            </w:r>
          </w:p>
        </w:tc>
      </w:tr>
      <w:tr>
        <w:tc>
          <w:tcPr>
            <w:tcW w:type="dxa" w:w="3360"/>
            <w:vAlign w:val="center"/>
          </w:tcPr>
          <w:p>
            <w:r/>
            <w:r>
              <w:rPr>
                <w:b w:val="0"/>
                <w:sz w:val="18"/>
              </w:rPr>
              <w:t>CDC exact-once</w:t>
            </w:r>
          </w:p>
        </w:tc>
        <w:tc>
          <w:tcPr>
            <w:tcW w:type="dxa" w:w="3360"/>
            <w:vAlign w:val="center"/>
          </w:tcPr>
          <w:p>
            <w:r/>
            <w:r>
              <w:rPr>
                <w:b w:val="0"/>
                <w:sz w:val="18"/>
              </w:rPr>
              <w:t>Expectativa no cubierta</w:t>
            </w:r>
          </w:p>
        </w:tc>
        <w:tc>
          <w:tcPr>
            <w:tcW w:type="dxa" w:w="3360"/>
            <w:vAlign w:val="center"/>
          </w:tcPr>
          <w:p>
            <w:r/>
            <w:r>
              <w:rPr>
                <w:b w:val="0"/>
                <w:sz w:val="18"/>
              </w:rPr>
              <w:t>Declararlo como evolución futura.</w:t>
            </w:r>
          </w:p>
        </w:tc>
      </w:tr>
    </w:tbl>
    <w:p/>
    <w:p>
      <w:pPr>
        <w:pStyle w:val="Heading1"/>
      </w:pPr>
      <w:r>
        <w:t>7. Conclusiones</w:t>
      </w:r>
    </w:p>
    <w:p>
      <w:pPr>
        <w:pStyle w:val="ListNumber"/>
      </w:pPr>
      <w:r>
        <w:t>El proyecto es factible para entorno académico y demostrativo.</w:t>
      </w:r>
    </w:p>
    <w:p>
      <w:pPr>
        <w:pStyle w:val="ListNumber"/>
      </w:pPr>
      <w:r>
        <w:t>La arquitectura de catálogos importados es coherente con Render.</w:t>
      </w:r>
    </w:p>
    <w:p>
      <w:pPr>
        <w:pStyle w:val="ListNumber"/>
      </w:pPr>
      <w:r>
        <w:t>La documentación debe mantener Node.js 22.14.0 como requisito real.</w:t>
      </w:r>
    </w:p>
    <w:p>
      <w:pPr>
        <w:pStyle w:val="ListNumber"/>
      </w:pPr>
      <w:r>
        <w:t>La importación .bak y CDC real son capacidades condicionadas o futuras.</w:t>
      </w:r>
    </w:p>
    <w:p>
      <w:r>
        <w:br w:type="page"/>
      </w:r>
    </w:p>
    <w:p>
      <w:pPr>
        <w:pStyle w:val="Heading1"/>
      </w:pPr>
      <w:r>
        <w:t>8. Análisis detallado de factibilidad</w:t>
      </w:r>
    </w:p>
    <w:p>
      <w:r>
        <w:t>La factibilidad de Drop Nexus se sustenta en que el producto no intenta reemplazar administradores avanzados de bases de datos, sino ofrecer una capa académica y operativa para importar, comparar, replicar y evidenciar resultados. Esta delimitación reduce la complejidad inicial y permite entregar valor real con tecnologías disponibles.</w:t>
      </w:r>
    </w:p>
    <w:p>
      <w:r>
        <w:t>El flujo basado en catálogos importados es una decisión viable porque evita que cada usuario deba exponer hosts, puertos o credenciales de servidores externos. En el contexto académico, esta elección mejora seguridad, repetibilidad de pruebas y facilidad de despliegue.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8"/>
              </w:rPr>
              <w:t>Dimensión</w:t>
            </w:r>
          </w:p>
        </w:tc>
        <w:tc>
          <w:tcPr>
            <w:tcW w:type="dxa" w:w="3360"/>
          </w:tcPr>
          <w:p>
            <w:r>
              <w:rPr>
                <w:b/>
                <w:sz w:val="18"/>
              </w:rPr>
              <w:t>Detalle evaluado</w:t>
            </w:r>
          </w:p>
        </w:tc>
        <w:tc>
          <w:tcPr>
            <w:tcW w:type="dxa" w:w="3360"/>
          </w:tcPr>
          <w:p>
            <w:r>
              <w:rPr>
                <w:b/>
                <w:sz w:val="18"/>
              </w:rPr>
              <w:t>Resultado</w:t>
            </w:r>
          </w:p>
        </w:tc>
      </w:tr>
      <w:tr>
        <w:tc>
          <w:tcPr>
            <w:tcW w:type="dxa" w:w="3360"/>
          </w:tcPr>
          <w:p>
            <w:r>
              <w:rPr>
                <w:sz w:val="18"/>
              </w:rPr>
              <w:t>Técnica</w:t>
            </w:r>
          </w:p>
        </w:tc>
        <w:tc>
          <w:tcPr>
            <w:tcW w:type="dxa" w:w="3360"/>
          </w:tcPr>
          <w:p>
            <w:r>
              <w:rPr>
                <w:sz w:val="18"/>
              </w:rPr>
              <w:t>Compatibilidad entre React, Fastify, PostgreSQL/Supabase y Render.</w:t>
            </w:r>
          </w:p>
        </w:tc>
        <w:tc>
          <w:tcPr>
            <w:tcW w:type="dxa" w:w="3360"/>
          </w:tcPr>
          <w:p>
            <w:r>
              <w:rPr>
                <w:sz w:val="18"/>
              </w:rPr>
              <w:t>Viable con Node.js 22.14.0.</w:t>
            </w:r>
          </w:p>
        </w:tc>
      </w:tr>
      <w:tr>
        <w:tc>
          <w:tcPr>
            <w:tcW w:type="dxa" w:w="3360"/>
          </w:tcPr>
          <w:p>
            <w:r>
              <w:rPr>
                <w:sz w:val="18"/>
              </w:rPr>
              <w:t>Operativa</w:t>
            </w:r>
          </w:p>
        </w:tc>
        <w:tc>
          <w:tcPr>
            <w:tcW w:type="dxa" w:w="3360"/>
          </w:tcPr>
          <w:p>
            <w:r>
              <w:rPr>
                <w:sz w:val="18"/>
              </w:rPr>
              <w:t>Usuarios pueden cargar archivos, validar, replicar y descargar sin scripts.</w:t>
            </w:r>
          </w:p>
        </w:tc>
        <w:tc>
          <w:tcPr>
            <w:tcW w:type="dxa" w:w="3360"/>
          </w:tcPr>
          <w:p>
            <w:r>
              <w:rPr>
                <w:sz w:val="18"/>
              </w:rPr>
              <w:t>Viable para laboratorio y demostración.</w:t>
            </w:r>
          </w:p>
        </w:tc>
      </w:tr>
      <w:tr>
        <w:tc>
          <w:tcPr>
            <w:tcW w:type="dxa" w:w="3360"/>
          </w:tcPr>
          <w:p>
            <w:r>
              <w:rPr>
                <w:sz w:val="18"/>
              </w:rPr>
              <w:t>Económica</w:t>
            </w:r>
          </w:p>
        </w:tc>
        <w:tc>
          <w:tcPr>
            <w:tcW w:type="dxa" w:w="3360"/>
          </w:tcPr>
          <w:p>
            <w:r>
              <w:rPr>
                <w:sz w:val="18"/>
              </w:rPr>
              <w:t>Uso de librerías open source y planes gratuitos o académicos.</w:t>
            </w:r>
          </w:p>
        </w:tc>
        <w:tc>
          <w:tcPr>
            <w:tcW w:type="dxa" w:w="3360"/>
          </w:tcPr>
          <w:p>
            <w:r>
              <w:rPr>
                <w:sz w:val="18"/>
              </w:rPr>
              <w:t>Viable con bajo costo inicial.</w:t>
            </w:r>
          </w:p>
        </w:tc>
      </w:tr>
      <w:tr>
        <w:tc>
          <w:tcPr>
            <w:tcW w:type="dxa" w:w="3360"/>
          </w:tcPr>
          <w:p>
            <w:r>
              <w:rPr>
                <w:sz w:val="18"/>
              </w:rPr>
              <w:t>Legal</w:t>
            </w:r>
          </w:p>
        </w:tc>
        <w:tc>
          <w:tcPr>
            <w:tcW w:type="dxa" w:w="3360"/>
          </w:tcPr>
          <w:p>
            <w:r>
              <w:rPr>
                <w:sz w:val="18"/>
              </w:rPr>
              <w:t>Tratamiento de credenciales cifradas y aislamiento por usuario.</w:t>
            </w:r>
          </w:p>
        </w:tc>
        <w:tc>
          <w:tcPr>
            <w:tcW w:type="dxa" w:w="3360"/>
          </w:tcPr>
          <w:p>
            <w:r>
              <w:rPr>
                <w:sz w:val="18"/>
              </w:rPr>
              <w:t>Viable si se protegen secretos y datos de prueba.</w:t>
            </w:r>
          </w:p>
        </w:tc>
      </w:tr>
      <w:tr>
        <w:tc>
          <w:tcPr>
            <w:tcW w:type="dxa" w:w="3360"/>
          </w:tcPr>
          <w:p>
            <w:r>
              <w:rPr>
                <w:sz w:val="18"/>
              </w:rPr>
              <w:t>Social</w:t>
            </w:r>
          </w:p>
        </w:tc>
        <w:tc>
          <w:tcPr>
            <w:tcW w:type="dxa" w:w="3360"/>
          </w:tcPr>
          <w:p>
            <w:r>
              <w:rPr>
                <w:sz w:val="18"/>
              </w:rPr>
              <w:t>Mejora aprendizaje de interoperabilidad de datos.</w:t>
            </w:r>
          </w:p>
        </w:tc>
        <w:tc>
          <w:tcPr>
            <w:tcW w:type="dxa" w:w="3360"/>
          </w:tcPr>
          <w:p>
            <w:r>
              <w:rPr>
                <w:sz w:val="18"/>
              </w:rPr>
              <w:t>Impacto positivo en formación técnica.</w:t>
            </w:r>
          </w:p>
        </w:tc>
      </w:tr>
      <w:tr>
        <w:tc>
          <w:tcPr>
            <w:tcW w:type="dxa" w:w="3360"/>
          </w:tcPr>
          <w:p>
            <w:r>
              <w:rPr>
                <w:sz w:val="18"/>
              </w:rPr>
              <w:t>Ambiental</w:t>
            </w:r>
          </w:p>
        </w:tc>
        <w:tc>
          <w:tcPr>
            <w:tcW w:type="dxa" w:w="3360"/>
          </w:tcPr>
          <w:p>
            <w:r>
              <w:rPr>
                <w:sz w:val="18"/>
              </w:rPr>
              <w:t>Reduce documentación manual y copias físicas.</w:t>
            </w:r>
          </w:p>
        </w:tc>
        <w:tc>
          <w:tcPr>
            <w:tcW w:type="dxa" w:w="3360"/>
          </w:tcPr>
          <w:p>
            <w:r>
              <w:rPr>
                <w:sz w:val="18"/>
              </w:rPr>
              <w:t>Impacto positivo moderado.</w:t>
            </w:r>
          </w:p>
        </w:tc>
      </w:tr>
    </w:tbl>
    <w:p/>
    <w:p>
      <w:pPr>
        <w:pStyle w:val="Heading1"/>
      </w:pPr>
      <w:r>
        <w:t>9. Supuestos de operación</w:t>
      </w:r>
    </w:p>
    <w:p>
      <w:pPr>
        <w:pStyle w:val="ListBullet"/>
      </w:pPr>
      <w:r>
        <w:t>Los usuarios trabajan con archivos de prueba o bases autorizadas para fines académicos.</w:t>
      </w:r>
    </w:p>
    <w:p>
      <w:pPr>
        <w:pStyle w:val="ListBullet"/>
      </w:pPr>
      <w:r>
        <w:t>La base de metadatos PostgreSQL/Supabase está disponible y correctamente configurada en DATABASE_URL.</w:t>
      </w:r>
    </w:p>
    <w:p>
      <w:pPr>
        <w:pStyle w:val="ListBullet"/>
      </w:pPr>
      <w:r>
        <w:t>JWT_SECRET y ENCRYPTION_KEY se almacenan como variables de entorno, no dentro de documentos ni código público.</w:t>
      </w:r>
    </w:p>
    <w:p>
      <w:pPr>
        <w:pStyle w:val="ListBullet"/>
      </w:pPr>
      <w:r>
        <w:t>La importación de archivos grandes depende del límite MAX_DATABASE_FILE_SIZE_MB y de la memoria disponible.</w:t>
      </w:r>
    </w:p>
    <w:p>
      <w:pPr>
        <w:pStyle w:val="ListBullet"/>
      </w:pPr>
      <w:r>
        <w:t>La restauración de .bak solo se habilita si existe un SQL Server externo preparado para restaurar temporalmente el respaldo.</w:t>
      </w:r>
    </w:p>
    <w:p>
      <w:pPr>
        <w:pStyle w:val="Heading1"/>
      </w:pPr>
      <w:r>
        <w:t>10. Análisis costo-beneficio cualitativo</w:t>
      </w:r>
    </w:p>
    <w:p>
      <w:r>
        <w:t>El beneficio principal no se mide únicamente en ahorro económico, sino en reducción de esfuerzo técnico. Sin Drop Nexus, una demostración de replicación entre formatos suele requerir preparar scripts, instalar herramientas por motor, validar manualmente estructuras y documentar resultados de forma separada. Con Drop Nexus, el flujo se concentra en una interfaz web con reportes descargables.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8"/>
              </w:rPr>
              <w:t>Beneficio</w:t>
            </w:r>
          </w:p>
        </w:tc>
        <w:tc>
          <w:tcPr>
            <w:tcW w:type="dxa" w:w="5040"/>
          </w:tcPr>
          <w:p>
            <w:r>
              <w:rPr>
                <w:b/>
                <w:sz w:val="18"/>
              </w:rPr>
              <w:t>Impacto esperado</w:t>
            </w:r>
          </w:p>
        </w:tc>
      </w:tr>
      <w:tr>
        <w:tc>
          <w:tcPr>
            <w:tcW w:type="dxa" w:w="5040"/>
          </w:tcPr>
          <w:p>
            <w:r>
              <w:rPr>
                <w:sz w:val="18"/>
              </w:rPr>
              <w:t>Menos preparación manual</w:t>
            </w:r>
          </w:p>
        </w:tc>
        <w:tc>
          <w:tcPr>
            <w:tcW w:type="dxa" w:w="5040"/>
          </w:tcPr>
          <w:p>
            <w:r>
              <w:rPr>
                <w:sz w:val="18"/>
              </w:rPr>
              <w:t>Los usuarios cargan archivos y el sistema detecta formatos.</w:t>
            </w:r>
          </w:p>
        </w:tc>
      </w:tr>
      <w:tr>
        <w:tc>
          <w:tcPr>
            <w:tcW w:type="dxa" w:w="5040"/>
          </w:tcPr>
          <w:p>
            <w:r>
              <w:rPr>
                <w:sz w:val="18"/>
              </w:rPr>
              <w:t>Mayor trazabilidad</w:t>
            </w:r>
          </w:p>
        </w:tc>
        <w:tc>
          <w:tcPr>
            <w:tcW w:type="dxa" w:w="5040"/>
          </w:tcPr>
          <w:p>
            <w:r>
              <w:rPr>
                <w:sz w:val="18"/>
              </w:rPr>
              <w:t>Cada job conserva estado, progreso, error y recomendación.</w:t>
            </w:r>
          </w:p>
        </w:tc>
      </w:tr>
      <w:tr>
        <w:tc>
          <w:tcPr>
            <w:tcW w:type="dxa" w:w="5040"/>
          </w:tcPr>
          <w:p>
            <w:r>
              <w:rPr>
                <w:sz w:val="18"/>
              </w:rPr>
              <w:t>Mejor demostración académica</w:t>
            </w:r>
          </w:p>
        </w:tc>
        <w:tc>
          <w:tcPr>
            <w:tcW w:type="dxa" w:w="5040"/>
          </w:tcPr>
          <w:p>
            <w:r>
              <w:rPr>
                <w:sz w:val="18"/>
              </w:rPr>
              <w:t>Los FD, README, release, skill y extensión sirven como evidencia.</w:t>
            </w:r>
          </w:p>
        </w:tc>
      </w:tr>
      <w:tr>
        <w:tc>
          <w:tcPr>
            <w:tcW w:type="dxa" w:w="5040"/>
          </w:tcPr>
          <w:p>
            <w:r>
              <w:rPr>
                <w:sz w:val="18"/>
              </w:rPr>
              <w:t>Menor dependencia de infraestructura</w:t>
            </w:r>
          </w:p>
        </w:tc>
        <w:tc>
          <w:tcPr>
            <w:tcW w:type="dxa" w:w="5040"/>
          </w:tcPr>
          <w:p>
            <w:r>
              <w:rPr>
                <w:sz w:val="18"/>
              </w:rPr>
              <w:t>Render y Supabase permiten despliegue sin servidores propios.</w:t>
            </w:r>
          </w:p>
        </w:tc>
      </w:tr>
      <w:tr>
        <w:tc>
          <w:tcPr>
            <w:tcW w:type="dxa" w:w="5040"/>
          </w:tcPr>
          <w:p>
            <w:r>
              <w:rPr>
                <w:sz w:val="18"/>
              </w:rPr>
              <w:t>Escalabilidad futura</w:t>
            </w:r>
          </w:p>
        </w:tc>
        <w:tc>
          <w:tcPr>
            <w:tcW w:type="dxa" w:w="5040"/>
          </w:tcPr>
          <w:p>
            <w:r>
              <w:rPr>
                <w:sz w:val="18"/>
              </w:rPr>
              <w:t>Los adaptadores permiten extender motores y estrategias de sincronización.</w:t>
            </w:r>
          </w:p>
        </w:tc>
      </w:tr>
    </w:tbl>
    <w:p/>
    <w:p>
      <w:pPr>
        <w:pStyle w:val="Heading1"/>
      </w:pPr>
      <w:r>
        <w:t>11. Recomendación de factibilidad</w:t>
      </w:r>
    </w:p>
    <w:p>
      <w:r>
        <w:t>Se recomienda continuar el proyecto como solución académica funcional y base para iteraciones posteriores. Para producción real se recomienda añadir pruebas automatizadas por motor, monitoreo externo, auditoría de seguridad y una estrategia de colas para trabajos largos.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D4E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478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