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12256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1225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4"/>
        </w:rPr>
        <w:t>UNIVERSIDAD PRIVADA DE TACNA</w:t>
        <w:br/>
        <w:t>FACULTAD DE INGENIERÍA</w:t>
        <w:br/>
        <w:t>Escuela Profesional de Ingeniería de Sistemas</w:t>
      </w:r>
    </w:p>
    <w:p>
      <w:pPr>
        <w:jc w:val="center"/>
      </w:pPr>
      <w:r>
        <w:rPr>
          <w:b/>
          <w:sz w:val="32"/>
        </w:rPr>
        <w:t>FD03</w:t>
      </w:r>
    </w:p>
    <w:p>
      <w:pPr>
        <w:jc w:val="center"/>
      </w:pPr>
      <w:r>
        <w:rPr>
          <w:b/>
          <w:sz w:val="36"/>
        </w:rPr>
        <w:t>Especificación de Requerimientos de Software</w:t>
      </w:r>
    </w:p>
    <w:p>
      <w:pPr>
        <w:jc w:val="center"/>
      </w:pPr>
      <w:r>
        <w:rPr>
          <w:b w:val="0"/>
          <w:sz w:val="22"/>
        </w:rPr>
        <w:t>SRS alineado a la implementación de Drop Nexus</w:t>
      </w:r>
    </w:p>
    <w:p>
      <w:pPr>
        <w:jc w:val="center"/>
      </w:pPr>
      <w:r>
        <w:t>Proyecto: Drop Nexus - Replicador de Datos entre Bases de Datos</w:t>
      </w:r>
    </w:p>
    <w:p>
      <w:pPr>
        <w:jc w:val="center"/>
      </w:pPr>
      <w:r>
        <w:t>Equipo: CARBAJAL - LLANOS - YUPA - ZAPANA</w:t>
      </w:r>
    </w:p>
    <w:p>
      <w:pPr>
        <w:jc w:val="center"/>
      </w:pPr>
      <w:r>
        <w:t>Versión: 2.0</w:t>
      </w:r>
    </w:p>
    <w:p>
      <w:pPr>
        <w:jc w:val="center"/>
      </w:pPr>
      <w:r>
        <w:t>Julio 2026</w:t>
      </w:r>
    </w:p>
    <w:p>
      <w:r>
        <w:br w:type="page"/>
      </w:r>
    </w:p>
    <w:p>
      <w:pPr>
        <w:pStyle w:val="Heading1"/>
      </w:pPr>
      <w: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Versión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Fecha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Responsable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Julio 2026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CARBAJAL - LLANOS - YUPA - ZAPANA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Documento base del proyecto.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Julio 2026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CARBAJAL - LLANOS - YUPA - ZAPANA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Ampliación y alineamiento con la implementación real de la carpeta web.</w:t>
            </w:r>
          </w:p>
        </w:tc>
      </w:tr>
    </w:tbl>
    <w:p/>
    <w:p>
      <w:pPr>
        <w:pStyle w:val="Heading1"/>
      </w:pPr>
      <w:r>
        <w:t>Índice general</w:t>
      </w:r>
    </w:p>
    <w:p>
      <w:pPr>
        <w:pStyle w:val="ListNumber"/>
      </w:pPr>
      <w:r>
        <w:t>Introducción</w:t>
      </w:r>
    </w:p>
    <w:p>
      <w:pPr>
        <w:pStyle w:val="ListNumber"/>
      </w:pPr>
      <w:r>
        <w:t>Contexto y alcance</w:t>
      </w:r>
    </w:p>
    <w:p>
      <w:pPr>
        <w:pStyle w:val="ListNumber"/>
      </w:pPr>
      <w:r>
        <w:t>Desarrollo del documento</w:t>
      </w:r>
    </w:p>
    <w:p>
      <w:pPr>
        <w:pStyle w:val="ListNumber"/>
      </w:pPr>
      <w:r>
        <w:t>Diagramas y evidencias</w:t>
      </w:r>
    </w:p>
    <w:p>
      <w:pPr>
        <w:pStyle w:val="ListNumber"/>
      </w:pPr>
      <w:r>
        <w:t>Conclusiones y recomendaciones</w:t>
      </w:r>
    </w:p>
    <w:p>
      <w:r>
        <w:br w:type="page"/>
      </w:r>
    </w:p>
    <w:p>
      <w:pPr>
        <w:pStyle w:val="Heading1"/>
      </w:pPr>
      <w:r>
        <w:t>1. Introducción</w:t>
      </w:r>
    </w:p>
    <w:p>
      <w:r>
        <w:t>Este SRS especifica los requerimientos de Drop Nexus según la carpeta web. Se corrige el requisito de plataforma a Node.js 22.14.0 y se describe el flujo real de bases importadas como catálogos normalizados.</w:t>
      </w:r>
    </w:p>
    <w:p/>
    <w:p>
      <w:r>
        <w:drawing>
          <wp:inline xmlns:a="http://schemas.openxmlformats.org/drawingml/2006/main" xmlns:pic="http://schemas.openxmlformats.org/drawingml/2006/picture">
            <wp:extent cx="6126480" cy="37196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1. Casos de uso principales.</w:t>
      </w:r>
    </w:p>
    <w:p>
      <w:pPr>
        <w:pStyle w:val="Heading1"/>
      </w:pPr>
      <w:r>
        <w:t>2. Alcance</w:t>
      </w:r>
    </w:p>
    <w:p>
      <w:pPr>
        <w:pStyle w:val="ListBullet"/>
      </w:pPr>
      <w:r>
        <w:t>Registro, login, roles y rutas privadas.</w:t>
      </w:r>
    </w:p>
    <w:p>
      <w:pPr>
        <w:pStyle w:val="ListBullet"/>
      </w:pPr>
      <w:r>
        <w:t>Carga de archivos SQL, .bak, SQLite, MongoDB JSON/NDJSON, Excel y CSV.</w:t>
      </w:r>
    </w:p>
    <w:p>
      <w:pPr>
        <w:pStyle w:val="ListBullet"/>
      </w:pPr>
      <w:r>
        <w:t>Configuraciones fileCatalog con expiración de 24 horas.</w:t>
      </w:r>
    </w:p>
    <w:p>
      <w:pPr>
        <w:pStyle w:val="ListBullet"/>
      </w:pPr>
      <w:r>
        <w:t>Replicación con mapeo, transformaciones y modos de escritura.</w:t>
      </w:r>
    </w:p>
    <w:p>
      <w:pPr>
        <w:pStyle w:val="ListBullet"/>
      </w:pPr>
      <w:r>
        <w:t>Monitoreo, historial, reportes, diagnóstico, descarga y asistente.</w:t>
      </w:r>
    </w:p>
    <w:p>
      <w:pPr>
        <w:pStyle w:val="ListBullet"/>
      </w:pPr>
      <w:r>
        <w:t>Excluye CDC exact-once y conexión directa desde UI a hosts externos en esta versión.</w:t>
      </w:r>
    </w:p>
    <w:p>
      <w:pPr>
        <w:pStyle w:val="Heading1"/>
      </w:pPr>
      <w:r>
        <w:t>3. Requerimientos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Requerimiento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RF-01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Registrar usuarios con nombre, correo normalizado y contraseña.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RF-02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Autenticar usuarios y emitir JWT de siete días.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RF-03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Restringir rutas por autenticación y rol.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RF-04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Importar archivos compatibles y detectar motor probable.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RF-05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Validar tamaño, extensión, cabecera SQLite y contenido legible.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RF-06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Guardar catálogos normalizados en PostgreSQL/Supabase.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RF-07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Crear, listar, editar y eliminar configuraciones por usuario.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RF-08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Expirar configuraciones después de 24 horas.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RF-09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Extraer tablas, columnas, tipos, claves y datos.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RF-10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Previsualizar replicaciones y advertir si falta tabla destino.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RF-11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Crear tabla destino si el usuario confirma.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RF-12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Replicar múltiples tablas por grupo.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RF-13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Aplicar transformaciones none, string, number, boolean, date y json.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RF-14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Soportar insert, upsert, replace y truncate.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RF-15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Programar ejecuciones entre 5 y 43200 minutos.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RF-16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Continuar incrementalmente por offset.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RF-17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Detener, reanudar y reintentar trabajos.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RF-18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Registrar etapa, causa y recomendación ante fallas.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RF-19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Descargar reportes JSON y bases modificadas como JSON, XLSX o SQLite.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RF-20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Mostrar chatbox asistente con skill local y OpenAI opcional.</w:t>
            </w:r>
          </w:p>
        </w:tc>
      </w:tr>
    </w:tbl>
    <w:p/>
    <w:p>
      <w:pPr>
        <w:pStyle w:val="Heading1"/>
      </w:pPr>
      <w:r>
        <w:t>4. Requerimientos no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Requerimiento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RNF-01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Ejecutar con Node.js 22.14.0 y npm 10 o superior.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RNF-02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Responder bajo /api y servir frontend/dist en producción.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RNF-03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Cifrar credenciales con AES-256-GCM.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RNF-04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Aplicar Helmet, CORS y rate limit de 100 solicitudes/minuto/IP.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RNF-05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Usar timeout de conexión de 5 segundos.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RNF-06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Permitir tamaño máximo configurable de 500 MB por defecto.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RNF-07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Persistir progreso, estado, errores y próxima ejecución.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RNF-08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Mantener interfaz responsiva.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RNF-09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Distinguir capacidades implementadas, condicionadas y futuras.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RNF-10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Mantener secretos fuera del repositorio y documentos públicos.</w:t>
            </w:r>
          </w:p>
        </w:tc>
      </w:tr>
    </w:tbl>
    <w:p/>
    <w:p>
      <w:pPr>
        <w:pStyle w:val="Heading1"/>
      </w:pPr>
      <w:r>
        <w:t>5. Reglas de negocio e interfaces</w:t>
      </w:r>
    </w:p>
    <w:p>
      <w:pPr>
        <w:pStyle w:val="ListBullet"/>
      </w:pPr>
      <w:r>
        <w:t>Una configuración nueva debe provenir de archivo importado y validado.</w:t>
      </w:r>
    </w:p>
    <w:p>
      <w:pPr>
        <w:pStyle w:val="ListBullet"/>
      </w:pPr>
      <w:r>
        <w:t>Un usuario solo accede a configuraciones asociadas a su user_id.</w:t>
      </w:r>
    </w:p>
    <w:p>
      <w:pPr>
        <w:pStyle w:val="ListBullet"/>
      </w:pPr>
      <w:r>
        <w:t>Upsert requiere columnas clave.</w:t>
      </w:r>
    </w:p>
    <w:p>
      <w:pPr>
        <w:pStyle w:val="ListBullet"/>
      </w:pPr>
      <w:r>
        <w:t>Las configuraciones vencidas eliminan trabajos y catálogos asociados.</w:t>
      </w:r>
    </w:p>
    <w:p>
      <w:pPr>
        <w:pStyle w:val="ListBullet"/>
      </w:pPr>
      <w:r>
        <w:t>La extensión VS Code abre y valida skill, plugin, chatbox y app local.</w:t>
      </w:r>
    </w:p>
    <w:p/>
    <w:p>
      <w:r>
        <w:drawing>
          <wp:inline xmlns:a="http://schemas.openxmlformats.org/drawingml/2006/main" xmlns:pic="http://schemas.openxmlformats.org/drawingml/2006/picture">
            <wp:extent cx="6126480" cy="37196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2. Interacción entre UI, API y servicio de replicación.</w:t>
      </w:r>
    </w:p>
    <w:p>
      <w:pPr>
        <w:pStyle w:val="Heading1"/>
      </w:pPr>
      <w:r>
        <w:t>6. Criterios de aceptación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Escenario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Importar SQLite válido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Se crea catálogo y configuración.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Archivo incompatible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La UI bloquea guardado con mensaje.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Replicar con insert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El historial muestra completed.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Destino inexistente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La vista solicita creación automática.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Fallo por tipo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Se registra causa y recomendación.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Descargar resultado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Se obtiene JSON, XLSX o SQLite.</w:t>
            </w:r>
          </w:p>
        </w:tc>
      </w:tr>
    </w:tbl>
    <w:p/>
    <w:p>
      <w:pPr>
        <w:pStyle w:val="Heading1"/>
      </w:pPr>
      <w:r>
        <w:t>7. Conclusión</w:t>
      </w:r>
    </w:p>
    <w:p>
      <w:r>
        <w:t>Los requisitos quedan alineados al producto real, evitando prometer CDC exact-once o conexión directa desde UI como funcionalidades terminadas.</w:t>
      </w:r>
    </w:p>
    <w:p>
      <w:r>
        <w:br w:type="page"/>
      </w:r>
    </w:p>
    <w:p>
      <w:pPr>
        <w:pStyle w:val="Heading1"/>
      </w:pPr>
      <w:r>
        <w:t>8. Especificación ampliada de casos de uso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Caso de uso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Flujo principal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Flujos alternos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CU-01 Registrar usuario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Ingresar nombre, correo y contraseña; validar; crear cuenta.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Correo repetido, contraseña inválida o datos incompletos.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CU-02 Importar base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Seleccionar archivo; detectar motor; validar; subir; crear catálogo.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Archivo vacío, extensión incompatible, .bak sin infraestructura.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CU-03 Preparar replicación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Seleccionar origen/destino; cargar tablas; definir mapeos; previsualizar.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Tabla destino inexistente, tipos incompatibles o mapeo incompleto.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CU-04 Ejecutar job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Enviar solicitud; persistir job; procesar lotes; actualizar progreso.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Detención manual, fallo recuperable, reintento o reanudación.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CU-05 Descargar evidencia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Abrir historial; descargar reporte o base modificada.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Configuración vencida o archivo no perteneciente al usuario.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CU-06 Usar asistente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Abrir chatbox; enviar pregunta; recibir respuesta local o externa.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OPENAI_API_KEY ausente, se usa fallback local.</w:t>
            </w:r>
          </w:p>
        </w:tc>
      </w:tr>
    </w:tbl>
    <w:p/>
    <w:p>
      <w:pPr>
        <w:pStyle w:val="Heading1"/>
      </w:pPr>
      <w:r>
        <w:t>9. Datos y validaciones</w:t>
      </w:r>
    </w:p>
    <w:p>
      <w:pPr>
        <w:pStyle w:val="ListBullet"/>
      </w:pPr>
      <w:r>
        <w:t>El nombre de configuración debe tener entre 2 y 100 caracteres.</w:t>
      </w:r>
    </w:p>
    <w:p>
      <w:pPr>
        <w:pStyle w:val="ListBullet"/>
      </w:pPr>
      <w:r>
        <w:t>El motor debe pertenecer a DB_ENGINES: postgresql, mysql, mariadb, sqlserver, oracle, sqlite, mongodb o excel.</w:t>
      </w:r>
    </w:p>
    <w:p>
      <w:pPr>
        <w:pStyle w:val="ListBullet"/>
      </w:pPr>
      <w:r>
        <w:t>La replicación debe tener al menos una tabla seleccionada.</w:t>
      </w:r>
    </w:p>
    <w:p>
      <w:pPr>
        <w:pStyle w:val="ListBullet"/>
      </w:pPr>
      <w:r>
        <w:t>batchSize debe estar entre 100 y 10000.</w:t>
      </w:r>
    </w:p>
    <w:p>
      <w:pPr>
        <w:pStyle w:val="ListBullet"/>
      </w:pPr>
      <w:r>
        <w:t>scheduleMinutes debe estar entre 5 y 43200 cuando se programe.</w:t>
      </w:r>
    </w:p>
    <w:p>
      <w:pPr>
        <w:pStyle w:val="ListBullet"/>
      </w:pPr>
      <w:r>
        <w:t>Las rutas de exportación solo aceptan xlsx, sqlite o json para bases importadas como catálogo.</w:t>
      </w:r>
    </w:p>
    <w:p>
      <w:pPr>
        <w:pStyle w:val="ListBullet"/>
      </w:pPr>
      <w:r>
        <w:t>El frontend valida extensión, tamaño, cabecera SQLite y muestra advertencias para .bak.</w:t>
      </w:r>
    </w:p>
    <w:p>
      <w:pPr>
        <w:pStyle w:val="Heading1"/>
      </w:pPr>
      <w:r>
        <w:t>10. Trazabilidad de requisitos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Requisitos relacionados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Evidencia esperada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Importar datos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RF-04, RF-05, RF-06, RF-07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Configuración creada y catálogo en PostgreSQL.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Replicar datos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RF-10 a RF-18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Job con estado, progreso y reporte.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Exportar resultados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RF-19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Archivo JSON, XLSX o SQLite descargado.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Asistir al usuario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RF-20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Chatbox y skill publicados.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Proteger acceso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RNF-03, RNF-04, RNF-10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JWT, rate limit, cifrado y variables de entorno.</w:t>
            </w:r>
          </w:p>
        </w:tc>
      </w:tr>
    </w:tbl>
    <w:p/>
    <w:p>
      <w:pPr>
        <w:pStyle w:val="Heading1"/>
      </w:pPr>
      <w:r>
        <w:t>11. Requisitos de documentación y entrega</w:t>
      </w:r>
    </w:p>
    <w:p>
      <w:pPr>
        <w:pStyle w:val="ListBullet"/>
      </w:pPr>
      <w:r>
        <w:t>Los documentos FD01-FD05 deben coincidir con la implementación actual y no con el proyecto de referencia externo.</w:t>
      </w:r>
    </w:p>
    <w:p>
      <w:pPr>
        <w:pStyle w:val="ListBullet"/>
      </w:pPr>
      <w:r>
        <w:t>Los diagramas deben estar incrustados como imágenes para evitar incompatibilidad de Mermaid en Word.</w:t>
      </w:r>
    </w:p>
    <w:p>
      <w:pPr>
        <w:pStyle w:val="ListBullet"/>
      </w:pPr>
      <w:r>
        <w:t>La página del repositorio debe mostrar enlaces de descarga de la extensión y skill.</w:t>
      </w:r>
    </w:p>
    <w:p>
      <w:pPr>
        <w:pStyle w:val="ListBullet"/>
      </w:pPr>
      <w:r>
        <w:t>La release debe conservar VSIX, ZIP de skill y Markdown descargable.</w:t>
      </w:r>
    </w:p>
    <w:p>
      <w:pPr>
        <w:pStyle w:val="ListBullet"/>
      </w:pPr>
      <w:r>
        <w:t>Toda mención de Node.js debe usar Node.js 22.14.0.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D4ED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478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