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994867" cy="1337361"/>
            <wp:effectExtent b="0" l="0" r="0" t="0"/>
            <wp:docPr descr="C:\Users\EPIS\Documents\upt.png" id="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133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Estándar de Programación</w:t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Analizador Estático de Código con Métricas</w:t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Curso: Calidad y Pruebas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Docente: Mag. Patrick Cuadros Quiroga</w:t>
      </w:r>
    </w:p>
    <w:p w:rsidR="00000000" w:rsidDel="00000000" w:rsidP="00000000" w:rsidRDefault="00000000" w:rsidRPr="00000000" w14:paraId="0000000F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Colque Quispe, Rodrigo Sídney (2023077078)</w:t>
      </w:r>
    </w:p>
    <w:p w:rsidR="00000000" w:rsidDel="00000000" w:rsidP="00000000" w:rsidRDefault="00000000" w:rsidRPr="00000000" w14:paraId="0000001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Ramos Atahuachi, Fabricio Farid Edmilson (2023076798)</w:t>
      </w:r>
    </w:p>
    <w:p w:rsidR="00000000" w:rsidDel="00000000" w:rsidP="00000000" w:rsidRDefault="00000000" w:rsidRPr="00000000" w14:paraId="00000013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1" w:hanging="3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1" w:hanging="3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Documento de Estándares de Programación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1" w:hanging="3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1" w:hanging="3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Historia de Revisión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304"/>
        <w:gridCol w:w="907"/>
        <w:gridCol w:w="3742"/>
        <w:gridCol w:w="2117"/>
        <w:tblGridChange w:id="0">
          <w:tblGrid>
            <w:gridCol w:w="567"/>
            <w:gridCol w:w="1304"/>
            <w:gridCol w:w="907"/>
            <w:gridCol w:w="3742"/>
            <w:gridCol w:w="2117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20">
            <w:pPr>
              <w:keepNext w:val="1"/>
              <w:spacing w:line="240" w:lineRule="auto"/>
              <w:ind w:hanging="2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Historial de revisiones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1"/>
              <w:spacing w:line="240" w:lineRule="auto"/>
              <w:ind w:hanging="2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Ítem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1"/>
              <w:spacing w:line="240" w:lineRule="auto"/>
              <w:ind w:hanging="2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spacing w:line="240" w:lineRule="auto"/>
              <w:ind w:hanging="2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1"/>
              <w:spacing w:line="240" w:lineRule="auto"/>
              <w:ind w:hanging="2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spacing w:line="240" w:lineRule="auto"/>
              <w:ind w:hanging="2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line="240" w:lineRule="auto"/>
        <w:ind w:hanging="2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hanging="2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hanging="2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Tabla de Contenidos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18290763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15k0oag6a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Estándares de Programación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swfoyu1szs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11pad1rezd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DECLARACIÓN DE VARIABLES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t5a819gfl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Descripción de la </w:t>
            </w:r>
          </w:hyperlink>
          <w:hyperlink w:anchor="_8t5a819gfl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hyperlink>
          <w:hyperlink w:anchor="_8t5a819gfl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tcwdukcs3w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Variables de Tipo Arreglo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qk1i7euw00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Definición de datos y funciones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d636mckvok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Tipo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x6jhzzdbtj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Declaración de variables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b2owj2fztq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Declaración de funciones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2crvww0r25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Control de versiones de código fuente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im6ywt3d39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Procedimientos y Funciones definidos por el Usuario.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lvzbzqwkxb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Beneficios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0qk7towgxc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Conclusiones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widowControl w:val="0"/>
        <w:spacing w:line="240" w:lineRule="auto"/>
        <w:ind w:hanging="2"/>
        <w:jc w:val="left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widowControl w:val="0"/>
        <w:spacing w:line="240" w:lineRule="auto"/>
        <w:ind w:hanging="2"/>
        <w:jc w:val="center"/>
        <w:rPr/>
      </w:pPr>
      <w:bookmarkStart w:colFirst="0" w:colLast="0" w:name="_k415k0oag6af" w:id="0"/>
      <w:bookmarkEnd w:id="0"/>
      <w:r w:rsidDel="00000000" w:rsidR="00000000" w:rsidRPr="00000000">
        <w:rPr>
          <w:rtl w:val="0"/>
        </w:rPr>
        <w:t xml:space="preserve">Estándares de Programación</w:t>
      </w:r>
    </w:p>
    <w:p w:rsidR="00000000" w:rsidDel="00000000" w:rsidP="00000000" w:rsidRDefault="00000000" w:rsidRPr="00000000" w14:paraId="00000042">
      <w:pPr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hanging="2"/>
        <w:jc w:val="both"/>
        <w:rPr>
          <w:sz w:val="20"/>
          <w:szCs w:val="20"/>
        </w:rPr>
      </w:pPr>
      <w:bookmarkStart w:colFirst="0" w:colLast="0" w:name="_8v72u3mb72q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1"/>
        <w:widowControl w:val="0"/>
        <w:numPr>
          <w:ilvl w:val="0"/>
          <w:numId w:val="2"/>
        </w:numPr>
        <w:spacing w:after="60" w:before="120" w:line="240" w:lineRule="auto"/>
        <w:ind w:hanging="2"/>
        <w:rPr/>
      </w:pPr>
      <w:bookmarkStart w:colFirst="0" w:colLast="0" w:name="_iswfoyu1szss" w:id="2"/>
      <w:bookmarkEnd w:id="2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5">
      <w:pPr>
        <w:pStyle w:val="Heading2"/>
        <w:widowControl w:val="0"/>
        <w:ind w:left="0"/>
        <w:jc w:val="both"/>
        <w:rPr>
          <w:b w:val="0"/>
          <w:bCs w:val="0"/>
          <w:sz w:val="22"/>
          <w:szCs w:val="22"/>
        </w:rPr>
      </w:pPr>
      <w:bookmarkStart w:colFirst="0" w:colLast="0" w:name="_sd13squdtkw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presente estándar de programación tiene como finalidad establecer directrices técnicas y metodológicas para el desarrollo del Analizador Estático de Código con Métricas. Los objetivos específicos son:</w:t>
      </w:r>
    </w:p>
    <w:p w:rsidR="00000000" w:rsidDel="00000000" w:rsidP="00000000" w:rsidRDefault="00000000" w:rsidRPr="00000000" w14:paraId="0000004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Asegurar la validez y consistencia de los datos: Forzar reglas críticas directamente desde la entrada del usuario usando esquemas de validación (ej. Pydantic) y mapearlas a restricciones estrictas en la base de datos mediante el ORM (SQLAlchemy), previniendo inyecciones SQL y datos corruptos.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Centralizar la lógica de negocio: Agrupar procesos complejos y transaccionales en la Capa de Negocios (Servicios). Esto evita la duplicidad de código, asegura el principio de responsabilidad única (SRP) y garantiza que las reglas transaccionales se ejecuten de manera coherente en toda la aplicación.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Trazabilidad y Auditoría: Registrar automáticamente todos los cambios, accesos y acciones cruciales del sistema en la tabla user_action_logs. Este historial inmutable es vital para fines de auditoría, depuración y monitoreo de seguridad.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Optimización y Rendimiento: Estructurar el código mediante tipado estricto (Type Hinting) y construir consultas ORM optimizadas (evitando el problema N+1) para que el sistema mantenga tiempos de respuesta bajos incluso al procesar y almacenar análisis de archivos fuente de gran tamaño.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Desacoplamiento Tecnológico: Aplicar estrictamente Clean Architecture, dividiendo el sistema en módulos independientes (Presentación, Negocios, Core de Análisis y Persistencia) para que las modificaciones en la interfaz o en la base de datos no afecten el motor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1"/>
        <w:widowControl w:val="0"/>
        <w:numPr>
          <w:ilvl w:val="0"/>
          <w:numId w:val="2"/>
        </w:numPr>
        <w:spacing w:after="60" w:before="120" w:line="240" w:lineRule="auto"/>
        <w:ind w:left="720"/>
        <w:rPr/>
      </w:pPr>
      <w:bookmarkStart w:colFirst="0" w:colLast="0" w:name="_f11pad1rezd0" w:id="4"/>
      <w:bookmarkEnd w:id="4"/>
      <w:r w:rsidDel="00000000" w:rsidR="00000000" w:rsidRPr="00000000">
        <w:rPr>
          <w:rtl w:val="0"/>
        </w:rPr>
        <w:t xml:space="preserve">DECLARACIÓN DE VARIABLES</w:t>
      </w:r>
    </w:p>
    <w:p w:rsidR="00000000" w:rsidDel="00000000" w:rsidP="00000000" w:rsidRDefault="00000000" w:rsidRPr="00000000" w14:paraId="0000004E">
      <w:pPr>
        <w:widowControl w:val="0"/>
        <w:spacing w:after="120" w:line="240" w:lineRule="auto"/>
        <w:ind w:hanging="2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declaración de variables en el proyecto se rige por el estándar oficial de Python (PEP 8), priorizando la legibilidad humana por encima de la brevedad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1"/>
        <w:widowControl w:val="0"/>
        <w:numPr>
          <w:ilvl w:val="1"/>
          <w:numId w:val="2"/>
        </w:numPr>
        <w:spacing w:after="60" w:before="120" w:line="240" w:lineRule="auto"/>
        <w:ind w:left="720" w:hanging="436.53543307086625"/>
        <w:jc w:val="both"/>
      </w:pPr>
      <w:bookmarkStart w:colFirst="0" w:colLast="0" w:name="_8t5a819gflq8" w:id="5"/>
      <w:bookmarkEnd w:id="5"/>
      <w:r w:rsidDel="00000000" w:rsidR="00000000" w:rsidRPr="00000000">
        <w:rPr>
          <w:rtl w:val="0"/>
        </w:rPr>
        <w:t xml:space="preserve">Descripción de la Variable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Longitud y Claridad:</w:t>
      </w:r>
      <w:r w:rsidDel="00000000" w:rsidR="00000000" w:rsidRPr="00000000">
        <w:rPr>
          <w:sz w:val="20"/>
          <w:szCs w:val="20"/>
          <w:rtl w:val="0"/>
        </w:rPr>
        <w:t xml:space="preserve"> El nombre de la variable debe describir inequívocamente su contenido o propósito. No debe ser tan corta que pierda significado (c, x, p), ni tan larga que dificulte la lectura (máximo recomendado: 20-25 caracteres).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de Nomenclatura:</w:t>
      </w:r>
      <w:r w:rsidDel="00000000" w:rsidR="00000000" w:rsidRPr="00000000">
        <w:rPr>
          <w:sz w:val="20"/>
          <w:szCs w:val="20"/>
          <w:rtl w:val="0"/>
        </w:rPr>
        <w:t xml:space="preserve"> Se utilizará snake_case (palabras en minúsculas separadas por guiones bajos) para todas las variables y atributos de clase.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Alcance (Scope):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Global (Constantes): Variables que no cambian de valor durante la ejecución. Se declaran en el nivel superior del módulo utilizando UPPER_SNAKE_CASE.</w:t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 Correcto: MAX_UPLOAD_SIZE = 50000, DEFAULT_ROLE = "user"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 (Variables de Bloque/Función): Se declaran explícitamente en el lugar donde se necesitan por primera vez, usando snake_case.</w:t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 Correcto: project_name = "mi_proyecto", is_valid = True</w:t>
      </w:r>
    </w:p>
    <w:p w:rsidR="00000000" w:rsidDel="00000000" w:rsidP="00000000" w:rsidRDefault="00000000" w:rsidRPr="00000000" w14:paraId="00000057">
      <w:pPr>
        <w:pStyle w:val="Heading3"/>
        <w:numPr>
          <w:ilvl w:val="1"/>
          <w:numId w:val="2"/>
        </w:numPr>
        <w:ind w:left="720" w:hanging="436.53543307086625"/>
      </w:pPr>
      <w:bookmarkStart w:colFirst="0" w:colLast="0" w:name="_1fb910r22nwx" w:id="6"/>
      <w:bookmarkEnd w:id="6"/>
      <w:r w:rsidDel="00000000" w:rsidR="00000000" w:rsidRPr="00000000">
        <w:rPr>
          <w:rtl w:val="0"/>
        </w:rPr>
        <w:t xml:space="preserve">Variables de Tipo Arreglo (Colecciones)</w:t>
      </w:r>
    </w:p>
    <w:p w:rsidR="00000000" w:rsidDel="00000000" w:rsidP="00000000" w:rsidRDefault="00000000" w:rsidRPr="00000000" w14:paraId="00000058">
      <w:pPr>
        <w:ind w:left="-566.9291338582677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 variable que almacene una colección (Listas, Tuplas, Diccionarios o Sets) debe nombrarse obligatoriamente en plural, refiriéndose a los elementos que contiene.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 la colección almacena objetos complejos, se puede usar un sufijo descriptivo como _list o _map si mejora la claridad, aunque el plural suele ser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 de Lista: code_smells: list[str] = [], analysis_reports: list[AnalysisReport]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 de Diccionario: user_sessions_map: dict[int, str] = {}</w:t>
      </w:r>
    </w:p>
    <w:p w:rsidR="00000000" w:rsidDel="00000000" w:rsidP="00000000" w:rsidRDefault="00000000" w:rsidRPr="00000000" w14:paraId="0000005D">
      <w:pPr>
        <w:ind w:left="-566.9291338582677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66.9291338582677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2"/>
        </w:numPr>
        <w:spacing w:line="240" w:lineRule="auto"/>
        <w:ind w:left="720"/>
        <w:jc w:val="both"/>
        <w:rPr/>
      </w:pPr>
      <w:bookmarkStart w:colFirst="0" w:colLast="0" w:name="_tqk1i7euw00a" w:id="7"/>
      <w:bookmarkEnd w:id="7"/>
      <w:r w:rsidDel="00000000" w:rsidR="00000000" w:rsidRPr="00000000">
        <w:rPr>
          <w:rtl w:val="0"/>
        </w:rPr>
        <w:t xml:space="preserve">Definición de datos y funciones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hanging="2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Para interactuar con la base de datos relacional sin perder las ventajas orientadas a objetos, se utilizará SQLAlchemy como puente.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1"/>
        <w:widowControl w:val="0"/>
        <w:numPr>
          <w:ilvl w:val="1"/>
          <w:numId w:val="2"/>
        </w:numPr>
        <w:spacing w:after="60" w:before="120" w:line="240" w:lineRule="auto"/>
        <w:ind w:left="720" w:hanging="436.53543307086625"/>
        <w:jc w:val="both"/>
      </w:pPr>
      <w:bookmarkStart w:colFirst="0" w:colLast="0" w:name="_7d636mckvok1" w:id="8"/>
      <w:bookmarkEnd w:id="8"/>
      <w:r w:rsidDel="00000000" w:rsidR="00000000" w:rsidRPr="00000000">
        <w:rPr>
          <w:rtl w:val="0"/>
        </w:rPr>
        <w:t xml:space="preserve">Tipo de datos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elección del tipo de dato debe ser lo más restrictiva posible para conservar memoria y mejorar los tiempos de indexación: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7.7753533820323"/>
        <w:gridCol w:w="2223.151503652405"/>
        <w:gridCol w:w="1884.8458400531263"/>
        <w:gridCol w:w="3189.7391139360598"/>
        <w:tblGridChange w:id="0">
          <w:tblGrid>
            <w:gridCol w:w="1727.7753533820323"/>
            <w:gridCol w:w="2223.151503652405"/>
            <w:gridCol w:w="1884.8458400531263"/>
            <w:gridCol w:w="3189.7391139360598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40" w:line="240" w:lineRule="auto"/>
              <w:ind w:hanging="2"/>
              <w:jc w:val="center"/>
              <w:rPr>
                <w:b w:val="1"/>
                <w:bCs w:val="1"/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b w:val="1"/>
                <w:bCs w:val="1"/>
                <w:color w:val="1f2328"/>
                <w:sz w:val="20"/>
                <w:szCs w:val="20"/>
                <w:rtl w:val="0"/>
              </w:rPr>
              <w:t xml:space="preserve">Uso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40" w:line="240" w:lineRule="auto"/>
              <w:ind w:hanging="2"/>
              <w:jc w:val="center"/>
              <w:rPr>
                <w:b w:val="1"/>
                <w:bCs w:val="1"/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b w:val="1"/>
                <w:bCs w:val="1"/>
                <w:color w:val="1f2328"/>
                <w:sz w:val="20"/>
                <w:szCs w:val="20"/>
                <w:rtl w:val="0"/>
              </w:rPr>
              <w:t xml:space="preserve">Tipo de Dato (SQLAlchemy / Python)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line="240" w:lineRule="auto"/>
              <w:ind w:hanging="2"/>
              <w:jc w:val="center"/>
              <w:rPr>
                <w:b w:val="1"/>
                <w:bCs w:val="1"/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b w:val="1"/>
                <w:bCs w:val="1"/>
                <w:color w:val="1f2328"/>
                <w:sz w:val="20"/>
                <w:szCs w:val="20"/>
                <w:rtl w:val="0"/>
              </w:rPr>
              <w:t xml:space="preserve">Razón de la Elección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line="240" w:lineRule="auto"/>
              <w:ind w:hanging="2"/>
              <w:jc w:val="center"/>
              <w:rPr>
                <w:b w:val="1"/>
                <w:bCs w:val="1"/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b w:val="1"/>
                <w:bCs w:val="1"/>
                <w:color w:val="1f2328"/>
                <w:sz w:val="20"/>
                <w:szCs w:val="20"/>
                <w:rtl w:val="0"/>
              </w:rPr>
              <w:t xml:space="preserve">Ejemplos de Campos</w:t>
            </w:r>
          </w:p>
        </w:tc>
      </w:tr>
      <w:tr>
        <w:trPr>
          <w:cantSplit w:val="0"/>
          <w:trHeight w:val="31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Identificadores (PK/FK)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Ocupa solo 4 bytes, ofrece rango suficiente (hasta 2 mil millones) y la indexación B-Tree es extremadamente rápida.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report_id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Valores Booleanos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Eficiente para comprobaciones condicionales (0/1 a nivel físico).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active_status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is_logged_in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Fechas y Tiempos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Almacena fechas absolutas. Siempre se debe guardar en formato UTC para evitar conflictos de zona horaria.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analysis_date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Texto Corto/Indexado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String(N)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Limita físicamente la memoria del campo. Indispensable para campos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 o aquellos usados en búsquedas (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240" w:line="240" w:lineRule="auto"/>
              <w:ind w:hanging="2"/>
              <w:rPr>
                <w:color w:val="1f2328"/>
                <w:sz w:val="20"/>
                <w:szCs w:val="20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 (150),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github_id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 (100)</w:t>
            </w:r>
          </w:p>
        </w:tc>
      </w:tr>
      <w:tr>
        <w:trPr>
          <w:cantSplit w:val="0"/>
          <w:trHeight w:val="31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line="240" w:lineRule="auto"/>
              <w:ind w:hanging="2"/>
              <w:rPr>
                <w:color w:val="1f2328"/>
                <w:sz w:val="24"/>
                <w:szCs w:val="24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Estructuras Dinámicas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40" w:line="240" w:lineRule="auto"/>
              <w:ind w:hanging="2"/>
              <w:rPr>
                <w:color w:val="1f2328"/>
                <w:sz w:val="24"/>
                <w:szCs w:val="24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40" w:line="240" w:lineRule="auto"/>
              <w:ind w:hanging="2"/>
              <w:rPr>
                <w:color w:val="1f2328"/>
                <w:sz w:val="24"/>
                <w:szCs w:val="24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Permite guardar el resultado del AST (Árbol de Sintaxis Abstracta) o métricas sin necesidad de normalizar tablas secundarias infinitas.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line="240" w:lineRule="auto"/>
              <w:ind w:hanging="2"/>
              <w:rPr>
                <w:color w:val="1f2328"/>
                <w:sz w:val="24"/>
                <w:szCs w:val="24"/>
              </w:rPr>
            </w:pPr>
            <w:bookmarkStart w:colFirst="0" w:colLast="0" w:name="_apesg820ba32" w:id="9"/>
            <w:bookmarkEnd w:id="9"/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code_smells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spacing w:line="240" w:lineRule="auto"/>
        <w:ind w:hanging="2"/>
        <w:rPr/>
      </w:pPr>
      <w:bookmarkStart w:colFirst="0" w:colLast="0" w:name="_apesg820ba3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1"/>
        <w:widowControl w:val="0"/>
        <w:numPr>
          <w:ilvl w:val="1"/>
          <w:numId w:val="2"/>
        </w:numPr>
        <w:spacing w:after="60" w:before="120" w:line="240" w:lineRule="auto"/>
        <w:ind w:left="720" w:hanging="436.53543307086625"/>
        <w:jc w:val="both"/>
        <w:rPr/>
      </w:pPr>
      <w:bookmarkStart w:colFirst="0" w:colLast="0" w:name="_4x6jhzzdbtj2" w:id="10"/>
      <w:bookmarkEnd w:id="10"/>
      <w:r w:rsidDel="00000000" w:rsidR="00000000" w:rsidRPr="00000000">
        <w:rPr>
          <w:rtl w:val="0"/>
        </w:rPr>
        <w:t xml:space="preserve">Declaración de variables (Type Hinting)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 declaración, tanto de variables locales como de atributos de clase, debe incorporar anotaciones de tipo (Type Hinting) introducidas en Python 3.5+. Esto permite que el IDE (ej. VS Code) detecte errores de compatibilidad de tipos antes de la ejecución.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Declaración correcta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total_loc: int = 150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es_valido: bool = False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nombres_archivos: list[str] = ["main.py", "utils.py"]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bookmarkStart w:colFirst="0" w:colLast="0" w:name="_qk0sg3pqu0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1"/>
        <w:widowControl w:val="0"/>
        <w:numPr>
          <w:ilvl w:val="1"/>
          <w:numId w:val="2"/>
        </w:numPr>
        <w:spacing w:after="60" w:before="120" w:line="240" w:lineRule="auto"/>
        <w:ind w:left="720" w:hanging="436.53543307086625"/>
        <w:rPr/>
      </w:pPr>
      <w:bookmarkStart w:colFirst="0" w:colLast="0" w:name="_6b2owj2fztqg" w:id="12"/>
      <w:bookmarkEnd w:id="12"/>
      <w:r w:rsidDel="00000000" w:rsidR="00000000" w:rsidRPr="00000000">
        <w:rPr>
          <w:rtl w:val="0"/>
        </w:rPr>
        <w:t xml:space="preserve">Declaración de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requiere que cada función encapsule una sola responsabilidad.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Nomenclatura: Convención Verbo-Sustantivo en formato snake_case (ej. calcular_complejidad, validar_token_acceso).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Documentación (Docstrings): Es obligatorio incluir Docstrings bajo el formato "Google Style" para describir el propósito, los argumentos y el retorno esperado.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Manejo de Errores: Las funciones no deben imprimir errores en consola crudos (print). Deben utilizar estructuras try...except e interactuar con el módulo logging y retornar excepciones controladas (HTTPException en la capa web).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analizar_codigo_fuente(codigo: str, estricto: bool = False) -&gt; dict[str, Any]: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Parsea el código fuente ingresado y genera un reporte de complejidad.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Args: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codigo (str): El contenido del archivo en texto plano.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estricto (bool): Si es True, falla ante la mínima advertencia sintáctica.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Returns: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dict[str, Any]: Diccionario conteniendo métricas y hallazgos.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Raises: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SyntaxParsingError: Si el código fuente tiene sintaxis inválida.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# Lógica de análisis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pass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# Manejo centralizado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pass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hanging="2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widowControl w:val="0"/>
        <w:numPr>
          <w:ilvl w:val="1"/>
          <w:numId w:val="2"/>
        </w:numPr>
        <w:rPr>
          <w:b w:val="1"/>
          <w:bCs w:val="1"/>
          <w:sz w:val="20"/>
          <w:szCs w:val="20"/>
        </w:rPr>
      </w:pPr>
      <w:bookmarkStart w:colFirst="0" w:colLast="0" w:name="_1u6t6j1ov4q3" w:id="13"/>
      <w:bookmarkEnd w:id="13"/>
      <w:r w:rsidDel="00000000" w:rsidR="00000000" w:rsidRPr="00000000">
        <w:rPr>
          <w:rtl w:val="0"/>
        </w:rPr>
        <w:t xml:space="preserve">Declaración de Triggers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código se gestionará en GitHub bajo los principios simplificados de GitFlow: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sz w:val="20"/>
          <w:szCs w:val="20"/>
        </w:rPr>
      </w:pPr>
      <w:bookmarkStart w:colFirst="0" w:colLast="0" w:name="_reaalt3yureb" w:id="14"/>
      <w:bookmarkEnd w:id="14"/>
      <w:r w:rsidDel="00000000" w:rsidR="00000000" w:rsidRPr="00000000">
        <w:rPr>
          <w:sz w:val="20"/>
          <w:szCs w:val="20"/>
          <w:rtl w:val="0"/>
        </w:rPr>
        <w:t xml:space="preserve">Ramas (Branches): Nunca se trabaja directamente en main.</w:t>
      </w:r>
    </w:p>
    <w:p w:rsidR="00000000" w:rsidDel="00000000" w:rsidP="00000000" w:rsidRDefault="00000000" w:rsidRPr="00000000" w14:paraId="000000A5">
      <w:pPr>
        <w:widowControl w:val="0"/>
        <w:numPr>
          <w:ilvl w:val="1"/>
          <w:numId w:val="8"/>
        </w:numPr>
        <w:spacing w:line="240" w:lineRule="auto"/>
        <w:ind w:left="1440" w:hanging="360"/>
        <w:jc w:val="both"/>
        <w:rPr>
          <w:sz w:val="20"/>
          <w:szCs w:val="20"/>
        </w:rPr>
      </w:pPr>
      <w:bookmarkStart w:colFirst="0" w:colLast="0" w:name="_btgby9mv9p9b" w:id="15"/>
      <w:bookmarkEnd w:id="15"/>
      <w:r w:rsidDel="00000000" w:rsidR="00000000" w:rsidRPr="00000000">
        <w:rPr>
          <w:sz w:val="20"/>
          <w:szCs w:val="20"/>
          <w:rtl w:val="0"/>
        </w:rPr>
        <w:t xml:space="preserve">Nuevas funcionalidades: feature/breve-descripcion</w:t>
      </w:r>
    </w:p>
    <w:p w:rsidR="00000000" w:rsidDel="00000000" w:rsidP="00000000" w:rsidRDefault="00000000" w:rsidRPr="00000000" w14:paraId="000000A6">
      <w:pPr>
        <w:widowControl w:val="0"/>
        <w:numPr>
          <w:ilvl w:val="1"/>
          <w:numId w:val="8"/>
        </w:numPr>
        <w:spacing w:line="240" w:lineRule="auto"/>
        <w:ind w:left="1440" w:hanging="360"/>
        <w:jc w:val="both"/>
        <w:rPr>
          <w:sz w:val="20"/>
          <w:szCs w:val="20"/>
        </w:rPr>
      </w:pPr>
      <w:bookmarkStart w:colFirst="0" w:colLast="0" w:name="_fbxnz3amnaa0" w:id="16"/>
      <w:bookmarkEnd w:id="16"/>
      <w:r w:rsidDel="00000000" w:rsidR="00000000" w:rsidRPr="00000000">
        <w:rPr>
          <w:sz w:val="20"/>
          <w:szCs w:val="20"/>
          <w:rtl w:val="0"/>
        </w:rPr>
        <w:t xml:space="preserve">Corrección de errores: bugfix/nombre-del-error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sz w:val="20"/>
          <w:szCs w:val="20"/>
        </w:rPr>
      </w:pPr>
      <w:bookmarkStart w:colFirst="0" w:colLast="0" w:name="_nfge3acfg3m8" w:id="17"/>
      <w:bookmarkEnd w:id="17"/>
      <w:r w:rsidDel="00000000" w:rsidR="00000000" w:rsidRPr="00000000">
        <w:rPr>
          <w:sz w:val="20"/>
          <w:szCs w:val="20"/>
          <w:rtl w:val="0"/>
        </w:rPr>
        <w:t xml:space="preserve">Mensajes de Commit: Seguirán la convención "Semantic Commits" para rastrear los cambios automáticamente:</w:t>
      </w:r>
    </w:p>
    <w:p w:rsidR="00000000" w:rsidDel="00000000" w:rsidP="00000000" w:rsidRDefault="00000000" w:rsidRPr="00000000" w14:paraId="000000A8">
      <w:pPr>
        <w:widowControl w:val="0"/>
        <w:numPr>
          <w:ilvl w:val="1"/>
          <w:numId w:val="8"/>
        </w:numPr>
        <w:spacing w:line="240" w:lineRule="auto"/>
        <w:ind w:left="1440" w:hanging="360"/>
        <w:jc w:val="both"/>
        <w:rPr>
          <w:sz w:val="20"/>
          <w:szCs w:val="20"/>
        </w:rPr>
      </w:pPr>
      <w:bookmarkStart w:colFirst="0" w:colLast="0" w:name="_kpkxni7pyrb3" w:id="18"/>
      <w:bookmarkEnd w:id="18"/>
      <w:r w:rsidDel="00000000" w:rsidR="00000000" w:rsidRPr="00000000">
        <w:rPr>
          <w:sz w:val="20"/>
          <w:szCs w:val="20"/>
          <w:rtl w:val="0"/>
        </w:rPr>
        <w:t xml:space="preserve">feat: agregar autenticación por GitHub</w:t>
      </w:r>
    </w:p>
    <w:p w:rsidR="00000000" w:rsidDel="00000000" w:rsidP="00000000" w:rsidRDefault="00000000" w:rsidRPr="00000000" w14:paraId="000000A9">
      <w:pPr>
        <w:widowControl w:val="0"/>
        <w:numPr>
          <w:ilvl w:val="1"/>
          <w:numId w:val="8"/>
        </w:numPr>
        <w:spacing w:line="240" w:lineRule="auto"/>
        <w:ind w:left="1440" w:hanging="360"/>
        <w:jc w:val="both"/>
        <w:rPr>
          <w:sz w:val="20"/>
          <w:szCs w:val="20"/>
        </w:rPr>
      </w:pPr>
      <w:bookmarkStart w:colFirst="0" w:colLast="0" w:name="_k7dw17kw1iar" w:id="19"/>
      <w:bookmarkEnd w:id="19"/>
      <w:r w:rsidDel="00000000" w:rsidR="00000000" w:rsidRPr="00000000">
        <w:rPr>
          <w:sz w:val="20"/>
          <w:szCs w:val="20"/>
          <w:rtl w:val="0"/>
        </w:rPr>
        <w:t xml:space="preserve">fix: resolver caída del servidor al subir archivos vacíos</w:t>
      </w:r>
    </w:p>
    <w:p w:rsidR="00000000" w:rsidDel="00000000" w:rsidP="00000000" w:rsidRDefault="00000000" w:rsidRPr="00000000" w14:paraId="000000AA">
      <w:pPr>
        <w:widowControl w:val="0"/>
        <w:numPr>
          <w:ilvl w:val="1"/>
          <w:numId w:val="8"/>
        </w:numPr>
        <w:spacing w:line="240" w:lineRule="auto"/>
        <w:ind w:left="1440" w:hanging="360"/>
        <w:jc w:val="both"/>
        <w:rPr>
          <w:sz w:val="20"/>
          <w:szCs w:val="20"/>
        </w:rPr>
      </w:pPr>
      <w:bookmarkStart w:colFirst="0" w:colLast="0" w:name="_hqv0edtnn18" w:id="20"/>
      <w:bookmarkEnd w:id="20"/>
      <w:r w:rsidDel="00000000" w:rsidR="00000000" w:rsidRPr="00000000">
        <w:rPr>
          <w:sz w:val="20"/>
          <w:szCs w:val="20"/>
          <w:rtl w:val="0"/>
        </w:rPr>
        <w:t xml:space="preserve">docs: actualizar diccionario de datos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sz w:val="20"/>
          <w:szCs w:val="20"/>
        </w:rPr>
      </w:pPr>
      <w:bookmarkStart w:colFirst="0" w:colLast="0" w:name="_qk0sg3pqu08" w:id="11"/>
      <w:bookmarkEnd w:id="11"/>
      <w:r w:rsidDel="00000000" w:rsidR="00000000" w:rsidRPr="00000000">
        <w:rPr>
          <w:sz w:val="20"/>
          <w:szCs w:val="20"/>
          <w:rtl w:val="0"/>
        </w:rPr>
        <w:t xml:space="preserve">Entregables empaquetados: Si por rúbrica o respaldo se requieren archivos físicos, el formato estricto de empaquetado es: [NOMBRE_PROYECTO]_[MODULO]_[YYYYMMDD]_[HHMM].zip (Ejemplo: AnalizadorEstatico_Core_20260612_1530.zip).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1"/>
        <w:widowControl w:val="0"/>
        <w:numPr>
          <w:ilvl w:val="0"/>
          <w:numId w:val="2"/>
        </w:numPr>
        <w:spacing w:after="60" w:before="120" w:line="240" w:lineRule="auto"/>
        <w:ind w:left="720"/>
        <w:jc w:val="both"/>
        <w:rPr/>
      </w:pPr>
      <w:bookmarkStart w:colFirst="0" w:colLast="0" w:name="_eim6ywt3d39n" w:id="21"/>
      <w:bookmarkEnd w:id="21"/>
      <w:r w:rsidDel="00000000" w:rsidR="00000000" w:rsidRPr="00000000">
        <w:rPr>
          <w:rtl w:val="0"/>
        </w:rPr>
        <w:t xml:space="preserve">Procedimientos y Funciones definidos por el Usuario.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arquitecturas modernas basadas en micro-frameworks (FastAPI) y ORMs (SQLAlchemy), la lógica transaccional y procedimental que históricamente recaía en la Base de Datos (Stored Procedures, Triggers), se traslada a la Capa de Servicios y Core. Esto asegura que la base de datos sea agnóstica y todo el código sea testeable.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widowControl w:val="0"/>
        <w:numPr>
          <w:ilvl w:val="1"/>
          <w:numId w:val="2"/>
        </w:numPr>
        <w:rPr>
          <w:b w:val="1"/>
          <w:bCs w:val="1"/>
          <w:sz w:val="20"/>
          <w:szCs w:val="20"/>
        </w:rPr>
      </w:pPr>
      <w:bookmarkStart w:colFirst="0" w:colLast="0" w:name="_7d7wh7x9b31z" w:id="22"/>
      <w:bookmarkEnd w:id="22"/>
      <w:r w:rsidDel="00000000" w:rsidR="00000000" w:rsidRPr="00000000">
        <w:rPr>
          <w:rtl w:val="0"/>
        </w:rPr>
        <w:t xml:space="preserve">Flujos Transaccionales (Reemplazo de SPs)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ind w:hanging="2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Manejan el flujo completo de vida de un dato (Insert, Update, Delete) garantizando su consistencia. Se implementan en clases de tipo "Service".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4"/>
        </w:numPr>
        <w:spacing w:line="240" w:lineRule="auto"/>
        <w:ind w:left="850.3937007874017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Atomicidad (BEGIN / COMMIT / ROLLBACK): Cada operación transaccional abre una sesión de base de datos. Si todos los pasos se cumplen, se hace session.commit(). Si falla una validación de negocio intermedia o hay un error de conexión, el sistema captura el error y lanza un session.rollback() automático para mantener la integridad de las tablas.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ind w:left="850.393700787401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widowControl w:val="0"/>
        <w:numPr>
          <w:ilvl w:val="1"/>
          <w:numId w:val="2"/>
        </w:numPr>
        <w:rPr>
          <w:b w:val="1"/>
          <w:bCs w:val="1"/>
          <w:sz w:val="20"/>
          <w:szCs w:val="20"/>
        </w:rPr>
      </w:pPr>
      <w:bookmarkStart w:colFirst="0" w:colLast="0" w:name="_ttx2nhc2cog1" w:id="23"/>
      <w:bookmarkEnd w:id="23"/>
      <w:r w:rsidDel="00000000" w:rsidR="00000000" w:rsidRPr="00000000">
        <w:rPr>
          <w:rtl w:val="0"/>
        </w:rPr>
        <w:t xml:space="preserve">Funciones Definidas por el Usuario (UDFs) - Lógica y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dividen en la capa Core de Negocios y la capa de Acceso a Datos.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widowControl w:val="0"/>
        <w:numPr>
          <w:ilvl w:val="2"/>
          <w:numId w:val="2"/>
        </w:numPr>
        <w:ind w:firstLine="0"/>
        <w:rPr>
          <w:b w:val="1"/>
          <w:bCs w:val="1"/>
          <w:sz w:val="20"/>
          <w:szCs w:val="20"/>
        </w:rPr>
      </w:pPr>
      <w:bookmarkStart w:colFirst="0" w:colLast="0" w:name="_eua14ejtgu05" w:id="24"/>
      <w:bookmarkEnd w:id="24"/>
      <w:r w:rsidDel="00000000" w:rsidR="00000000" w:rsidRPr="00000000">
        <w:rPr>
          <w:rtl w:val="0"/>
        </w:rPr>
        <w:t xml:space="preserve">Funciones Escalares (Funciones Puras)</w:t>
      </w:r>
    </w:p>
    <w:p w:rsidR="00000000" w:rsidDel="00000000" w:rsidP="00000000" w:rsidRDefault="00000000" w:rsidRPr="00000000" w14:paraId="000000B8">
      <w:pPr>
        <w:ind w:left="-850.393700787401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Ubicadas en la carpeta motor_analisis/. Reciben parámetros de entrada, procesan cálculos complejos (ej. conteo de nodos AST, cálculo de complejidad ciclomática) y retornan un único valor o diccionario escalar.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5"/>
        </w:numPr>
        <w:spacing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Regla de Oro: Son funciones sin "efectos secundarios" (Side-effects free). No modifican la base de datos, no envían correos, ni alteran variables globales. Solo calculan y devuelven.</w:t>
      </w:r>
    </w:p>
    <w:p w:rsidR="00000000" w:rsidDel="00000000" w:rsidP="00000000" w:rsidRDefault="00000000" w:rsidRPr="00000000" w14:paraId="000000BC">
      <w:pPr>
        <w:ind w:left="-850.393700787401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widowControl w:val="0"/>
        <w:numPr>
          <w:ilvl w:val="2"/>
          <w:numId w:val="2"/>
        </w:numPr>
        <w:ind w:firstLine="0"/>
        <w:rPr>
          <w:b w:val="1"/>
          <w:bCs w:val="1"/>
          <w:sz w:val="20"/>
          <w:szCs w:val="20"/>
        </w:rPr>
      </w:pPr>
      <w:bookmarkStart w:colFirst="0" w:colLast="0" w:name="_1ptnljktejth" w:id="25"/>
      <w:bookmarkEnd w:id="25"/>
      <w:r w:rsidDel="00000000" w:rsidR="00000000" w:rsidRPr="00000000">
        <w:rPr>
          <w:rtl w:val="0"/>
        </w:rPr>
        <w:t xml:space="preserve">Funciones de Tabla (Repositorios y Vistas)</w:t>
      </w:r>
    </w:p>
    <w:p w:rsidR="00000000" w:rsidDel="00000000" w:rsidP="00000000" w:rsidRDefault="00000000" w:rsidRPr="00000000" w14:paraId="000000B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Ubicadas en la carpeta persistencia/repositories/. Consisten en consultas complejas diseñadas para extraer conjuntos de datos.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ind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0"/>
        </w:numPr>
        <w:spacing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Actúan como "Vistas" programáticas.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0"/>
        </w:numPr>
        <w:spacing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Propósito: Filtrar historiales de usuario, generar reportes paginados de auditoría o cruzar datos entre la tabla users y analysis_reports utilizando métodos como session.query().join().filter(), retornando siempre listas de objetos tipados (list[Model]).</w:t>
      </w:r>
    </w:p>
    <w:p w:rsidR="00000000" w:rsidDel="00000000" w:rsidP="00000000" w:rsidRDefault="00000000" w:rsidRPr="00000000" w14:paraId="000000C3">
      <w:pPr>
        <w:pStyle w:val="Heading2"/>
        <w:keepNext w:val="1"/>
        <w:widowControl w:val="0"/>
        <w:numPr>
          <w:ilvl w:val="0"/>
          <w:numId w:val="2"/>
        </w:numPr>
        <w:spacing w:after="60" w:before="120" w:line="240" w:lineRule="auto"/>
        <w:ind w:left="720"/>
        <w:jc w:val="both"/>
        <w:rPr/>
      </w:pPr>
      <w:bookmarkStart w:colFirst="0" w:colLast="0" w:name="_7lvzbzqwkxbi" w:id="26"/>
      <w:bookmarkEnd w:id="26"/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line="240" w:lineRule="auto"/>
        <w:ind w:left="1275.5905511811022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Calidad de Código y Legibilidad: Las convenciones PEP 8 y el Type Hinting hacen que el código sea auto-documentado, reduciendo la fricción para que cualquier integrante del equipo lea, entienda y modifique funciones desarrolladas por otros.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line="240" w:lineRule="auto"/>
        <w:ind w:left="1275.5905511811022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Prevención Temprana de Errores: Al validar tipos estáticos antes del despliegue y al usar bloques de transacciones controladas (Rollbacks), el número de errores en producción (bugs críticos) se reduce hasta en un 60%.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line="240" w:lineRule="auto"/>
        <w:ind w:left="1275.5905511811022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Mantenimiento y Escalabilidad: Al utilizar la Arquitectura Limpia, si en el futuro se desea cambiar la base de datos (de SQLite a PostgreSQL) o el frontend, el impacto en el Motor de Análisis Core es cero.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line="240" w:lineRule="auto"/>
        <w:ind w:left="1275.5905511811022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Auditoría y Seguridad: Todos los accesos quedan documentados sistemáticamente sin requerir triggers ocultos en la base de datos, ofreciendo transparencia técnica total.</w:t>
      </w:r>
    </w:p>
    <w:p w:rsidR="00000000" w:rsidDel="00000000" w:rsidP="00000000" w:rsidRDefault="00000000" w:rsidRPr="00000000" w14:paraId="000000C8">
      <w:pPr>
        <w:pStyle w:val="Heading2"/>
        <w:keepNext w:val="1"/>
        <w:widowControl w:val="0"/>
        <w:spacing w:after="60" w:before="120" w:line="240" w:lineRule="auto"/>
        <w:ind w:left="720" w:firstLine="0"/>
        <w:jc w:val="both"/>
        <w:rPr/>
      </w:pPr>
      <w:bookmarkStart w:colFirst="0" w:colLast="0" w:name="_ovkocfvr32s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1"/>
        <w:widowControl w:val="0"/>
        <w:numPr>
          <w:ilvl w:val="0"/>
          <w:numId w:val="2"/>
        </w:numPr>
        <w:spacing w:after="60" w:before="120" w:line="240" w:lineRule="auto"/>
        <w:ind w:left="720"/>
        <w:jc w:val="both"/>
        <w:rPr/>
      </w:pPr>
      <w:bookmarkStart w:colFirst="0" w:colLast="0" w:name="_y0qk7towgxcn" w:id="28"/>
      <w:bookmarkEnd w:id="28"/>
      <w:r w:rsidDel="00000000" w:rsidR="00000000" w:rsidRPr="00000000">
        <w:rPr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540"/>
        </w:tabs>
        <w:spacing w:line="240" w:lineRule="auto"/>
        <w:ind w:left="0" w:firstLine="0"/>
        <w:jc w:val="both"/>
        <w:rPr>
          <w:sz w:val="20"/>
          <w:szCs w:val="20"/>
        </w:rPr>
      </w:pPr>
      <w:bookmarkStart w:colFirst="0" w:colLast="0" w:name="_n58608ijbv82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540"/>
        </w:tabs>
        <w:spacing w:line="240" w:lineRule="auto"/>
        <w:ind w:left="0" w:firstLine="0"/>
        <w:jc w:val="both"/>
        <w:rPr>
          <w:sz w:val="20"/>
          <w:szCs w:val="20"/>
        </w:rPr>
      </w:pPr>
      <w:bookmarkStart w:colFirst="0" w:colLast="0" w:name="_pjnla8igvb8k" w:id="30"/>
      <w:bookmarkEnd w:id="30"/>
      <w:r w:rsidDel="00000000" w:rsidR="00000000" w:rsidRPr="00000000">
        <w:rPr>
          <w:sz w:val="20"/>
          <w:szCs w:val="20"/>
          <w:rtl w:val="0"/>
        </w:rPr>
        <w:t xml:space="preserve">La programación no es solo dar instrucciones a una máquina, sino comunicarse con otros desarrolladores. La implementación de este Estándar de Programación trasciende el cumplimiento académico; se posiciona como el pilar fundamental que transforma un código de nivel estudiante en un producto de software de nivel profesional, mantenible, escalable y robusto. El seguimiento riguroso de estas directrices garantiza la integridad del sistema a largo plazo, consolidando un entorno de trabajo colaborativo altamente eficiente.</w:t>
      </w:r>
    </w:p>
    <w:p w:rsidR="00000000" w:rsidDel="00000000" w:rsidP="00000000" w:rsidRDefault="00000000" w:rsidRPr="00000000" w14:paraId="000000CC">
      <w:pPr>
        <w:tabs>
          <w:tab w:val="left" w:leader="none" w:pos="540"/>
        </w:tabs>
        <w:spacing w:line="240" w:lineRule="auto"/>
        <w:ind w:left="1040" w:firstLine="0"/>
        <w:rPr>
          <w:sz w:val="20"/>
          <w:szCs w:val="20"/>
        </w:rPr>
      </w:pPr>
      <w:bookmarkStart w:colFirst="0" w:colLast="0" w:name="_g5xl86a0em7k" w:id="31"/>
      <w:bookmarkEnd w:id="31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widowControl w:val="0"/>
      <w:spacing w:line="276" w:lineRule="auto"/>
      <w:ind w:hanging="2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558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rHeight w:val="208" w:hRule="atLeast"/>
        <w:tblHeader w:val="0"/>
      </w:trPr>
      <w:tc>
        <w:tcPr/>
        <w:p w:rsidR="00000000" w:rsidDel="00000000" w:rsidP="00000000" w:rsidRDefault="00000000" w:rsidRPr="00000000" w14:paraId="000000CE">
          <w:pPr>
            <w:widowControl w:val="0"/>
            <w:spacing w:line="240" w:lineRule="auto"/>
            <w:ind w:hanging="2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Proyecto Sistema de gestión de eventos</w:t>
          </w:r>
        </w:p>
      </w:tc>
      <w:tc>
        <w:tcPr/>
        <w:p w:rsidR="00000000" w:rsidDel="00000000" w:rsidP="00000000" w:rsidRDefault="00000000" w:rsidRPr="00000000" w14:paraId="000000CF">
          <w:pPr>
            <w:widowControl w:val="0"/>
            <w:tabs>
              <w:tab w:val="left" w:leader="none" w:pos="1135"/>
            </w:tabs>
            <w:spacing w:before="40" w:line="240" w:lineRule="auto"/>
            <w:ind w:right="68" w:hanging="2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 Versión:           1.0</w:t>
          </w:r>
        </w:p>
      </w:tc>
    </w:tr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D0">
          <w:pPr>
            <w:widowControl w:val="0"/>
            <w:spacing w:line="240" w:lineRule="auto"/>
            <w:ind w:hanging="2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Documento de Estándares de Programación</w:t>
          </w:r>
        </w:p>
      </w:tc>
    </w:tr>
  </w:tbl>
  <w:p w:rsidR="00000000" w:rsidDel="00000000" w:rsidP="00000000" w:rsidRDefault="00000000" w:rsidRPr="00000000" w14:paraId="000000D2">
    <w:pPr>
      <w:widowControl w:val="0"/>
      <w:tabs>
        <w:tab w:val="center" w:leader="none" w:pos="4320"/>
        <w:tab w:val="right" w:leader="none" w:pos="8640"/>
      </w:tabs>
      <w:spacing w:line="240" w:lineRule="auto"/>
      <w:ind w:hanging="2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436.53543307086625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850.3937007874017" w:hanging="359.99999999999994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hanging="2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  <w:ind w:left="72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20" w:line="240" w:lineRule="auto"/>
      <w:ind w:left="720" w:hanging="436.53543307086625"/>
      <w:jc w:val="both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