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1067586" cy="1440000"/>
            <wp:effectExtent b="0" l="0" r="0" t="0"/>
            <wp:docPr descr="Escudo institucional de la Universidad Privada de Tacna" id="3" name="image1.png"/>
            <a:graphic>
              <a:graphicData uri="http://schemas.openxmlformats.org/drawingml/2006/picture">
                <pic:pic>
                  <pic:nvPicPr>
                    <pic:cNvPr descr="Escudo institucional de la Universidad Privada de Tacn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586" cy="14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80" w:line="24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 PRIVADA DE TACNA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120" w:line="24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40" w:before="0" w:line="24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Escuela Profesional de Ingeniería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0"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Analizador estático para la evaluación de controles de seguridad basados en OWASP Top 10:2025 en proyectos Python y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="24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Curso: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Calidad y Pruebas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="24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Patrick Jose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320" w:line="240" w:lineRule="auto"/>
        <w:ind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240" w:lineRule="auto"/>
        <w:ind w:left="680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Ana Cecilia Esteban Ramos – 2023078688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="240" w:lineRule="auto"/>
        <w:ind w:left="68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Saul José Alvarado Urbano – 2023078332</w:t>
      </w:r>
    </w:p>
    <w:p w:rsidR="00000000" w:rsidDel="00000000" w:rsidP="00000000" w:rsidRDefault="00000000" w:rsidRPr="00000000" w14:paraId="0000000B">
      <w:pPr>
        <w:spacing w:after="60" w:line="240" w:lineRule="auto"/>
        <w:ind w:left="680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440" w:line="240" w:lineRule="auto"/>
        <w:ind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440" w:line="240" w:lineRule="auto"/>
        <w:ind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440" w:line="240" w:lineRule="auto"/>
        <w:ind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440" w:line="240" w:lineRule="auto"/>
        <w:ind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440" w:line="240" w:lineRule="auto"/>
        <w:ind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60" w:line="24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Tacna – Perú</w:t>
        <w:br w:type="textWrapping"/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40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40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40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520" w:before="200" w:line="288" w:lineRule="auto"/>
        <w:ind w:firstLine="0"/>
        <w:jc w:val="righ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Analizador estático para la evaluación de controles de seguridad basados en OWASP Top 10:2025 en proyectos Python y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40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Informe de Factibilidad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Versión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20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02.0" w:type="dxa"/>
        <w:jc w:val="center"/>
        <w:tblLayout w:type="fixed"/>
        <w:tblLook w:val="0400"/>
      </w:tblPr>
      <w:tblGrid>
        <w:gridCol w:w="1417"/>
        <w:gridCol w:w="1417"/>
        <w:gridCol w:w="1417"/>
        <w:gridCol w:w="1417"/>
        <w:gridCol w:w="1417"/>
        <w:gridCol w:w="1417"/>
        <w:tblGridChange w:id="0">
          <w:tblGrid>
            <w:gridCol w:w="1417"/>
            <w:gridCol w:w="1417"/>
            <w:gridCol w:w="1417"/>
            <w:gridCol w:w="1417"/>
            <w:gridCol w:w="1417"/>
            <w:gridCol w:w="1417"/>
          </w:tblGrid>
        </w:tblGridChange>
      </w:tblGrid>
      <w:tr>
        <w:trPr>
          <w:cantSplit w:val="1"/>
          <w:tblHeader w:val="1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Hecha por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Revisada por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Aprobada por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Motivo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 Esteban / S. Alvarado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24/08/2026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Primer entregable</w:t>
            </w:r>
          </w:p>
        </w:tc>
      </w:tr>
    </w:tbl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ÍNDICE GENERAL</w:t>
      </w:r>
    </w:p>
    <w:sdt>
      <w:sdtPr>
        <w:id w:val="13327560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8503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1. Descripción del Proyecto</w:t>
            <w:tab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1.1 Nombre del proyecto</w:t>
            <w:tab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1.2 Duración del proyecto</w:t>
            <w:tab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1.3 Descripción</w:t>
            <w:tab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1.4 Objetivos</w:t>
            <w:tab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720" w:firstLine="72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1.4.1 Objetivo general</w:t>
            <w:tab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720" w:firstLine="72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1.4.2 Objetivos específicos</w:t>
            <w:tab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8503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2. Riesgos</w:t>
            <w:tab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8503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3. Análisis de la Situación Actual</w:t>
            <w:tab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3.1 Planteamiento del problema</w:t>
            <w:tab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3.2 Consideraciones de hardware y software</w:t>
            <w:tab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8503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4. Estudio de Factibilidad</w:t>
            <w:tab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4.1 Factibilidad Técnica</w:t>
            <w:tab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4.2 Factibilidad Económica</w:t>
            <w:tab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720" w:firstLine="72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4.2.1 Costos generales</w:t>
            <w:tab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720" w:firstLine="72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4.2.2 Costos operativos durante el desarrollo</w:t>
            <w:tab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720" w:firstLine="72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4.2.3 Costos del ambiente</w:t>
            <w:tab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720" w:firstLine="72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4.2.4 Costos de personal</w:t>
            <w:tab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720" w:firstLine="72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4.2.5 Costos totales del desarrollo del sistema</w:t>
            <w:tab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4.3 Factibilidad Operativa</w:t>
            <w:tab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4.4 Factibilidad Legal</w:t>
            <w:tab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4.5 Factibilidad Social</w:t>
            <w:tab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4.6 Factibilidad Ambiental</w:t>
            <w:tab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8503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5. Análisis Financiero</w:t>
            <w:tab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5.1 Justificación de la Inversión</w:t>
            <w:tab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720" w:firstLine="72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5.1.1 Beneficios del Proyecto</w:t>
            <w:tab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720" w:firstLine="72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5.1.2 Criterios de Inversión</w:t>
            <w:tab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720" w:firstLine="72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5.1.2.1 Relación Beneficio/Costo (B/C)</w:t>
            <w:tab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720" w:firstLine="72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5.1.2.2 Valor Actual Neto (VAN)</w:t>
            <w:tab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8503.511811023624"/>
            </w:tabs>
            <w:spacing w:before="60" w:line="240" w:lineRule="auto"/>
            <w:ind w:left="720" w:firstLine="720"/>
            <w:jc w:val="left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5.1.2.3 Tasa Interna de Retorno (TIR)</w:t>
            <w:tab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8503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6. Conclusiones</w:t>
            <w:tab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8503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Referencias</w:t>
            <w:tab/>
          </w:r>
          <w:r w:rsidDel="00000000" w:rsidR="00000000" w:rsidRPr="00000000">
            <w:rPr>
              <w:b w:val="1"/>
              <w:bCs w:val="1"/>
              <w:rtl w:val="0"/>
            </w:rPr>
            <w:t xml:space="preserve">25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ind w:firstLine="0"/>
        <w:jc w:val="center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ind w:firstLine="0"/>
        <w:jc w:val="center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ind w:firstLine="0"/>
        <w:jc w:val="center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ind w:firstLine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Informe de Factibilidad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pageBreakBefore w:val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Descripción del Proyecto</w:t>
      </w:r>
    </w:p>
    <w:p w:rsidR="00000000" w:rsidDel="00000000" w:rsidP="00000000" w:rsidRDefault="00000000" w:rsidRPr="00000000" w14:paraId="0000005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 Nombre del proyecto</w:t>
      </w:r>
    </w:p>
    <w:p w:rsidR="00000000" w:rsidDel="00000000" w:rsidP="00000000" w:rsidRDefault="00000000" w:rsidRPr="00000000" w14:paraId="00000058">
      <w:pPr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Analizador estático para la evaluación de controles de seguridad basados en OWASP Top 10:2025 en proyectos Python y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1.2 Duración del proyecto</w:t>
      </w:r>
    </w:p>
    <w:p w:rsidR="00000000" w:rsidDel="00000000" w:rsidP="00000000" w:rsidRDefault="00000000" w:rsidRPr="00000000" w14:paraId="0000005A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esarrollo es de dieciséis semanas, entre agosto y diciembre de 2026. Este periodo se utiliza para organizar el alcance técnico y el modelo económico. El presente documento corresponde al primer entregable de la primera unidad académica.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1.3 Descripción</w:t>
      </w:r>
    </w:p>
    <w:p w:rsidR="00000000" w:rsidDel="00000000" w:rsidP="00000000" w:rsidRDefault="00000000" w:rsidRPr="00000000" w14:paraId="0000005C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propone una aplicación web de análisis estático orientada a revisar prácticas de seguridad en proyectos desarrollados con Python y JavaScript, con énfasis inicial en Flask y Express. El sistema inspeccionará código fuente, rutas, configuraciones, manifiestos de dependencias y archivos auxiliares sin ejecutar, importar ni instalar el proyecto analizado. Para ello utilizará árboles de sintaxis abstracta, reglas de patrones y verificaciones contextuales.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catálogo inicial contiene 27 controles seleccionados y trazables a las diez categorías del OWASP Top 10:2025. Dichos controles no pretenden abarcar todos los CWE asociados ni demostrar que una aplicación sea completamente segura. Cada control se clasificará según su grado de automatización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automático, parcial o sujeto a revisión humana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cada resultado podrá expresarse como “Cumple”, “No cumple”, “Posible incumplimiento”, “Requiere revisión” o “No aplica”.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hallazgo deberá incluir como mínimo el archivo y la línea, la evidencia técnica, la categoría y control relacionado, severidad, nivel de confianza, explicación del riesgo y recomendación </w:t>
      </w:r>
      <w:r w:rsidDel="00000000" w:rsidR="00000000" w:rsidRPr="00000000">
        <w:rPr>
          <w:rtl w:val="0"/>
        </w:rPr>
        <w:t xml:space="preserve">para la correcio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n. Además, el sistema mostrará por separado el porcentaje de cumplimiento de las verificaciones resueltas y la cobertura real de la evaluación, con el fin de evitar que los casos inciertos se contabilicen como seguros.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solución está dirigida principalmente a estudiantes, desarrolladores y revisores de software que necesitan una primera revisión reproducible y comprensible antes de una auditoría especializada. Su importancia radica en detectar de manera temprana configuraciones inseguras y patrones vulnerables, reducir parte del esfuerzo manual y convertir los resultados en orientaciones de remediación.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1.4 Objetivos</w:t>
      </w:r>
    </w:p>
    <w:p w:rsidR="00000000" w:rsidDel="00000000" w:rsidP="00000000" w:rsidRDefault="00000000" w:rsidRPr="00000000" w14:paraId="00000061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1.4.1 Objetivo general</w:t>
      </w:r>
    </w:p>
    <w:p w:rsidR="00000000" w:rsidDel="00000000" w:rsidP="00000000" w:rsidRDefault="00000000" w:rsidRPr="00000000" w14:paraId="00000062">
      <w:pPr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 analizador estático que permita evaluar automáticamente prácticas de seguridad en proyectos Python y JavaScript mediante un catálogo de controles trazables al OWASP Top 10:2025, generando hallazgos explicables, indicadores de cobertura y recomendaciones de remediación sin ejecutar el código fuente analizado.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1.4.2 Objetivos específicos</w:t>
      </w:r>
    </w:p>
    <w:p w:rsidR="00000000" w:rsidDel="00000000" w:rsidP="00000000" w:rsidRDefault="00000000" w:rsidRPr="00000000" w14:paraId="00000064">
      <w:pPr>
        <w:spacing w:after="40" w:line="360" w:lineRule="auto"/>
        <w:ind w:left="454" w:hanging="31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1. Definir un catálogo inicial de 27 controles de seguridad, relacionando cada control con una categoría del OWASP Top 10:2025, debilidades CWE, severidad, confianza y grado de automatización.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="360" w:lineRule="auto"/>
        <w:ind w:left="454" w:hanging="31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2. Diseñar una arquitectura modular que </w:t>
      </w:r>
      <w:r w:rsidDel="00000000" w:rsidR="00000000" w:rsidRPr="00000000">
        <w:rPr>
          <w:sz w:val="23"/>
          <w:szCs w:val="23"/>
          <w:rtl w:val="0"/>
        </w:rPr>
        <w:t xml:space="preserve">permite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agregar reglas, lenguajes y frameworks sin modificar completamente el núcleo del analizador.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="360" w:lineRule="auto"/>
        <w:ind w:left="454" w:hanging="31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3. Implementar mecanismos seguros para recibir y procesar proyectos, considerando validación de archivos, límites de recursos, rutas normalizadas, rechazo de enlaces simbólicos y eliminación de datos temporales.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="360" w:lineRule="auto"/>
        <w:ind w:left="454" w:hanging="31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4. Implementar por fases reglas de análisis para Python/Flask y JavaScript/Express, priorizando en el MVP las verificaciones directas y de mayor confianza.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="360" w:lineRule="auto"/>
        <w:ind w:left="454" w:hanging="31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5. Generar reportes trazables que presenten archivo, línea, evidencia, estado, severidad, confianza, explicación y recomendación para cada hallazgo.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="360" w:lineRule="auto"/>
        <w:ind w:left="454" w:hanging="31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6. Calcular indicadores separados de cumplimiento y cobertura, sin otorgar puntuación favorable a controles no evaluados o ambiguos.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360" w:lineRule="auto"/>
        <w:ind w:left="454" w:hanging="31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7. Evaluar el analizador mediante un corpus etiquetado y métricas de precisión, exhaustividad (recall), falsos positivos, falsos negativos, cobertura y tiempo de procesamiento.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="360" w:lineRule="auto"/>
        <w:ind w:left="454" w:hanging="312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8. Determinar la factibilidad técnica, económica, operativa, legal, social, ambiental y financiera del proyecto para sustentar la decisión de construir el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line="360" w:lineRule="auto"/>
        <w:ind w:left="0" w:firstLine="0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2.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evaluación utiliza una escala de probabilidad e impacto de 1 (muy bajo) a 5 (muy alto). El nivel inherente se obtiene mediante P × I. El riesgo residual presupone que la medida de tratamiento se implementa y verifica. La matriz identifica dos riesgos críticos y siete riesgos altos antes de aplicar mitigaciones; después del tratamiento no permanecen riesgos críticos y </w:t>
      </w:r>
      <w:r w:rsidDel="00000000" w:rsidR="00000000" w:rsidRPr="00000000">
        <w:rPr>
          <w:rtl w:val="0"/>
        </w:rPr>
        <w:t xml:space="preserve">sólo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uno </w:t>
      </w:r>
      <w:r w:rsidDel="00000000" w:rsidR="00000000" w:rsidRPr="00000000">
        <w:rPr>
          <w:rtl w:val="0"/>
        </w:rPr>
        <w:t xml:space="preserve">conserva un nivel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Tabla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Riesgos críticos y altos del proyecto</w:t>
      </w:r>
      <w:r w:rsidDel="00000000" w:rsidR="00000000" w:rsidRPr="00000000">
        <w:rPr>
          <w:rtl w:val="0"/>
        </w:rPr>
      </w:r>
    </w:p>
    <w:tbl>
      <w:tblPr>
        <w:tblStyle w:val="Table2"/>
        <w:tblW w:w="8505.0" w:type="dxa"/>
        <w:jc w:val="center"/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 inherente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Tratamiento principal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 residu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R01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Desborde de alcance: 27 controles, dos lenguajes y dos frameworks.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 · Crítico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Fases por automatización, backlog priorizado y congelación del alcance del MVP.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· Alto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R02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índice se interpreta como certificación o garantía de seguridad.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 · Crítico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Usar “índice interno”; mostrar cobertura, confianza y limitaciones; exigir revisión humana.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· Medio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R03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Uso indebido de la marca OWASP o apariencia de respaldo.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 · Alto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Mantener un nombre propio; atribuir la fuente e incluir una declaración de no afiliación.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· Bajo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R04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Falsos positivos o falsos negativos en las reglas.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 · Alto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Corpus positivo/negativo, pruebas por regla y medición de precisión y recall.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· Medio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R05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Exposición de código propietario, secretos o datos personales.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· Alto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Autorización, análisis efímero, cifrado, no registrar código y borrado automático.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· Bajo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R06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Archivo ZIP malicioso: path traversal, symlink, zip bomb o agotamiento.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· Alto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Límites de tamaño, archivos y ratio; rutas seguras; rechazo de symlinks; sandbox sin ejecución.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· Bajo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R07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 de reglas o dependencias vulnerables desactualizado.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· Alto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Versionado, fecha y fuente de cada regla, calendario de actualización y regresión.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· Medio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R08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 del parser JavaScript y variantes sintácticas.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· Alto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Definir sintaxis soportada, usar parser mantenido y fallar de forma explícita.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· Medio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R09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Dependencia de dos integrantes y conflicto con el calendario académico.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· Alto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 cruzada, documentación, reserva semanal y entregas incrementales.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· Medio</w:t>
            </w:r>
          </w:p>
        </w:tc>
      </w:tr>
    </w:tbl>
    <w:p w:rsidR="00000000" w:rsidDel="00000000" w:rsidP="00000000" w:rsidRDefault="00000000" w:rsidRPr="00000000" w14:paraId="000000A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Tabla 2</w:t>
      </w:r>
    </w:p>
    <w:p w:rsidR="00000000" w:rsidDel="00000000" w:rsidP="00000000" w:rsidRDefault="00000000" w:rsidRPr="00000000" w14:paraId="000000A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Riesgos de nivel medio y bajo</w:t>
      </w:r>
      <w:r w:rsidDel="00000000" w:rsidR="00000000" w:rsidRPr="00000000">
        <w:rPr>
          <w:rtl w:val="0"/>
        </w:rPr>
      </w:r>
    </w:p>
    <w:tbl>
      <w:tblPr>
        <w:tblStyle w:val="Table3"/>
        <w:tblW w:w="8505.0" w:type="dxa"/>
        <w:jc w:val="center"/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 inherente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Tratamiento principal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 residual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R10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Rendimiento insuficiente en repositorios grandes.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· Medio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Límites, exclusiones, análisis incremental y medición de tiempo/memoria.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· Bajo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R11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ampliación a nuevos lenguajes rompe contratos existentes.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· Medio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Contrato de plugins estable, versionado y pruebas de compatibilidad.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· Bajo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R12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Baja confianza por reportes poco explicables.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· Medio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Archivo, línea, evidencia y remediación; separar severidad, cobertura y confianza.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· Bajo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R13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Pérdida de código, reglas o documentación.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· Medio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Repositorio privado, ramas protegidas, revisión por pares y copia de respaldo.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· Bajo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Consumo innecesario de CPU/almacenamiento y retención de archivos.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· Bajo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bajo demanda, cuotas de recursos, borrado temprano y reutilización de equipos.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· Bajo</w:t>
            </w:r>
          </w:p>
        </w:tc>
      </w:tr>
    </w:tbl>
    <w:p w:rsidR="00000000" w:rsidDel="00000000" w:rsidP="00000000" w:rsidRDefault="00000000" w:rsidRPr="00000000" w14:paraId="000000C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Análisis de la Situación Actual</w:t>
      </w:r>
    </w:p>
    <w:p w:rsidR="00000000" w:rsidDel="00000000" w:rsidP="00000000" w:rsidRDefault="00000000" w:rsidRPr="00000000" w14:paraId="000000C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Planteamiento del problema</w:t>
      </w:r>
    </w:p>
    <w:p w:rsidR="00000000" w:rsidDel="00000000" w:rsidP="00000000" w:rsidRDefault="00000000" w:rsidRPr="00000000" w14:paraId="000000C4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proyectos académicos y de equipos pequeños, la seguridad suele revisarse al final del desarrollo o únicamente cuando aparece un error. La inspección manual exige tiempo, experiencia y criterios consistentes; por ello, pueden pasar inadvertidas configuraciones inseguras, secretos incrustados, consultas construidas de forma dinámica, controles de acceso incompletos o manejos de excepciones que ocultan fallos.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analizadores estáticos existentes demuestran que es posible automatizar parte de la revisión, pero sus resultados pueden resultar extensos o difíciles de interpretar para usuarios en formación. Además, una herramienta genérica no necesariamente explica qué parte del OWASP Top 10:2025 puede evaluar, qué controles dependen del contexto y qué hallazgos requieren revisión humana. El problema central es, por tanto, la falta de una evaluación académica focalizada, trazable y explícita respecto de sus límites.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necesidad será atendida mediante un flujo simple: el usuario carga un proyecto autorizado; el sistema valida y extrae el contenido de forma segura; identifica archivos y tecnologías compatibles; ejecuta controles sin correr el código; agrupa los hallazgos; presenta cumplimiento, cobertura y evidencia; y elimina los archivos temporales. Esta solución no sustituye pruebas dinámicas, modelado de amenazas, revisión de arquitectura ni auditoría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 Consideraciones de hardware y software</w:t>
      </w:r>
    </w:p>
    <w:p w:rsidR="00000000" w:rsidDel="00000000" w:rsidP="00000000" w:rsidRDefault="00000000" w:rsidRPr="00000000" w14:paraId="000000C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Tabla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Recursos tecnológicos disponibles y requeridos</w:t>
      </w: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center"/>
        <w:tblLayout w:type="fixed"/>
        <w:tblLook w:val="0400"/>
      </w:tblPr>
      <w:tblGrid>
        <w:gridCol w:w="2835"/>
        <w:gridCol w:w="2835"/>
        <w:gridCol w:w="2835"/>
        <w:tblGridChange w:id="0">
          <w:tblGrid>
            <w:gridCol w:w="2835"/>
            <w:gridCol w:w="2835"/>
            <w:gridCol w:w="283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preliminar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Equipos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Dos laptops existentes; procesador de 4 núcleos o superior, 8 GB de RAM y 10 GB libres recomendados.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Disponibles; no se requiere compra para el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1–2 vCPU, 1–2 GB de RAM y almacenamiento temporal limitado.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Puede utilizarse hosting de bajo costo; capacidad a validar con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Windows 11 o distribución Linux para desarrollo; Linux para despliegue.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Compatible con las herramientas seleccionadas.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Python 3.12+ y Flask; módulos para validación, reportes y persistencia mínima.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Código abierto y conocido por 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Análisis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Módulo ast de Python y lectura de configuraciones/manifiestos.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Disponible en la biblioteca estándar.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Análisis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Node.js y @babel/parser para generar AST con ubicación de nodos.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Dependencia local; no requiere API externa.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Git y GitHub Free en repositorio privado.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Costo base S/ 0; respaldos y revisión por pares.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SQLite para el MVP; PostgreSQL solo si el piloto requiere concurrencia o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persistencia de código fuente no forma parte del diseño.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Navegadores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Versiones vigentes de Chrome, Edge o Firefox.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Acceso sin instalación del analizador en el equipo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Red y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Internet estable; dominio propio opcional para el MVP.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proveedor puede suministrar una URL temporal.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Estudio de Factibilidad</w:t>
      </w:r>
    </w:p>
    <w:p w:rsidR="00000000" w:rsidDel="00000000" w:rsidP="00000000" w:rsidRDefault="00000000" w:rsidRPr="00000000" w14:paraId="000000ED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estudio busca establecer si el MVP puede construirse con los recursos disponibles y bajo qué condiciones debería aprobarse. Para prepararlo se revisaron el formato institucional, el catálogo técnico, la arquitectura propuesta, el registro de riesgos, el modelo de costos, las fuentes legales y la documentación oficial de las tecnologías. La evaluación pondera seis dimensiones en una escala de 1 a 5. Este primer entregable fue elaborado por el equipo y permanece pendiente de revisión y aprobación docente.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Tabla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Evaluación integral de factibilidad</w:t>
      </w:r>
      <w:r w:rsidDel="00000000" w:rsidR="00000000" w:rsidRPr="00000000">
        <w:rPr>
          <w:rtl w:val="0"/>
        </w:rPr>
      </w:r>
    </w:p>
    <w:tbl>
      <w:tblPr>
        <w:tblStyle w:val="Table5"/>
        <w:tblW w:w="8475.0" w:type="dxa"/>
        <w:jc w:val="center"/>
        <w:tblLayout w:type="fixed"/>
        <w:tblLook w:val="0400"/>
      </w:tblPr>
      <w:tblGrid>
        <w:gridCol w:w="1785"/>
        <w:gridCol w:w="1605"/>
        <w:gridCol w:w="1695"/>
        <w:gridCol w:w="1695"/>
        <w:gridCol w:w="1695"/>
        <w:tblGridChange w:id="0">
          <w:tblGrid>
            <w:gridCol w:w="1785"/>
            <w:gridCol w:w="1605"/>
            <w:gridCol w:w="1695"/>
            <w:gridCol w:w="1695"/>
            <w:gridCol w:w="16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Dimensión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Puntuación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Ponderado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Técnica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25 %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4,0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1,00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Viable con condiciones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Económica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20 %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4,2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0,84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Viable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Operativa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20 %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3,8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0,76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Viable con condiciones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Legal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15 %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0,45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Viabilidad restringida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10 %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4,4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0,44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Viable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Ambiental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10 %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4,5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0,45</w:t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Viable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3f3f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3f3f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3f3f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3,94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3f3f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78,8 %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b7c6" w:space="0" w:sz="4" w:val="single"/>
              <w:left w:color="000000" w:space="0" w:sz="4" w:val="single"/>
              <w:bottom w:color="a9b7c6" w:space="0" w:sz="4" w:val="single"/>
              <w:right w:color="000000" w:space="0" w:sz="4" w:val="single"/>
            </w:tcBorders>
            <w:shd w:fill="f3f3f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Viable con condiciones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 Factibilidad Técnica</w:t>
      </w:r>
    </w:p>
    <w:p w:rsidR="00000000" w:rsidDel="00000000" w:rsidP="00000000" w:rsidRDefault="00000000" w:rsidRPr="00000000" w14:paraId="00000119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propuesta es técnicamente realizable porque Python ofrece el módulo ast para transformar código en árboles sintácticos, mientras que @babel/parser genera un AST de JavaScript y conserva ubicaciones de línea y columna. Estas capacidades permiten detectar llamadas, literales, decoradores, middleware, operadores, manejo de excepciones y otros elementos sin ejecutar el código (Babel, 2026; Python Software Foundation,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recomendada es un monolito modular: un gestor de cargas seguras, un inventario de archivos, adaptadores por lenguaje, un motor de reglas con contrato común, un agregador de resultados y un generador de reportes. Esta estructura reduce la complejidad operativa del MVP y deja una interfaz clara para incorporar nuevas reglas o adaptadores.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catálogo de 27 controles es viable solo como alcance progresivo. Las verificaciones directas de configuración, algoritmos, secretos, dependencias y excepciones deben implementarse primero; las relacionadas con autorización, diseño, logging e inyección requieren análisis contextual o de flujo de datos y pueden producir estados de “Posible incumplimiento” o “Requiere revisión”. No se debe confundir la cantidad de reglas con la cobertura completa de los 248 CWE agrupados por OWASP Top 10:2025 (OWASP Foundation,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  <w:rtl w:val="0"/>
        </w:rPr>
        <w:t xml:space="preserve">Fase 1: reglas directas y de alta confianza sobre configuración, algoritmos, secretos, dependencias, autenticación y manejo de excepciones.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  <w:rtl w:val="0"/>
        </w:rPr>
        <w:t xml:space="preserve">Fase 2: estructura web, endpoints, middleware y autorización para Flask y Express.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  <w:rtl w:val="0"/>
        </w:rPr>
        <w:t xml:space="preserve">Fase 3: flujo de datos y heurísticas avanzadas para inyección, XSS, operaciones de negocio e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97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  <w:rtl w:val="0"/>
        </w:rPr>
        <w:t xml:space="preserve">Servicio complementario: catálogo local versionado para dependencias vulnerables, sin depender de consultas externas durante cada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principal condición técnica es validar cada control mediante casos seguros, vulnerables y ambiguos. El mínimo inicial es de 108 casos seguro/vulnerable —uno por lenguaje y estado para cada control— más los casos contextuales de las reglas heurísticas. En consecuencia, la factibilidad técnica se califica con 4,0 de 5: viable con condiciones.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 Factibilidad Económica</w:t>
      </w:r>
    </w:p>
    <w:p w:rsidR="00000000" w:rsidDel="00000000" w:rsidP="00000000" w:rsidRDefault="00000000" w:rsidRPr="00000000" w14:paraId="00000122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costo se observa desde dos perspectivas. El desembolso efectivo representa dinero incremental que el equipo debe pagar; el costo económico incorpora además el valor del tiempo y el uso de equipos existentes. Esta separación evita presentar el trabajo académico como gratuito. Todos los montos son estimaciones de planeamiento y deberán contrastarse con comprobantes, precios vigentes y horas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4.2.1 Costos generales</w:t>
      </w:r>
    </w:p>
    <w:p w:rsidR="00000000" w:rsidDel="00000000" w:rsidP="00000000" w:rsidRDefault="00000000" w:rsidRPr="00000000" w14:paraId="000001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Tabla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Costos generales del MVP</w:t>
      </w:r>
      <w:r w:rsidDel="00000000" w:rsidR="00000000" w:rsidRPr="00000000">
        <w:rPr>
          <w:rtl w:val="0"/>
        </w:rPr>
      </w:r>
    </w:p>
    <w:tbl>
      <w:tblPr>
        <w:tblStyle w:val="Table6"/>
        <w:tblW w:w="8505.0" w:type="dxa"/>
        <w:jc w:val="center"/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Efectivo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Económico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Repositorio GitHub Free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meses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Repositorios privados con prestaciones limitadas.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Licencias de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paquete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Python, Flask, Node.js, Babel, Git y editores de código abierto.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Dominio e identidad visual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MVP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utilizará la URL del proveedor; marca final pendiente.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Material de oficina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MVP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 digital; no se prevén impresiones obligatorias.</w:t>
            </w:r>
          </w:p>
        </w:tc>
      </w:tr>
    </w:tbl>
    <w:p w:rsidR="00000000" w:rsidDel="00000000" w:rsidP="00000000" w:rsidRDefault="00000000" w:rsidRPr="00000000" w14:paraId="0000013F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4.2.2 Costos operativos durante el desarrollo</w:t>
      </w:r>
    </w:p>
    <w:p w:rsidR="00000000" w:rsidDel="00000000" w:rsidP="00000000" w:rsidRDefault="00000000" w:rsidRPr="00000000" w14:paraId="000001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Tabla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Costos operativos estimados</w:t>
      </w:r>
      <w:r w:rsidDel="00000000" w:rsidR="00000000" w:rsidRPr="00000000">
        <w:rPr>
          <w:rtl w:val="0"/>
        </w:rPr>
      </w:r>
    </w:p>
    <w:tbl>
      <w:tblPr>
        <w:tblStyle w:val="Table7"/>
        <w:tblW w:w="8504.0" w:type="dxa"/>
        <w:jc w:val="center"/>
        <w:tblLayout w:type="fixed"/>
        <w:tblLook w:val="0400"/>
      </w:tblPr>
      <w:tblGrid>
        <w:gridCol w:w="2126"/>
        <w:gridCol w:w="2126"/>
        <w:gridCol w:w="2126"/>
        <w:gridCol w:w="2126"/>
        <w:tblGridChange w:id="0">
          <w:tblGrid>
            <w:gridCol w:w="2126"/>
            <w:gridCol w:w="2126"/>
            <w:gridCol w:w="2126"/>
            <w:gridCol w:w="21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Asignación de internet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meses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40,00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160,00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Electricidad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meses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25,00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100,00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operativo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260,00</w:t>
            </w:r>
          </w:p>
        </w:tc>
      </w:tr>
    </w:tbl>
    <w:p w:rsidR="00000000" w:rsidDel="00000000" w:rsidP="00000000" w:rsidRDefault="00000000" w:rsidRPr="00000000" w14:paraId="00000152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4.2.3 Costos del ambiente</w:t>
      </w:r>
    </w:p>
    <w:p w:rsidR="00000000" w:rsidDel="00000000" w:rsidP="00000000" w:rsidRDefault="00000000" w:rsidRPr="00000000" w14:paraId="0000015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Tabla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Costos de infraestructura y ambiente</w:t>
      </w:r>
      <w:r w:rsidDel="00000000" w:rsidR="00000000" w:rsidRPr="00000000">
        <w:rPr>
          <w:rtl w:val="0"/>
        </w:rPr>
      </w:r>
    </w:p>
    <w:tbl>
      <w:tblPr>
        <w:tblStyle w:val="Table8"/>
        <w:tblW w:w="8505.0" w:type="dxa"/>
        <w:jc w:val="center"/>
        <w:tblLayout w:type="fixed"/>
        <w:tblLook w:val="0400"/>
      </w:tblPr>
      <w:tblGrid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Efectivo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Económico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Hosting de desarrollo/piloto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meses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19,00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76,00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76,00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Respaldo y almacenamiento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meses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40,00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40,00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Uso de dos laptops existentes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laptop-mes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83,33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666,67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del ambiente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116,00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782,67</w:t>
            </w:r>
          </w:p>
        </w:tc>
      </w:tr>
    </w:tbl>
    <w:p w:rsidR="00000000" w:rsidDel="00000000" w:rsidP="00000000" w:rsidRDefault="00000000" w:rsidRPr="00000000" w14:paraId="0000016E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4.2.4 Costos de personal</w:t>
      </w:r>
    </w:p>
    <w:p w:rsidR="00000000" w:rsidDel="00000000" w:rsidP="00000000" w:rsidRDefault="00000000" w:rsidRPr="00000000" w14:paraId="0000016F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planeación considera 480 horas-persona: dos integrantes, quince horas semanales por persona durante dieciséis semanas. Para reconocer el costo de oportunidad se utiliza una tarifa económica interna de S/ 20,00 por hora. No se registra desembolso salarial, ya que el trabajo forma parte de la actividad académica.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Tabla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Distribución económica del esfuerzo del equipo</w:t>
      </w:r>
      <w:r w:rsidDel="00000000" w:rsidR="00000000" w:rsidRPr="00000000">
        <w:rPr>
          <w:rtl w:val="0"/>
        </w:rPr>
      </w:r>
    </w:p>
    <w:tbl>
      <w:tblPr>
        <w:tblStyle w:val="Table9"/>
        <w:tblW w:w="8504.0" w:type="dxa"/>
        <w:jc w:val="center"/>
        <w:tblLayout w:type="fixed"/>
        <w:tblLook w:val="0400"/>
      </w:tblPr>
      <w:tblGrid>
        <w:gridCol w:w="2126"/>
        <w:gridCol w:w="2126"/>
        <w:gridCol w:w="2126"/>
        <w:gridCol w:w="2126"/>
        <w:tblGridChange w:id="0">
          <w:tblGrid>
            <w:gridCol w:w="2126"/>
            <w:gridCol w:w="2126"/>
            <w:gridCol w:w="2126"/>
            <w:gridCol w:w="21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Horas-persona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Costo económico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 de controles y diseño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57,6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1 152,00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Motor, contratos y arquitectura de plugins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105,6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2 112,00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Adaptador y reglas Python/Flask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86,4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1 728,00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Adaptador y reglas JavaScript/Express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86,4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1 728,00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Carga ZIP, interfaz, API y reportes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57,6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1 152,00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Pruebas, seguridad y 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86,4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1 728,00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480,0 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9 600,00</w:t>
            </w:r>
          </w:p>
        </w:tc>
      </w:tr>
    </w:tbl>
    <w:p w:rsidR="00000000" w:rsidDel="00000000" w:rsidP="00000000" w:rsidRDefault="00000000" w:rsidRPr="00000000" w14:paraId="0000019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Tabla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Organización y roles propuestos</w:t>
      </w:r>
      <w:r w:rsidDel="00000000" w:rsidR="00000000" w:rsidRPr="00000000">
        <w:rPr>
          <w:rtl w:val="0"/>
        </w:rPr>
      </w:r>
    </w:p>
    <w:tbl>
      <w:tblPr>
        <w:tblStyle w:val="Table10"/>
        <w:tblW w:w="8505.0" w:type="dxa"/>
        <w:jc w:val="center"/>
        <w:tblLayout w:type="fixed"/>
        <w:tblLook w:val="0400"/>
      </w:tblPr>
      <w:tblGrid>
        <w:gridCol w:w="2835"/>
        <w:gridCol w:w="2835"/>
        <w:gridCol w:w="2835"/>
        <w:tblGridChange w:id="0">
          <w:tblGrid>
            <w:gridCol w:w="2835"/>
            <w:gridCol w:w="2835"/>
            <w:gridCol w:w="283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Integrante / ámbito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 propuesto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Dedicación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 Cecilia Esteban Ramos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Coodesarrolladora; liderazgo propuesto en requisitos, documentación, UX y aseguramiento de calidad.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h/semana, horario flexible fuera de clases.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Saul José Alvarado Urbano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Coodesarrollador; liderazgo propuesto en arquitectura, motor de análisis, adaptadores e integración.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h/semana, horario flexible fuera de clases.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 compartida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 de controles, revisión cruzada, pruebas, gestión de riesgos, presentación y soporte del piloto.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Reunión de seguimiento semanal.</w:t>
            </w:r>
          </w:p>
        </w:tc>
      </w:tr>
    </w:tbl>
    <w:p w:rsidR="00000000" w:rsidDel="00000000" w:rsidP="00000000" w:rsidRDefault="00000000" w:rsidRPr="00000000" w14:paraId="000001A0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4.2.5 Costos totales del desarrollo del sistema</w:t>
      </w:r>
    </w:p>
    <w:p w:rsidR="00000000" w:rsidDel="00000000" w:rsidP="00000000" w:rsidRDefault="00000000" w:rsidRPr="00000000" w14:paraId="000001A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Tabla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Resumen del costo total del desarrollo</w:t>
      </w:r>
      <w:r w:rsidDel="00000000" w:rsidR="00000000" w:rsidRPr="00000000">
        <w:rPr>
          <w:rtl w:val="0"/>
        </w:rPr>
      </w:r>
    </w:p>
    <w:tbl>
      <w:tblPr>
        <w:tblStyle w:val="Table11"/>
        <w:tblW w:w="8505.0" w:type="dxa"/>
        <w:jc w:val="center"/>
        <w:tblLayout w:type="fixed"/>
        <w:tblLook w:val="0400"/>
      </w:tblPr>
      <w:tblGrid>
        <w:gridCol w:w="2835"/>
        <w:gridCol w:w="2835"/>
        <w:gridCol w:w="2835"/>
        <w:tblGridChange w:id="0">
          <w:tblGrid>
            <w:gridCol w:w="2835"/>
            <w:gridCol w:w="2835"/>
            <w:gridCol w:w="283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Desembolso efectivo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Costo económico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9 600,00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116,00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782,67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260,00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260,00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y costos generales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0,00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376,00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10 642,67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Contingencia (10 %)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37,60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1 064,27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413,60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11 706,93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4.3 Factibilidad Operativa</w:t>
      </w:r>
    </w:p>
    <w:p w:rsidR="00000000" w:rsidDel="00000000" w:rsidP="00000000" w:rsidRDefault="00000000" w:rsidRPr="00000000" w14:paraId="000001BD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flujo operativo es sencillo para el usuario: cargar un proyecto autorizado, esperar el análisis, revisar hallazgos filtrables y descargar el informe. El usuario no necesita instalar Python ni Node.js, porque el procesamiento se ejecutará en el servidor. La operación interna exige actualizar reglas, respaldar el repositorio, revisar métricas y atender fallos del parser.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Tabla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Interesados operativos</w:t>
      </w:r>
      <w:r w:rsidDel="00000000" w:rsidR="00000000" w:rsidRPr="00000000">
        <w:rPr>
          <w:rtl w:val="0"/>
        </w:rPr>
      </w:r>
    </w:p>
    <w:tbl>
      <w:tblPr>
        <w:tblStyle w:val="Table12"/>
        <w:tblW w:w="8504.0" w:type="dxa"/>
        <w:jc w:val="center"/>
        <w:tblLayout w:type="fixed"/>
        <w:tblLook w:val="0400"/>
      </w:tblPr>
      <w:tblGrid>
        <w:gridCol w:w="4252"/>
        <w:gridCol w:w="4252"/>
        <w:tblGridChange w:id="0">
          <w:tblGrid>
            <w:gridCol w:w="4252"/>
            <w:gridCol w:w="425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Interesado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Equipo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Desarrolla, prueba, documenta y mantiene el MVP.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Docente del 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 entregables, alcance, trazabilidad y calidad académica.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Estudiante o desarrollador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Carga código autorizado y aplica recomendaciones.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Revisor de calidad o 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Interpreta evidencia, valida hallazgos y decide remediación.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del piloto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 despliegue, copias de seguridad, límites y actualizaciones.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Titular del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Autoriza el análisis y define las restricciones de confidencialidad.</w:t>
            </w:r>
          </w:p>
        </w:tc>
      </w:tr>
    </w:tbl>
    <w:p w:rsidR="00000000" w:rsidDel="00000000" w:rsidP="00000000" w:rsidRDefault="00000000" w:rsidRPr="00000000" w14:paraId="000001CE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capacidad de mantenimiento es suficiente para un piloto académico siempre que el catálogo esté versionado, las reglas dispongan de pruebas automatizadas y se reserve al menos cuatro horas mensuales para correcciones y actualización. La factibilidad operativa se califica con 3,8 de 5 y depende de una guía de interpretación, roles claros y respaldo del conocimiento entre ambos integrantes.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4.4 Factibilidad Legal</w:t>
      </w:r>
    </w:p>
    <w:p w:rsidR="00000000" w:rsidDel="00000000" w:rsidP="00000000" w:rsidRDefault="00000000" w:rsidRPr="00000000" w14:paraId="000001D0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análisis es académico y preliminar; no constituye asesoría legal. El proyecto puede operar legalmente si limita el tratamiento a código autorizado, informa la finalidad, minimiza la retención y respeta propiedad intelectual y licencias. La Ley N.° 29733 protege los datos personales y su reglamento vigente, aprobado mediante Decreto Supremo N.° 016-2024-JUS, establece obligaciones para su tratamiento. Estas normas pueden resultar aplicables cuando los archivos o metadatos </w:t>
      </w:r>
      <w:r w:rsidDel="00000000" w:rsidR="00000000" w:rsidRPr="00000000">
        <w:rPr>
          <w:rtl w:val="0"/>
        </w:rPr>
        <w:t xml:space="preserve">contienen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nombres, correos, identificadores u otra información personal (Congreso de la República del Perú, 2011; Ministerio de Justicia y Derechos Humanos, 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Decreto Legislativo N.° 822 protege los programas de ordenador y demás obras. Por ello, el sistema deberá exigir que quien carga un proyecto sea titular o cuente con autorización; no debe reutilizar, publicar ni conservar el código con fines diferentes al análisis solicitado (Perú, 1996).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Respecto de la marca, OWASP Foundation no permite que su nombre se utilice como nombre de producto y prohíbe sugerir respaldo, recomendación o cumplimiento. La marca puede mencionarse en una evaluación cuando se publica una metodología reproducible. En consecuencia, el producto deberá adoptar una marca propia, usar “basado en OWASP Top 10:2025” solo como descripción y mostrar una declaración de no afiliación y no certificación (OWASP Foundation, 2020,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Tabla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Condiciones legales y de cumplimiento</w:t>
      </w:r>
      <w:r w:rsidDel="00000000" w:rsidR="00000000" w:rsidRPr="00000000">
        <w:rPr>
          <w:rtl w:val="0"/>
        </w:rPr>
      </w:r>
    </w:p>
    <w:tbl>
      <w:tblPr>
        <w:tblStyle w:val="Table13"/>
        <w:tblW w:w="8505.0" w:type="dxa"/>
        <w:jc w:val="center"/>
        <w:tblLayout w:type="fixed"/>
        <w:tblLook w:val="0400"/>
      </w:tblPr>
      <w:tblGrid>
        <w:gridCol w:w="2835"/>
        <w:gridCol w:w="2835"/>
        <w:gridCol w:w="2835"/>
        <w:tblGridChange w:id="0">
          <w:tblGrid>
            <w:gridCol w:w="2835"/>
            <w:gridCol w:w="2835"/>
            <w:gridCol w:w="283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Medida del proyecto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Protección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Ley N.° 29733 y D. S. N.° 016-2024-JUS.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Aviso de privacidad, finalidad, autorización, minimización, seguridad y eliminación.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Propiedad intelectual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Decreto Legislativo N.° 822.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Analizar únicamente código propio o autorizado; no redistribuirlo.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Marca OWASP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Branding Guidelines y Word Mark Usage Guidelines.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Marca propia; atribución; metodología reproducible; no respaldo ni certificación.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Licencias de terceros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Licencias de Python, Flask, Babel y demás dependencias.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Inventario de dependencias y conservación de avisos/licencias.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Evidencia y secretos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Buenas prácticas de confidencialidad.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Enmascarar secretos, no registrar código y limitar el acceso al reporte.</w:t>
            </w:r>
          </w:p>
        </w:tc>
      </w:tr>
    </w:tbl>
    <w:p w:rsidR="00000000" w:rsidDel="00000000" w:rsidP="00000000" w:rsidRDefault="00000000" w:rsidRPr="00000000" w14:paraId="000001E7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dimensión legal obtiene 3,0 de 5 —viabilidad restringida— porque la solución es posible, pero su publicación debe condicionarse al cambio de nombre, el protocolo de privacidad, el consentimiento o autorización de carga y la comunicación exacta del alcance.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4.5 Factibilidad Social</w:t>
      </w:r>
    </w:p>
    <w:p w:rsidR="00000000" w:rsidDel="00000000" w:rsidP="00000000" w:rsidRDefault="00000000" w:rsidRPr="00000000" w14:paraId="000001E9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impacto social esperado es positivo: el sistema puede fortalecer el aprendizaje de seguridad, hacer visibles riesgos que normalmente se revisan tarde y ofrecer recomendaciones comprensibles para equipos con recursos limitados. También fomenta una cultura de prevención y revisión temprana.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principales riesgos sociales son el uso punitivo del puntaje, la falsa confianza en un resultado alto y la percepción de que el analizador evalúa la capacidad individual del programador. Para reducirlos, el informe debe centrarse en evidencias del código, separar severidad y confianza, permitir revisión humana y prohibir decisiones disciplinarias automáticas basadas únicamente en el índice.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  <w:rtl w:val="0"/>
        </w:rPr>
        <w:t xml:space="preserve">Lenguaje de reporte claro, respetuoso y orientado a la remediación.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  <w:rtl w:val="0"/>
        </w:rPr>
        <w:t xml:space="preserve">Transparencia sobre reglas ejecutadas, cobertura y limitaciones.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  <w:rtl w:val="0"/>
        </w:rPr>
        <w:t xml:space="preserve">No comparar ni clasificar públicamente a estudiantes o desarrolladores.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  <w:rtl w:val="0"/>
        </w:rPr>
        <w:t xml:space="preserve">Acceso restringido a los resultados y protección del código cargado.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97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  <w:rtl w:val="0"/>
        </w:rPr>
        <w:t xml:space="preserve">Mecanismo para marcar falsos positivos y mejorar las reglas.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estas medidas, la factibilidad social se valora con 4,4 de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4.6 Factibilidad Ambiental</w:t>
      </w:r>
    </w:p>
    <w:p w:rsidR="00000000" w:rsidDel="00000000" w:rsidP="00000000" w:rsidRDefault="00000000" w:rsidRPr="00000000" w14:paraId="000001F2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no requiere adquirir hardware nuevo para el MVP, por lo que aprovecha equipos existentes y evita un impacto material adicional. El análisis se ejecutará bajo demanda, con límites de CPU, memoria, tamaño y tiempo; los archivos temporales se eliminarán al terminar y no se mantendrá un historial completo del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operación deberá privilegiar repositorios y documentación digital, ajustar la capacidad del servidor al uso real y evitar procesos de análisis repetidos sin cambios. Al final de la vida útil de los equipos, su disposición debe considerar el Régimen Especial de Gestión y Manejo de Residuos de Aparatos Eléctricos y Electrónicos aprobado por el Decreto Supremo N.° 009-2019-MINAM (Ministerio del Ambiente, 2019).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dimensión ambiental obtiene 4,5 de 5, condicionada a cuotas de recursos, borrado temprano y gestión responsable de equipos.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Análisis Financiero</w:t>
      </w:r>
    </w:p>
    <w:p w:rsidR="00000000" w:rsidDel="00000000" w:rsidP="00000000" w:rsidRDefault="00000000" w:rsidRPr="00000000" w14:paraId="000001F6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análisis financiero no supone ventas ni ingresos comerciales. El beneficio se modela como tiempo de revisión manual evitado en un escenario de uso institucional recurrente. Debido a que el producto aún no existe, todas las cifras son proyecciones que deben comprobarse mediante un piloto. El horizonte utilizado es de tres años y el costo de oportunidad de capital (COK) asumido es 10 % 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Tabla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Supuestos del escenario financiero base</w:t>
      </w:r>
      <w:r w:rsidDel="00000000" w:rsidR="00000000" w:rsidRPr="00000000">
        <w:rPr>
          <w:rtl w:val="0"/>
        </w:rPr>
      </w:r>
    </w:p>
    <w:tbl>
      <w:tblPr>
        <w:tblStyle w:val="Table14"/>
        <w:tblW w:w="8505.0" w:type="dxa"/>
        <w:jc w:val="center"/>
        <w:tblLayout w:type="fixed"/>
        <w:tblLook w:val="0400"/>
      </w:tblPr>
      <w:tblGrid>
        <w:gridCol w:w="2835"/>
        <w:gridCol w:w="2835"/>
        <w:gridCol w:w="2835"/>
        <w:tblGridChange w:id="0">
          <w:tblGrid>
            <w:gridCol w:w="2835"/>
            <w:gridCol w:w="2835"/>
            <w:gridCol w:w="2835"/>
          </w:tblGrid>
        </w:tblGridChange>
      </w:tblGrid>
      <w:tr>
        <w:trPr>
          <w:cantSplit w:val="1"/>
          <w:trHeight w:val="521.98242187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Interpretación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Inversión económica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11 706,93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Incluye tiempo, equipos y contingencia.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esperados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proyectos/mes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Demanda hipotética a validar.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Ahorro por análisis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2,5 horas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Comparación prevista frente a revisión manual.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de hora de 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25,00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interno del tiempo del revisor.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Beneficio bruto 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9 000,00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× 12 × 2,5 × S/ 25.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Costo operativo 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1 308,00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Mantenimiento e infraestructura.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Beneficio neto 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7 692,00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Beneficio bruto menos costo operativo.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Horizonte / COK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años / 10 %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Supuestos para VAN y B/C.</w:t>
            </w:r>
          </w:p>
        </w:tc>
      </w:tr>
    </w:tbl>
    <w:p w:rsidR="00000000" w:rsidDel="00000000" w:rsidP="00000000" w:rsidRDefault="00000000" w:rsidRPr="00000000" w14:paraId="0000021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 Justificación de la Inversión</w:t>
      </w:r>
    </w:p>
    <w:p w:rsidR="00000000" w:rsidDel="00000000" w:rsidP="00000000" w:rsidRDefault="00000000" w:rsidRPr="00000000" w14:paraId="0000021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inversión se justifica si la herramienta se usa de forma recurrente y reduce trabajo manual sin deteriorar la calidad de la revisión. El desembolso de caja es bajo, pero el costo económico del tiempo del equipo es significativo; por ello, el control del alcance y la reutilización de la arquitectura son esenciales.</w:t>
      </w:r>
    </w:p>
    <w:p w:rsidR="00000000" w:rsidDel="00000000" w:rsidP="00000000" w:rsidRDefault="00000000" w:rsidRPr="00000000" w14:paraId="00000216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5.1.1 Beneficios del Proyecto</w:t>
      </w:r>
    </w:p>
    <w:p w:rsidR="00000000" w:rsidDel="00000000" w:rsidP="00000000" w:rsidRDefault="00000000" w:rsidRPr="00000000" w14:paraId="000002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Tabla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Beneficios tangibles e intangibles</w:t>
      </w:r>
      <w:r w:rsidDel="00000000" w:rsidR="00000000" w:rsidRPr="00000000">
        <w:rPr>
          <w:rtl w:val="0"/>
        </w:rPr>
      </w:r>
    </w:p>
    <w:tbl>
      <w:tblPr>
        <w:tblStyle w:val="Table15"/>
        <w:tblW w:w="8505.0" w:type="dxa"/>
        <w:jc w:val="center"/>
        <w:tblLayout w:type="fixed"/>
        <w:tblLook w:val="0400"/>
      </w:tblPr>
      <w:tblGrid>
        <w:gridCol w:w="2835"/>
        <w:gridCol w:w="2835"/>
        <w:gridCol w:w="2835"/>
        <w:tblGridChange w:id="0">
          <w:tblGrid>
            <w:gridCol w:w="2835"/>
            <w:gridCol w:w="2835"/>
            <w:gridCol w:w="2835"/>
          </w:tblGrid>
        </w:tblGridChange>
      </w:tblGrid>
      <w:tr>
        <w:trPr>
          <w:cantSplit w:val="1"/>
          <w:trHeight w:val="356.98242187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Beneficio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Medición o efecto esperado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Ahorro de horas de revisión manual.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9 000 brutos anuales en el escenario base.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Reducción de retrabajo por detección temprana.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cuantificado; se medirá en el piloto.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Reutilización de reglas, corpus y arquitectura.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Reduce el costo de futuras ampliaciones.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Intangible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Mejora del aprendizaje y cultura de seguridad.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Mayor comprensión de causas y remediaciones.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Intangible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Trazabilidad y consistencia de la evaluación.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Criterios versionados y evidencia reproducible.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Intangible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Confianza informada.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Separa cumplimiento, cobertura, severidad y confianza.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Intangible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Apoyo a la toma de decisiones.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Prioriza hallazgos y controles que requieren revisión humana.</w:t>
            </w:r>
          </w:p>
        </w:tc>
      </w:tr>
    </w:tbl>
    <w:p w:rsidR="00000000" w:rsidDel="00000000" w:rsidP="00000000" w:rsidRDefault="00000000" w:rsidRPr="00000000" w14:paraId="000002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Tabla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Flujo económico simplificado del escenario base</w:t>
      </w:r>
      <w:r w:rsidDel="00000000" w:rsidR="00000000" w:rsidRPr="00000000">
        <w:rPr>
          <w:rtl w:val="0"/>
        </w:rPr>
      </w:r>
    </w:p>
    <w:tbl>
      <w:tblPr>
        <w:tblStyle w:val="Table16"/>
        <w:tblW w:w="8504.0" w:type="dxa"/>
        <w:jc w:val="center"/>
        <w:tblLayout w:type="fixed"/>
        <w:tblLook w:val="0400"/>
      </w:tblPr>
      <w:tblGrid>
        <w:gridCol w:w="2126"/>
        <w:gridCol w:w="2126"/>
        <w:gridCol w:w="2126"/>
        <w:gridCol w:w="2126"/>
        <w:tblGridChange w:id="0">
          <w:tblGrid>
            <w:gridCol w:w="2126"/>
            <w:gridCol w:w="2126"/>
            <w:gridCol w:w="2126"/>
            <w:gridCol w:w="21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Flujo neto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11 706,93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−S/ 11 706,93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9 000,00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1 308,00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7 692,00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9 000,00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1 308,00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7 692,00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9 000,00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1 308,00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7 692,00</w:t>
            </w:r>
          </w:p>
        </w:tc>
      </w:tr>
    </w:tbl>
    <w:p w:rsidR="00000000" w:rsidDel="00000000" w:rsidP="00000000" w:rsidRDefault="00000000" w:rsidRPr="00000000" w14:paraId="0000024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5.1.2 Criterios de Inversión</w:t>
      </w:r>
    </w:p>
    <w:p w:rsidR="00000000" w:rsidDel="00000000" w:rsidP="00000000" w:rsidRDefault="00000000" w:rsidRPr="00000000" w14:paraId="0000024B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los supuestos anteriores, el proyecto supera los tres criterios financieros del formato. La relación B/C es mayor que 1, el VAN es positivo y la TIR supera el COK de 10 %. El periodo de recuperación económico estimado </w:t>
      </w:r>
      <w:r w:rsidDel="00000000" w:rsidR="00000000" w:rsidRPr="00000000">
        <w:rPr>
          <w:rtl w:val="0"/>
        </w:rPr>
        <w:t xml:space="preserve">es de 18,26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meses, dentro del máximo interno de 24 meses. El punto de equilibrio se alcanza aproximadamente al análisis número 220, considerando el beneficio neto por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5.1.2.1 Relación Beneficio/Costo (B/C)</w:t>
      </w:r>
    </w:p>
    <w:p w:rsidR="00000000" w:rsidDel="00000000" w:rsidP="00000000" w:rsidRDefault="00000000" w:rsidRPr="00000000" w14:paraId="0000024D">
      <w:pPr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relación se calculó como el valor presente de los beneficios brutos dividido entre el valor presente de la inversión inicial y los costos operativos. A una tasa de 10 % y tres años: B/C = S/ 22 381,67 ÷ S/ 14 959,74 = 1,50. Al ser mayor que 1, el escenario base resulta aceptable.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5.1.2.2 Valor Actual Neto (VAN)</w:t>
      </w:r>
    </w:p>
    <w:p w:rsidR="00000000" w:rsidDel="00000000" w:rsidP="00000000" w:rsidRDefault="00000000" w:rsidRPr="00000000" w14:paraId="0000024F">
      <w:pPr>
        <w:ind w:firstLine="0"/>
        <w:jc w:val="both"/>
        <w:rPr/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VAN = −S/ 11 706,93 + Σ[S/ 7 692,00 ÷ (1 + 0,10)ᵗ], para t = 1…3. El resultado es VAN = S/ 7 421,93. Al ser positivo, el proyecto genera valor económico bajo los supuestos del escenario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5.1.2.3 Tasa Interna de Retorno (TIR)</w:t>
      </w:r>
    </w:p>
    <w:p w:rsidR="00000000" w:rsidDel="00000000" w:rsidP="00000000" w:rsidRDefault="00000000" w:rsidRPr="00000000" w14:paraId="00000251">
      <w:pPr>
        <w:ind w:firstLine="0"/>
        <w:jc w:val="both"/>
        <w:rPr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La tasa que hace igual a cero el VAN de los flujos −S/ 11 706,93; S/ 7 692,00; S/ 7 692,00; S/ 7 692,00 es aproximadamente 43,44 %. Como supera el COK supuesto de 10 %, el escenario base es financieramente aceptable.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Tabla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Resultado de los criterios de inversión</w:t>
      </w:r>
      <w:r w:rsidDel="00000000" w:rsidR="00000000" w:rsidRPr="00000000">
        <w:rPr>
          <w:rtl w:val="0"/>
        </w:rPr>
      </w:r>
    </w:p>
    <w:tbl>
      <w:tblPr>
        <w:tblStyle w:val="Table17"/>
        <w:tblW w:w="8520.0" w:type="dxa"/>
        <w:jc w:val="center"/>
        <w:tblLayout w:type="fixed"/>
        <w:tblLook w:val="0400"/>
      </w:tblPr>
      <w:tblGrid>
        <w:gridCol w:w="2280"/>
        <w:gridCol w:w="1980"/>
        <w:gridCol w:w="2130"/>
        <w:gridCol w:w="2130"/>
        <w:tblGridChange w:id="0">
          <w:tblGrid>
            <w:gridCol w:w="2280"/>
            <w:gridCol w:w="1980"/>
            <w:gridCol w:w="2130"/>
            <w:gridCol w:w="21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Relación B/C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Aceptar si B/C &gt;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Favorable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 7 421,93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Aceptar si VAN &gt;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Favorable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43,44 %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Aceptar si TIR &gt; COK (10 %)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Favorable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Recuperación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18,26 meses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Máximo interno: 24 meses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Favorable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Punto de equilibrio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220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Requiere uso recurrente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0d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Validar en piloto</w:t>
            </w:r>
          </w:p>
        </w:tc>
      </w:tr>
    </w:tbl>
    <w:p w:rsidR="00000000" w:rsidDel="00000000" w:rsidP="00000000" w:rsidRDefault="00000000" w:rsidRPr="00000000" w14:paraId="0000026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Conclusiones</w:t>
      </w:r>
    </w:p>
    <w:p w:rsidR="00000000" w:rsidDel="00000000" w:rsidP="00000000" w:rsidRDefault="00000000" w:rsidRPr="00000000" w14:paraId="0000026D">
      <w:pPr>
        <w:spacing w:after="40" w:line="360" w:lineRule="auto"/>
        <w:ind w:left="454" w:hanging="31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1) El proyecto es viable con condiciones. La evaluación integral alcanza 3,94 de 5, equivalente a 78,8 %, y recomienda aprobar el MVP sujeto a puertas de control técnicas, legales y de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40" w:line="360" w:lineRule="auto"/>
        <w:ind w:left="454" w:hanging="31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2) La factibilidad técnica es favorable porque existen parsers y herramientas de código abierto, pero las 27 reglas deben implementarse por fases. El análisis estático no puede resolver por sí solo diseño, lógica de negocio ni controles externos al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40" w:line="360" w:lineRule="auto"/>
        <w:ind w:left="454" w:hanging="31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3) La factibilidad económica es favorable por el bajo desembolso efectivo estimado de S/ 413,60. Sin embargo, el costo económico asciende a S/ 11 706,93 y evidencia que el recurso principal es el tiempo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40" w:line="360" w:lineRule="auto"/>
        <w:ind w:left="454" w:hanging="31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4) La factibilidad operativa requiere un catálogo versionado, una guía de interpretación, respaldo del conocimiento y un corpus mínimo de pruebas. El código cargado debe tratarse como contenido no confiable y efímero.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40" w:line="360" w:lineRule="auto"/>
        <w:ind w:left="454" w:hanging="31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5) La publicación está legalmente condicionada a utilizar una marca propia, no prometer certificación OWASP, analizar solo código autorizado y aplicar medidas de privacidad, confidencialidad y propiedad intelectual.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40" w:line="360" w:lineRule="auto"/>
        <w:ind w:left="454" w:hanging="31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6) El escenario financiero base presenta B/C de 1,50, VAN de S/ 7 421,93 y TIR de 43,44 %, pero estos resultados dependen de hipótesis aún no observadas. Antes de ampliar lenguajes, reglas o infraestructura, un piloto debe demostrar precisión, recall, frecuencia de uso y ahorro real de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40" w:line="360" w:lineRule="auto"/>
        <w:ind w:left="454" w:hanging="31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7) Las cinco decisiones obligatorias son: definir una identidad propia; comunicar un índice interno y no una certificación; clasificar controles por automatización; asegurar la carga y eliminación de archivos; y validar calidad y beneficio con evidencia empírica.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Referencias</w:t>
      </w:r>
    </w:p>
    <w:p w:rsidR="00000000" w:rsidDel="00000000" w:rsidP="00000000" w:rsidRDefault="00000000" w:rsidRPr="00000000" w14:paraId="00000275">
      <w:pPr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presenta una lista única de referencias conforme al criterio general de APA 7. Las fuentes web y precios deberán revisarse nuevamente antes de la entrega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Babel. (2026). @babel/parser.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https://babeljs.io/docs/babel-parser/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Congreso de la República del Perú. (2011). Ley N.° 29733, Ley de Protección de Datos Personales.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https://www.gob.pe/institucion/congreso/normas-legales/243470-29733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Esteban Ramos, A. C., &amp; Alvarado Urbano, S. J. (2026a). Catálogo técnico de controles para un analizador estático basado en OWASP Top 10:2025 (versión 1.1) [Documento de trabajo no publicado].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Esteban Ramos, A. C., &amp; Alvarado Urbano, S. J. (2026b). Estudio de factibilidad del analizador estático [Modelo financiero y de riesgos no publicado].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GitHub. (2026). GitHub’s plans.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https://docs.github.com/en/get-started/learning-about-github/githubs-plans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Ministerio de Justicia y Derechos Humanos. (2024). Decreto Supremo N.° 016-2024-JUS, Reglamento de la Ley N.° 29733.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https://www.gob.pe/institucion/anpd/normas-legales/6554453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Ministerio del Ambiente. (2019). Decreto Supremo N.° 009-2019-MINAM: Régimen Especial de Gestión y Manejo de Residuos de Aparatos Eléctricos y Electrónicos.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https://www.gob.pe/institucion/minam/normas-legales/354138-009-2019-minam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OWASP Foundation. (2020). Branding guidelines.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https://policy.owasp.org/operational/branding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OWASP Foundation. (2025). OWASP Top 10:2025.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https://owasp.org/Top10/2025/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OWASP Foundation. (2026). OWASP Word Mark Usage Guidelines.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https://policy.owasp.org/operational/mark-usage-guidelines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Perú. (1996). Decreto Legislativo N.° 822, Ley sobre el Derecho de Autor.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https://www.leyes.congreso.gob.pe/DetLeyNume_1p.aspx?xNorma=3&amp;xNumero=822&amp;xTipoNorma=3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Software Foundation. (2026). ast — Abstract syntax trees.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https://docs.python.org/3/library/ast.html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Railway. (2026). Pricing plans.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https://docs.railway.com/pricing/plans</w:t>
        </w:r>
      </w:hyperlink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headerReference r:id="rId21" w:type="even"/>
      <w:footerReference r:id="rId22" w:type="default"/>
      <w:footerReference r:id="rId23" w:type="first"/>
      <w:footerReference r:id="rId24" w:type="even"/>
      <w:pgSz w:h="16838" w:w="11906" w:orient="portrait"/>
      <w:pgMar w:bottom="1417" w:top="1417" w:left="1701" w:right="1701" w:header="454" w:footer="62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8"/>
      <w:tblW w:w="8504.0" w:type="dxa"/>
      <w:jc w:val="center"/>
      <w:tblLayout w:type="fixed"/>
      <w:tblLook w:val="0400"/>
    </w:tblPr>
    <w:tblGrid>
      <w:gridCol w:w="737"/>
      <w:gridCol w:w="7767"/>
      <w:tblGridChange w:id="0">
        <w:tblGrid>
          <w:gridCol w:w="737"/>
          <w:gridCol w:w="7767"/>
        </w:tblGrid>
      </w:tblGridChange>
    </w:tblGrid>
    <w:tr>
      <w:trPr>
        <w:cantSplit w:val="0"/>
        <w:tblHeader w:val="0"/>
      </w:trPr>
      <w:tc>
        <w:tcPr>
          <w:tcBorders>
            <w:bottom w:color="1f4e78" w:space="0" w:sz="8" w:val="single"/>
          </w:tcBorders>
          <w:tcMar>
            <w:top w:w="0.0" w:type="dxa"/>
            <w:bottom w:w="20.0" w:type="dxa"/>
          </w:tcMar>
        </w:tcPr>
        <w:p w:rsidR="00000000" w:rsidDel="00000000" w:rsidP="00000000" w:rsidRDefault="00000000" w:rsidRPr="00000000" w14:paraId="00000284">
          <w:pPr>
            <w:jc w:val="left"/>
            <w:rPr/>
          </w:pPr>
          <w:r w:rsidDel="00000000" w:rsidR="00000000" w:rsidRPr="00000000">
            <w:rPr/>
            <w:drawing>
              <wp:inline distB="0" distT="0" distL="114300" distR="114300">
                <wp:extent cx="200172" cy="270000"/>
                <wp:effectExtent b="0" l="0" r="0" t="0"/>
                <wp:docPr descr="Escudo institucional de la Universidad Privada de Tacna" id="4" name="image1.png"/>
                <a:graphic>
                  <a:graphicData uri="http://schemas.openxmlformats.org/drawingml/2006/picture">
                    <pic:pic>
                      <pic:nvPicPr>
                        <pic:cNvPr descr="Escudo institucional de la Universidad Privada de Tacna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172" cy="27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8" w:val="single"/>
          </w:tcBorders>
          <w:tcMar>
            <w:top w:w="0.0" w:type="dxa"/>
            <w:bottom w:w="20.0" w:type="dxa"/>
          </w:tcMar>
        </w:tcPr>
        <w:p w:rsidR="00000000" w:rsidDel="00000000" w:rsidP="00000000" w:rsidRDefault="00000000" w:rsidRPr="00000000" w14:paraId="00000285">
          <w:pPr>
            <w:spacing w:line="240" w:lineRule="auto"/>
            <w:ind w:firstLine="0"/>
            <w:jc w:val="righ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color w:val="1f4e78"/>
              <w:rtl w:val="0"/>
            </w:rPr>
            <w:t xml:space="preserve">Escuela Profesional de Ingeniería de Sistemas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8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20" w:before="360" w:line="276" w:lineRule="auto"/>
      <w:ind w:firstLine="0"/>
    </w:pPr>
    <w:rPr>
      <w:rFonts w:ascii="Times New Roman" w:cs="Times New Roman" w:eastAsia="Times New Roman" w:hAnsi="Times New Roman"/>
      <w:b w:val="1"/>
      <w:bCs w:val="1"/>
      <w:i w:val="0"/>
      <w:iCs w:val="0"/>
      <w:color w:val="0b2e5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276" w:lineRule="auto"/>
      <w:ind w:firstLine="0"/>
    </w:pPr>
    <w:rPr>
      <w:rFonts w:ascii="Times New Roman" w:cs="Times New Roman" w:eastAsia="Times New Roman" w:hAnsi="Times New Roman"/>
      <w:b w:val="1"/>
      <w:bCs w:val="1"/>
      <w:i w:val="0"/>
      <w:iCs w:val="0"/>
      <w:color w:val="1f4e78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="276" w:lineRule="auto"/>
      <w:ind w:firstLine="0"/>
    </w:pPr>
    <w:rPr>
      <w:rFonts w:ascii="Times New Roman" w:cs="Times New Roman" w:eastAsia="Times New Roman" w:hAnsi="Times New Roman"/>
      <w:b w:val="1"/>
      <w:bCs w:val="1"/>
      <w:i w:val="1"/>
      <w:i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Bdr>
        <w:bottom w:color="4f81bd" w:space="4" w:sz="8" w:val="single"/>
      </w:pBdr>
      <w:spacing w:after="120" w:before="240" w:line="276" w:lineRule="auto"/>
      <w:ind w:firstLine="0"/>
    </w:pPr>
    <w:rPr>
      <w:rFonts w:ascii="Times New Roman" w:cs="Times New Roman" w:eastAsia="Times New Roman" w:hAnsi="Times New Roman"/>
      <w:b w:val="1"/>
      <w:bCs w:val="1"/>
      <w:i w:val="0"/>
      <w:iCs w:val="0"/>
      <w:color w:val="0b2e59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120" w:before="240" w:line="276" w:lineRule="auto"/>
      <w:ind w:firstLine="0"/>
    </w:pPr>
    <w:rPr>
      <w:rFonts w:ascii="Times New Roman" w:cs="Times New Roman" w:eastAsia="Times New Roman" w:hAnsi="Times New Roman"/>
      <w:b w:val="0"/>
      <w:bCs w:val="0"/>
      <w:i w:val="0"/>
      <w:iCs w:val="0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www.gob.pe/institucion/anpd/normas-legales/6554453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docs.github.com/en/get-started/learning-about-github/githubs-plans" TargetMode="External"/><Relationship Id="rId21" Type="http://schemas.openxmlformats.org/officeDocument/2006/relationships/header" Target="header3.xml"/><Relationship Id="rId13" Type="http://schemas.openxmlformats.org/officeDocument/2006/relationships/hyperlink" Target="https://policy.owasp.org/operational/branding" TargetMode="External"/><Relationship Id="rId24" Type="http://schemas.openxmlformats.org/officeDocument/2006/relationships/footer" Target="footer3.xml"/><Relationship Id="rId12" Type="http://schemas.openxmlformats.org/officeDocument/2006/relationships/hyperlink" Target="https://www.gob.pe/institucion/minam/normas-legales/354138-009-2019-minam" TargetMode="Externa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b.pe/institucion/congreso/normas-legales/243470-29733" TargetMode="External"/><Relationship Id="rId15" Type="http://schemas.openxmlformats.org/officeDocument/2006/relationships/hyperlink" Target="https://policy.owasp.org/operational/mark-usage-guidelines" TargetMode="External"/><Relationship Id="rId14" Type="http://schemas.openxmlformats.org/officeDocument/2006/relationships/hyperlink" Target="https://owasp.org/Top10/2025/" TargetMode="External"/><Relationship Id="rId17" Type="http://schemas.openxmlformats.org/officeDocument/2006/relationships/hyperlink" Target="https://docs.python.org/3/library/ast.html" TargetMode="External"/><Relationship Id="rId16" Type="http://schemas.openxmlformats.org/officeDocument/2006/relationships/hyperlink" Target="https://www.leyes.congreso.gob.pe/DetLeyNume_1p.aspx?xNorma=3&amp;xNumero=822&amp;xTipoNorma=3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docs.railway.com/pricing/plans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babeljs.io/docs/babel-parse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Etp5ZDD3aNl/LZkWrDzeZ6XlA==">CgMxLjA4AHIhMTIwM1BqUy1QX29JSUlyNm1teHRsN0Y4bzRGMUhCcjFv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