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drawing>
          <wp:inline>
            <wp:extent cx="2984500" cy="3810000"/>
            <wp:effectExtent b="0" l="0" r="0" t="0"/>
            <wp:docPr descr="" title="" id="20" name="Picture"/>
            <a:graphic>
              <a:graphicData uri="http://schemas.openxmlformats.org/drawingml/2006/picture">
                <pic:pic>
                  <pic:nvPicPr>
                    <pic:cNvPr descr="./media/logo-upt.png" id="21" name="Picture"/>
                    <pic:cNvPicPr>
                      <a:picLocks noChangeArrowheads="1" noChangeAspect="1"/>
                    </pic:cNvPicPr>
                  </pic:nvPicPr>
                  <pic:blipFill>
                    <a:blip r:embed="rId19"/>
                    <a:stretch>
                      <a:fillRect/>
                    </a:stretch>
                  </pic:blipFill>
                  <pic:spPr bwMode="auto">
                    <a:xfrm>
                      <a:off x="0" y="0"/>
                      <a:ext cx="2984500" cy="3810000"/>
                    </a:xfrm>
                    <a:prstGeom prst="rect">
                      <a:avLst/>
                    </a:prstGeom>
                    <a:noFill/>
                    <a:ln w="9525">
                      <a:noFill/>
                      <a:headEnd/>
                      <a:tailEnd/>
                    </a:ln>
                  </pic:spPr>
                </pic:pic>
              </a:graphicData>
            </a:graphic>
          </wp:inline>
        </w:drawing>
      </w:r>
    </w:p>
    <w:p>
      <w:pPr>
        <w:pStyle w:val="BodyText"/>
        <w:jc w:val="both"/>
      </w:pPr>
      <w:r>
        <w:rPr>
          <w:b/>
          <w:bCs/>
        </w:rPr>
        <w:t xml:space="preserve">UNIVERSIDAD PRIVADA DE TACNA</w:t>
      </w:r>
    </w:p>
    <w:p>
      <w:pPr>
        <w:pStyle w:val="BodyText"/>
        <w:jc w:val="both"/>
      </w:pPr>
      <w:r>
        <w:rPr>
          <w:b/>
          <w:bCs/>
        </w:rPr>
        <w:t xml:space="preserve">FACULTAD DE INGENIERIA</w:t>
      </w:r>
    </w:p>
    <w:p>
      <w:pPr>
        <w:pStyle w:val="BodyText"/>
        <w:jc w:val="both"/>
      </w:pPr>
      <w:r>
        <w:rPr>
          <w:b/>
          <w:bCs/>
        </w:rPr>
        <w:t xml:space="preserve">Escuela Profesional de Ingeniería de Sistemas</w:t>
      </w:r>
    </w:p>
    <w:p>
      <w:pPr>
        <w:pStyle w:val="BodyText"/>
        <w:jc w:val="both"/>
      </w:pPr>
      <w:r>
        <w:rPr>
          <w:b/>
          <w:bCs/>
        </w:rPr>
        <w:t xml:space="preserve">Proyecto</w:t>
      </w:r>
      <w:r>
        <w:rPr>
          <w:b/>
          <w:bCs/>
        </w:rPr>
        <w:t xml:space="preserve"> </w:t>
      </w:r>
      <w:r>
        <w:rPr>
          <w:b/>
          <w:bCs/>
          <w:i/>
          <w:iCs/>
        </w:rPr>
        <w:t xml:space="preserve">NotaryVerify</w:t>
      </w:r>
    </w:p>
    <w:p>
      <w:pPr>
        <w:pStyle w:val="BodyText"/>
        <w:jc w:val="both"/>
      </w:pPr>
      <w:r>
        <w:t xml:space="preserve">Curso:</w:t>
      </w:r>
      <w:r>
        <w:t xml:space="preserve"> </w:t>
      </w:r>
      <w:r>
        <w:rPr>
          <w:i/>
          <w:iCs/>
        </w:rPr>
        <w:t xml:space="preserve">Calidad y Pruebas de Software</w:t>
      </w:r>
    </w:p>
    <w:p>
      <w:pPr>
        <w:pStyle w:val="BodyText"/>
        <w:jc w:val="both"/>
      </w:pPr>
      <w:r>
        <w:t xml:space="preserve">Docente:</w:t>
      </w:r>
      <w:r>
        <w:t xml:space="preserve"> </w:t>
      </w:r>
      <w:r>
        <w:rPr>
          <w:i/>
          <w:iCs/>
        </w:rPr>
        <w:t xml:space="preserve">Patrick Jose Cuadros Quiroga</w:t>
      </w:r>
    </w:p>
    <w:p>
      <w:pPr>
        <w:pStyle w:val="BodyText"/>
        <w:jc w:val="both"/>
      </w:pPr>
      <w:r>
        <w:t xml:space="preserve">Integrantes:</w:t>
      </w:r>
    </w:p>
    <w:p>
      <w:pPr>
        <w:pStyle w:val="BodyText"/>
        <w:jc w:val="both"/>
      </w:pPr>
      <w:r>
        <w:rPr>
          <w:b/>
          <w:bCs/>
          <w:i/>
          <w:iCs/>
        </w:rPr>
        <w:t xml:space="preserve">Cohaila Alvarado, Gabriela Estefania (2022075746)</w:t>
      </w:r>
    </w:p>
    <w:p>
      <w:pPr>
        <w:pStyle w:val="BodyText"/>
        <w:jc w:val="both"/>
      </w:pPr>
      <w:r>
        <w:rPr>
          <w:b/>
          <w:bCs/>
          <w:i/>
          <w:iCs/>
        </w:rPr>
        <w:t xml:space="preserve">Vargas Luque, Jhony (2022075754)</w:t>
      </w:r>
    </w:p>
    <w:p>
      <w:pPr>
        <w:pStyle w:val="BodyText"/>
        <w:jc w:val="both"/>
      </w:pPr>
      <w:r>
        <w:rPr>
          <w:b/>
          <w:bCs/>
        </w:rPr>
        <w:t xml:space="preserve">Tacna – Perú</w:t>
      </w:r>
    </w:p>
    <w:p>
      <w:pPr>
        <w:pStyle w:val="BodyText"/>
        <w:jc w:val="both"/>
      </w:pPr>
      <w:r>
        <w:rPr>
          <w:b/>
          <w:bCs/>
          <w:i/>
          <w:iCs/>
        </w:rPr>
        <w:t xml:space="preserve">2026</w:t>
      </w:r>
    </w:p>
    <w:p>
      <w:pPr>
        <w:pStyle w:val="BodyText"/>
        <w:jc w:val="both"/>
      </w:pPr>
      <w:r>
        <w:t xml:space="preserve">Sistema</w:t>
      </w:r>
      <w:r>
        <w:t xml:space="preserve"> </w:t>
      </w:r>
      <w:r>
        <w:rPr>
          <w:i/>
          <w:iCs/>
        </w:rPr>
        <w:t xml:space="preserve">NotaryVerify</w:t>
      </w:r>
    </w:p>
    <w:p>
      <w:pPr>
        <w:pStyle w:val="BodyText"/>
        <w:jc w:val="both"/>
      </w:pPr>
      <w:r>
        <w:t xml:space="preserve">Informe de Factibilidad</w:t>
      </w:r>
    </w:p>
    <w:p>
      <w:pPr>
        <w:pStyle w:val="BodyText"/>
        <w:jc w:val="both"/>
      </w:pPr>
      <w:r>
        <w:t xml:space="preserve">Versión</w:t>
      </w:r>
      <w:r>
        <w:t xml:space="preserve"> </w:t>
      </w:r>
      <w:r>
        <w:rPr>
          <w:i/>
          <w:iCs/>
        </w:rPr>
        <w:t xml:space="preserve">1.0</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D9D9"/>
          </w:tcPr>
          <w:p>
            <w:pPr>
              <w:pStyle w:val="Compact"/>
              <w:jc w:val="center"/>
            </w:pPr>
            <w:r>
              <w:rPr>
                <w:b/>
              </w:rPr>
              <w:t xml:space="preserve">CONTROL DE VERSIONES</w:t>
            </w: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r>
      <w:tr>
        <w:tc>
          <w:tcPr/>
          <w:p>
            <w:pPr>
              <w:pStyle w:val="Compact"/>
              <w:jc w:val="center"/>
            </w:pPr>
            <w:r>
              <w:t xml:space="preserve">Versión</w:t>
            </w:r>
          </w:p>
        </w:tc>
        <w:tc>
          <w:tcPr/>
          <w:p>
            <w:pPr>
              <w:pStyle w:val="Compact"/>
              <w:jc w:val="left"/>
            </w:pPr>
            <w:r>
              <w:t xml:space="preserve">Hecha por</w:t>
            </w:r>
          </w:p>
        </w:tc>
        <w:tc>
          <w:tcPr/>
          <w:p>
            <w:pPr>
              <w:pStyle w:val="Compact"/>
              <w:jc w:val="left"/>
            </w:pPr>
            <w:r>
              <w:t xml:space="preserve">Revisada por</w:t>
            </w:r>
          </w:p>
        </w:tc>
        <w:tc>
          <w:tcPr/>
          <w:p>
            <w:pPr>
              <w:pStyle w:val="Compact"/>
              <w:jc w:val="left"/>
            </w:pPr>
            <w:r>
              <w:t xml:space="preserve">Aprobada por</w:t>
            </w:r>
          </w:p>
        </w:tc>
        <w:tc>
          <w:tcPr/>
          <w:p>
            <w:pPr>
              <w:pStyle w:val="Compact"/>
              <w:jc w:val="left"/>
            </w:pPr>
            <w:r>
              <w:t xml:space="preserve">Fecha</w:t>
            </w:r>
          </w:p>
        </w:tc>
        <w:tc>
          <w:tcPr/>
          <w:p>
            <w:pPr>
              <w:pStyle w:val="Compact"/>
              <w:jc w:val="left"/>
            </w:pPr>
            <w:r>
              <w:t xml:space="preserve">Motivo</w:t>
            </w:r>
          </w:p>
        </w:tc>
      </w:tr>
      <w:tr>
        <w:tc>
          <w:tcPr/>
          <w:p>
            <w:pPr>
              <w:pStyle w:val="Compact"/>
              <w:jc w:val="center"/>
            </w:pPr>
            <w:r>
              <w:t xml:space="preserve">1.0</w:t>
            </w:r>
          </w:p>
        </w:tc>
        <w:tc>
          <w:tcPr/>
          <w:p>
            <w:pPr>
              <w:pStyle w:val="Compact"/>
              <w:jc w:val="left"/>
            </w:pPr>
            <w:r>
              <w:t xml:space="preserve">GC, JV</w:t>
            </w:r>
          </w:p>
        </w:tc>
        <w:tc>
          <w:tcPr/>
          <w:p>
            <w:pPr>
              <w:pStyle w:val="Compact"/>
              <w:jc w:val="left"/>
            </w:pPr>
            <w:r>
              <w:t xml:space="preserve">PJCQ</w:t>
            </w:r>
          </w:p>
        </w:tc>
        <w:tc>
          <w:tcPr/>
          <w:p>
            <w:pPr>
              <w:pStyle w:val="Compact"/>
              <w:jc w:val="left"/>
            </w:pPr>
            <w:r>
              <w:t xml:space="preserve">PJCQ</w:t>
            </w:r>
          </w:p>
        </w:tc>
        <w:tc>
          <w:tcPr/>
          <w:p>
            <w:pPr>
              <w:pStyle w:val="Compact"/>
              <w:jc w:val="left"/>
            </w:pPr>
            <w:r>
              <w:t xml:space="preserve">25/08/2026</w:t>
            </w:r>
          </w:p>
        </w:tc>
        <w:tc>
          <w:tcPr/>
          <w:p>
            <w:pPr>
              <w:pStyle w:val="Compact"/>
              <w:jc w:val="left"/>
            </w:pPr>
            <w:r>
              <w:t xml:space="preserve">Versión Original</w:t>
            </w:r>
          </w:p>
        </w:tc>
      </w:tr>
    </w:tbl>
    <w:bookmarkStart w:id="22" w:name="indice-general"/>
    <w:p>
      <w:pPr>
        <w:pStyle w:val="Ttulo1"/>
      </w:pPr>
      <w:r>
        <w:rPr>
          <w:b/>
          <w:bCs/>
        </w:rPr>
        <w:t xml:space="preserve">INDICE GENERAL</w:t>
      </w:r>
    </w:p>
    <w:p>
      <w:pPr>
        <w:pStyle w:val="FirstParagraph"/>
        <w:jc w:val="both"/>
      </w:pPr>
      <w:hyperlink w:anchor="X27d5c2d465d3be4629dc437205264293ccf87df">
        <w:r>
          <w:rPr>
            <w:rStyle w:val="Hipervnculo"/>
          </w:rPr>
          <w:t xml:space="preserve">1. Descripción del Proyecto</w:t>
        </w:r>
      </w:hyperlink>
    </w:p>
    <w:p>
      <w:pPr>
        <w:pStyle w:val="BodyText"/>
        <w:jc w:val="both"/>
      </w:pPr>
      <w:hyperlink w:anchor="X46417e9cbb6ccf14448ca6d09f6c7ef53cc6270">
        <w:r>
          <w:rPr>
            <w:rStyle w:val="Hipervnculo"/>
          </w:rPr>
          <w:t xml:space="preserve">2. Riesgos</w:t>
        </w:r>
      </w:hyperlink>
    </w:p>
    <w:p>
      <w:pPr>
        <w:pStyle w:val="BodyText"/>
        <w:jc w:val="both"/>
      </w:pPr>
      <w:hyperlink w:anchor="Xf2b95d9687122d489c8d1eaf42c4cd900ae7fe9">
        <w:r>
          <w:rPr>
            <w:rStyle w:val="Hipervnculo"/>
          </w:rPr>
          <w:t xml:space="preserve">3. Análisis de la Situación actual</w:t>
        </w:r>
      </w:hyperlink>
    </w:p>
    <w:p>
      <w:pPr>
        <w:pStyle w:val="BodyText"/>
        <w:jc w:val="both"/>
      </w:pPr>
      <w:hyperlink w:anchor="X74a859d4ab22780ee9673630a62f818102c19c7">
        <w:r>
          <w:rPr>
            <w:rStyle w:val="Hipervnculo"/>
          </w:rPr>
          <w:t xml:space="preserve">4. Estudio de Factibilidad</w:t>
        </w:r>
      </w:hyperlink>
    </w:p>
    <w:p>
      <w:pPr>
        <w:pStyle w:val="BodyText"/>
        <w:jc w:val="both"/>
      </w:pPr>
      <w:hyperlink w:anchor="Xadd232290a00104f188cdf497b02ebf5c1a0c82">
        <w:r>
          <w:rPr>
            <w:rStyle w:val="Hipervnculo"/>
          </w:rPr>
          <w:t xml:space="preserve">4.1 Factibilidad Técnica</w:t>
        </w:r>
      </w:hyperlink>
    </w:p>
    <w:p>
      <w:pPr>
        <w:pStyle w:val="BodyText"/>
        <w:jc w:val="both"/>
      </w:pPr>
      <w:hyperlink w:anchor="Xf74965807a1bfbdea45902d0298566593011e15">
        <w:r>
          <w:rPr>
            <w:rStyle w:val="Hipervnculo"/>
          </w:rPr>
          <w:t xml:space="preserve">4.2 Factibilidad económica</w:t>
        </w:r>
      </w:hyperlink>
    </w:p>
    <w:p>
      <w:pPr>
        <w:pStyle w:val="BodyText"/>
        <w:jc w:val="both"/>
      </w:pPr>
      <w:hyperlink w:anchor="X067c6454857cfdc357fb8e4dd11619f59b79c08">
        <w:r>
          <w:rPr>
            <w:rStyle w:val="Hipervnculo"/>
          </w:rPr>
          <w:t xml:space="preserve">4.3 Factibilidad Operativa</w:t>
        </w:r>
      </w:hyperlink>
    </w:p>
    <w:p>
      <w:pPr>
        <w:pStyle w:val="BodyText"/>
        <w:jc w:val="both"/>
      </w:pPr>
      <w:hyperlink w:anchor="X6f2eba7dd3472b8da8026c3c1de43f6a5c0335c">
        <w:r>
          <w:rPr>
            <w:rStyle w:val="Hipervnculo"/>
          </w:rPr>
          <w:t xml:space="preserve">4.4 Factibilidad Legal</w:t>
        </w:r>
      </w:hyperlink>
    </w:p>
    <w:p>
      <w:pPr>
        <w:pStyle w:val="BodyText"/>
        <w:jc w:val="both"/>
      </w:pPr>
      <w:hyperlink w:anchor="Xd266a91d9f2649a139daac0ce00bbbd4924a848">
        <w:r>
          <w:rPr>
            <w:rStyle w:val="Hipervnculo"/>
          </w:rPr>
          <w:t xml:space="preserve">4.5 Factibilidad Social</w:t>
        </w:r>
      </w:hyperlink>
    </w:p>
    <w:p>
      <w:pPr>
        <w:pStyle w:val="BodyText"/>
        <w:jc w:val="both"/>
      </w:pPr>
      <w:hyperlink w:anchor="X3a5e14123fbed341adac90fb1a473407ef43faf">
        <w:r>
          <w:rPr>
            <w:rStyle w:val="Hipervnculo"/>
          </w:rPr>
          <w:t xml:space="preserve">4.6 Factibilidad Ambiental</w:t>
        </w:r>
      </w:hyperlink>
    </w:p>
    <w:p>
      <w:pPr>
        <w:pStyle w:val="BodyText"/>
        <w:jc w:val="both"/>
      </w:pPr>
      <w:hyperlink w:anchor="X2685012244984a51bb64faebe6931efe8b03c18">
        <w:r>
          <w:rPr>
            <w:rStyle w:val="Hipervnculo"/>
          </w:rPr>
          <w:t xml:space="preserve">5. Análisis Financiero</w:t>
        </w:r>
      </w:hyperlink>
    </w:p>
    <w:p>
      <w:pPr>
        <w:pStyle w:val="BodyText"/>
        <w:jc w:val="both"/>
      </w:pPr>
      <w:hyperlink w:anchor="X71325a0fd5c0580ddd5cd9497cce63af8e18aee">
        <w:r>
          <w:rPr>
            <w:rStyle w:val="Hipervnculo"/>
          </w:rPr>
          <w:t xml:space="preserve">6. Conclusiones</w:t>
        </w:r>
      </w:hyperlink>
    </w:p>
    <w:p>
      <w:pPr>
        <w:pStyle w:val="BodyText"/>
        <w:jc w:val="both"/>
      </w:pPr>
      <w:r>
        <w:rPr>
          <w:b/>
          <w:bCs/>
        </w:rPr>
        <w:t xml:space="preserve">Informe de Factibilidad</w:t>
      </w:r>
    </w:p>
    <w:bookmarkEnd w:id="22"/>
    <w:bookmarkStart w:id="29" w:name="descripción-del-proyecto"/>
    <w:p>
      <w:pPr>
        <w:pStyle w:val="Ttulo1"/>
      </w:pPr>
      <w:r>
        <w:t xml:space="preserve">1. Descripción del Proyecto</w:t>
      </w:r>
    </w:p>
    <w:bookmarkStart w:id="23" w:name="nombre-del-proyecto"/>
    <w:p>
      <w:pPr>
        <w:pStyle w:val="Heading2"/>
      </w:pPr>
      <w:r>
        <w:t xml:space="preserve">1.1 Nombre del proyecto</w:t>
      </w:r>
    </w:p>
    <w:p>
      <w:pPr>
        <w:pStyle w:val="FirstParagraph"/>
        <w:jc w:val="both"/>
      </w:pPr>
      <w:r>
        <w:t xml:space="preserve">NotaryVerify – Sistema Experimental de Verificación de Identidad para Trámites Notariales</w:t>
      </w:r>
    </w:p>
    <w:bookmarkEnd w:id="23"/>
    <w:bookmarkStart w:id="24" w:name="duración-del-proyecto"/>
    <w:p>
      <w:pPr>
        <w:pStyle w:val="Heading2"/>
      </w:pPr>
      <w:r>
        <w:t xml:space="preserve">1.2 Duración del proyecto</w:t>
      </w:r>
    </w:p>
    <w:p>
      <w:pPr>
        <w:pStyle w:val="Compact"/>
        <w:numPr>
          <w:ilvl w:val="0"/>
          <w:numId w:val="1001"/>
        </w:numPr>
      </w:pPr>
      <w:r>
        <w:t xml:space="preserve">Inicio: 25/08/2026</w:t>
      </w:r>
    </w:p>
    <w:p>
      <w:pPr>
        <w:pStyle w:val="Compact"/>
        <w:numPr>
          <w:ilvl w:val="0"/>
          <w:numId w:val="1001"/>
        </w:numPr>
      </w:pPr>
      <w:r>
        <w:t xml:space="preserve">Fin: 12/12/2026</w:t>
      </w:r>
    </w:p>
    <w:bookmarkEnd w:id="24"/>
    <w:bookmarkStart w:id="25" w:name="descripción"/>
    <w:p>
      <w:pPr>
        <w:pStyle w:val="Heading2"/>
      </w:pPr>
      <w:r>
        <w:t xml:space="preserve">1.3 Descripción</w:t>
      </w:r>
    </w:p>
    <w:p>
      <w:pPr>
        <w:pStyle w:val="FirstParagraph"/>
        <w:jc w:val="both"/>
      </w:pPr>
      <w:r>
        <w:t xml:space="preserve">NotaryVerify es una aplicación web experimental para la verificación multicapa de identidad y la detección de intentos de suplantación en trámites notariales. El sistema combina credenciales electrónicas de prueba (QR/RFID), reconocimiento facial local, prueba de vida, un motor de reglas de seguridad, integridad documental mediante SHA-256 y una bitácora de auditoría con encadenamiento criptográfico.</w:t>
      </w:r>
    </w:p>
    <w:p>
      <w:pPr>
        <w:pStyle w:val="BodyText"/>
        <w:jc w:val="both"/>
      </w:pPr>
      <w:r>
        <w:t xml:space="preserve">El proyecto no pretende sustituir al Sistema de Intermediación Digital de la Sunarp (SID-Sunarp), a la firma digital oficial, a Reniec ni a los procedimientos legales de una notaría. Se plantea como una capa tecnológica académica de verificación previa, desarrollada y evaluada en un entorno controlado, utilizando exclusivamente identidades ficticias y datos biométricos de participantes voluntarios que autoricen expresamente su uso.</w:t>
      </w:r>
    </w:p>
    <w:bookmarkEnd w:id="25"/>
    <w:bookmarkStart w:id="28" w:name="objetivos"/>
    <w:p>
      <w:pPr>
        <w:pStyle w:val="Heading2"/>
      </w:pPr>
      <w:r>
        <w:t xml:space="preserve">1.4 Objetivos</w:t>
      </w:r>
    </w:p>
    <w:bookmarkStart w:id="26" w:name="objetivo-general"/>
    <w:p>
      <w:pPr>
        <w:pStyle w:val="Heading3"/>
      </w:pPr>
      <w:r>
        <w:t xml:space="preserve">1.4.1 Objetivo general</w:t>
      </w:r>
    </w:p>
    <w:p>
      <w:pPr>
        <w:pStyle w:val="FirstParagraph"/>
        <w:jc w:val="both"/>
      </w:pPr>
      <w:r>
        <w:t xml:space="preserve">Desarrollar y evaluar NotaryVerify, un prototipo experimental de verificación multicapa de identidad para trámites notariales que combine credenciales electrónicas, reconocimiento facial local, prueba de vida, reglas de seguridad, integridad documental y auditoría criptográfica, con el fin de analizar su efectividad para detectar intentos controlados de suplantación de identidad.</w:t>
      </w:r>
    </w:p>
    <w:bookmarkEnd w:id="26"/>
    <w:bookmarkStart w:id="27" w:name="objetivos-específicos"/>
    <w:p>
      <w:pPr>
        <w:pStyle w:val="Heading3"/>
      </w:pPr>
      <w:r>
        <w:t xml:space="preserve">1.4.2 Objetivos Específicos</w:t>
      </w:r>
    </w:p>
    <w:p>
      <w:pPr>
        <w:pStyle w:val="Compact"/>
        <w:numPr>
          <w:ilvl w:val="0"/>
          <w:numId w:val="1002"/>
        </w:numPr>
      </w:pPr>
      <w:r>
        <w:t xml:space="preserve">Identificar y documentar al menos cinco escenarios de suplantación de identidad aplicables a trámites notariales, mediante revisión de fuentes oficiales (Sunarp, normativa vigente).</w:t>
      </w:r>
    </w:p>
    <w:p>
      <w:pPr>
        <w:pStyle w:val="Compact"/>
        <w:numPr>
          <w:ilvl w:val="0"/>
          <w:numId w:val="1002"/>
        </w:numPr>
      </w:pPr>
      <w:r>
        <w:t xml:space="preserve">Implementar un Simulador de Identidad que permita registrar y consultar identidades ficticias mediante una API propia, sin utilizar información real de Reniec.</w:t>
      </w:r>
    </w:p>
    <w:p>
      <w:pPr>
        <w:pStyle w:val="Compact"/>
        <w:numPr>
          <w:ilvl w:val="0"/>
          <w:numId w:val="1002"/>
        </w:numPr>
      </w:pPr>
      <w:r>
        <w:t xml:space="preserve">Implementar un módulo de reconocimiento facial local y una prueba de vida experimental (desafíos aleatorios como parpadeo o giro de rostro) mediante OpenCV y MediaPipe.</w:t>
      </w:r>
    </w:p>
    <w:p>
      <w:pPr>
        <w:pStyle w:val="Compact"/>
        <w:numPr>
          <w:ilvl w:val="0"/>
          <w:numId w:val="1002"/>
        </w:numPr>
      </w:pPr>
      <w:r>
        <w:t xml:space="preserve">Implementar credenciales de prueba mediante QR y RFID, garantizando que ningún factor evaluado de forma aislada sea suficiente para aprobar una identidad.</w:t>
      </w:r>
    </w:p>
    <w:p>
      <w:pPr>
        <w:pStyle w:val="Compact"/>
        <w:numPr>
          <w:ilvl w:val="0"/>
          <w:numId w:val="1002"/>
        </w:numPr>
      </w:pPr>
      <w:r>
        <w:t xml:space="preserve">Implementar un motor de reglas de seguridad multicapa y un mecanismo de integridad documental basado en SHA-256 para detectar documentos modificados.</w:t>
      </w:r>
    </w:p>
    <w:p>
      <w:pPr>
        <w:pStyle w:val="Compact"/>
        <w:numPr>
          <w:ilvl w:val="0"/>
          <w:numId w:val="1002"/>
        </w:numPr>
      </w:pPr>
      <w:r>
        <w:t xml:space="preserve">Implementar una bitácora de auditoría con encadenamiento criptográfico que permita detectar alteraciones sobre el historial de operaciones críticas.</w:t>
      </w:r>
    </w:p>
    <w:p>
      <w:pPr>
        <w:pStyle w:val="Compact"/>
        <w:numPr>
          <w:ilvl w:val="0"/>
          <w:numId w:val="1002"/>
        </w:numPr>
      </w:pPr>
      <w:r>
        <w:t xml:space="preserve">Evaluar el prototipo mediante al menos 100 intentos controlados de verificación, midiendo tasas de aceptación, rechazo, falsos positivos y falsos negativos, y ejecutar pruebas unitarias, de integración y seguridad con una cobertura mínima del 80 % sobre los componentes críticos.</w:t>
      </w:r>
    </w:p>
    <w:bookmarkEnd w:id="27"/>
    <w:bookmarkEnd w:id="28"/>
    <w:bookmarkEnd w:id="29"/>
    <w:bookmarkStart w:id="30" w:name="riesgos"/>
    <w:p>
      <w:pPr>
        <w:pStyle w:val="Ttulo1"/>
      </w:pPr>
      <w:r>
        <w:t xml:space="preserve">2. Riesgos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2970"/>
        <w:gridCol w:w="2970"/>
      </w:tblGrid>
      <w:tr>
        <w:trPr>
          <w:tblHeader w:val="on"/>
        </w:trPr>
        <w:tc>
          <w:tcPr>
            <w:shd w:val="clear" w:color="auto" w:fill="D9D9D9"/>
          </w:tcPr>
          <w:p>
            <w:pPr>
              <w:pStyle w:val="Compact"/>
              <w:jc w:val="left"/>
            </w:pPr>
            <w:r>
              <w:rPr>
                <w:b/>
              </w:rPr>
              <w:t xml:space="preserve">Riesgo</w:t>
            </w:r>
          </w:p>
        </w:tc>
        <w:tc>
          <w:tcPr>
            <w:shd w:val="clear" w:color="auto" w:fill="D9D9D9"/>
          </w:tcPr>
          <w:p>
            <w:pPr>
              <w:pStyle w:val="Compact"/>
              <w:jc w:val="center"/>
            </w:pPr>
            <w:r>
              <w:rPr>
                <w:b/>
              </w:rPr>
              <w:t xml:space="preserve">Probabilidad</w:t>
            </w:r>
          </w:p>
        </w:tc>
        <w:tc>
          <w:tcPr>
            <w:shd w:val="clear" w:color="auto" w:fill="D9D9D9"/>
          </w:tcPr>
          <w:p>
            <w:pPr>
              <w:pStyle w:val="Compact"/>
              <w:jc w:val="center"/>
            </w:pPr>
            <w:r>
              <w:rPr>
                <w:b/>
              </w:rPr>
              <w:t xml:space="preserve">Efectos</w:t>
            </w:r>
          </w:p>
        </w:tc>
      </w:tr>
      <w:tr>
        <w:tc>
          <w:tcPr/>
          <w:p>
            <w:pPr>
              <w:pStyle w:val="Compact"/>
              <w:jc w:val="left"/>
            </w:pPr>
            <w:r>
              <w:t xml:space="preserve">Cambio excesivo de requerimientos durante el levantamiento de información, originando retrasos en el diseño de las reglas de seguridad</w:t>
            </w:r>
          </w:p>
        </w:tc>
        <w:tc>
          <w:tcPr/>
          <w:p>
            <w:pPr>
              <w:pStyle w:val="Compact"/>
              <w:jc w:val="center"/>
            </w:pPr>
            <w:r>
              <w:t xml:space="preserve">Media</w:t>
            </w:r>
          </w:p>
        </w:tc>
        <w:tc>
          <w:tcPr/>
          <w:p>
            <w:pPr>
              <w:pStyle w:val="Compact"/>
              <w:jc w:val="center"/>
            </w:pPr>
            <w:r>
              <w:t xml:space="preserve">Alto</w:t>
            </w:r>
          </w:p>
        </w:tc>
      </w:tr>
      <w:tr>
        <w:tc>
          <w:tcPr/>
          <w:p>
            <w:pPr>
              <w:pStyle w:val="Compact"/>
              <w:jc w:val="left"/>
            </w:pPr>
            <w:r>
              <w:t xml:space="preserve">Dificultad para conseguir suficientes participantes voluntarios para las pruebas biométricas</w:t>
            </w:r>
          </w:p>
        </w:tc>
        <w:tc>
          <w:tcPr/>
          <w:p>
            <w:pPr>
              <w:pStyle w:val="Compact"/>
              <w:jc w:val="center"/>
            </w:pPr>
            <w:r>
              <w:t xml:space="preserve">Media</w:t>
            </w:r>
          </w:p>
        </w:tc>
        <w:tc>
          <w:tcPr/>
          <w:p>
            <w:pPr>
              <w:pStyle w:val="Compact"/>
              <w:jc w:val="center"/>
            </w:pPr>
            <w:r>
              <w:t xml:space="preserve">Alto</w:t>
            </w:r>
          </w:p>
        </w:tc>
      </w:tr>
      <w:tr>
        <w:tc>
          <w:tcPr/>
          <w:p>
            <w:pPr>
              <w:pStyle w:val="Compact"/>
              <w:jc w:val="left"/>
            </w:pPr>
            <w:r>
              <w:t xml:space="preserve">Baja precisión del modelo de reconocimiento facial local ante condiciones variables de iluminación o cámara</w:t>
            </w:r>
          </w:p>
        </w:tc>
        <w:tc>
          <w:tcPr/>
          <w:p>
            <w:pPr>
              <w:pStyle w:val="Compact"/>
              <w:jc w:val="center"/>
            </w:pPr>
            <w:r>
              <w:t xml:space="preserve">Media</w:t>
            </w:r>
          </w:p>
        </w:tc>
        <w:tc>
          <w:tcPr/>
          <w:p>
            <w:pPr>
              <w:pStyle w:val="Compact"/>
              <w:jc w:val="center"/>
            </w:pPr>
            <w:r>
              <w:t xml:space="preserve">Catastrófico</w:t>
            </w:r>
          </w:p>
        </w:tc>
      </w:tr>
      <w:tr>
        <w:tc>
          <w:tcPr/>
          <w:p>
            <w:pPr>
              <w:pStyle w:val="Compact"/>
              <w:jc w:val="left"/>
            </w:pPr>
            <w:r>
              <w:t xml:space="preserve">Al ser un equipo de solo dos integrantes, la indisponibilidad de uno de ellos origina un retraso significativo</w:t>
            </w:r>
          </w:p>
        </w:tc>
        <w:tc>
          <w:tcPr/>
          <w:p>
            <w:pPr>
              <w:pStyle w:val="Compact"/>
              <w:jc w:val="center"/>
            </w:pPr>
            <w:r>
              <w:t xml:space="preserve">Baja</w:t>
            </w:r>
          </w:p>
        </w:tc>
        <w:tc>
          <w:tcPr/>
          <w:p>
            <w:pPr>
              <w:pStyle w:val="Compact"/>
              <w:jc w:val="center"/>
            </w:pPr>
            <w:r>
              <w:t xml:space="preserve">Catastrófico</w:t>
            </w:r>
          </w:p>
        </w:tc>
      </w:tr>
      <w:tr>
        <w:tc>
          <w:tcPr/>
          <w:p>
            <w:pPr>
              <w:pStyle w:val="Compact"/>
              <w:jc w:val="left"/>
            </w:pPr>
            <w:r>
              <w:t xml:space="preserve">Limitaciones del hardware disponible (cámara, lector RFID) que afecten la calidad de las pruebas de vida</w:t>
            </w:r>
          </w:p>
        </w:tc>
        <w:tc>
          <w:tcPr/>
          <w:p>
            <w:pPr>
              <w:pStyle w:val="Compact"/>
              <w:jc w:val="center"/>
            </w:pPr>
            <w:r>
              <w:t xml:space="preserve">Media</w:t>
            </w:r>
          </w:p>
        </w:tc>
        <w:tc>
          <w:tcPr/>
          <w:p>
            <w:pPr>
              <w:pStyle w:val="Compact"/>
              <w:jc w:val="center"/>
            </w:pPr>
            <w:r>
              <w:t xml:space="preserve">Alto</w:t>
            </w:r>
          </w:p>
        </w:tc>
      </w:tr>
      <w:tr>
        <w:tc>
          <w:tcPr/>
          <w:p>
            <w:pPr>
              <w:pStyle w:val="Compact"/>
              <w:jc w:val="left"/>
            </w:pPr>
            <w:r>
              <w:t xml:space="preserve">Manejo inadecuado de datos biométricos de voluntarios que comprometa el cumplimiento de la Ley N.° 29733</w:t>
            </w:r>
          </w:p>
        </w:tc>
        <w:tc>
          <w:tcPr/>
          <w:p>
            <w:pPr>
              <w:pStyle w:val="Compact"/>
              <w:jc w:val="center"/>
            </w:pPr>
            <w:r>
              <w:t xml:space="preserve">Baja</w:t>
            </w:r>
          </w:p>
        </w:tc>
        <w:tc>
          <w:tcPr/>
          <w:p>
            <w:pPr>
              <w:pStyle w:val="Compact"/>
              <w:jc w:val="center"/>
            </w:pPr>
            <w:r>
              <w:t xml:space="preserve">Catastrófico</w:t>
            </w:r>
          </w:p>
        </w:tc>
      </w:tr>
    </w:tbl>
    <w:bookmarkEnd w:id="30"/>
    <w:bookmarkStart w:id="33" w:name="análisis-de-la-situación-actual"/>
    <w:p>
      <w:pPr>
        <w:pStyle w:val="Ttulo1"/>
      </w:pPr>
      <w:r>
        <w:t xml:space="preserve">3. Análisis de la Situación actual</w:t>
      </w:r>
    </w:p>
    <w:bookmarkStart w:id="31" w:name="planteamiento-del-problema"/>
    <w:p>
      <w:pPr>
        <w:pStyle w:val="Heading2"/>
      </w:pPr>
      <w:r>
        <w:t xml:space="preserve">3.1 Planteamiento del problema</w:t>
      </w:r>
    </w:p>
    <w:p>
      <w:pPr>
        <w:pStyle w:val="FirstParagraph"/>
        <w:jc w:val="both"/>
      </w:pPr>
      <w:r>
        <w:t xml:space="preserve">Las notarías intervienen en la formalización de actos y documentos jurídicos en los que la correcta identificación de las personas constituye un elemento fundamental para brindar seguridad a las operaciones realizadas. Una suplantación de identidad puede permitir que una persona intente intervenir en un trámite utilizando la identidad de otra, generando consecuencias jurídicas, administrativas y registrales.</w:t>
      </w:r>
    </w:p>
    <w:p>
      <w:pPr>
        <w:pStyle w:val="BodyText"/>
        <w:jc w:val="both"/>
      </w:pPr>
      <w:r>
        <w:t xml:space="preserve">La problemática no es únicamente teórica. En junio de 2026, la Superintendencia Nacional de los Registros Públicos declaró procedente una anotación preventiva notarial sobre una partida del Registro de Predios por una presunta suplantación de identidad relacionada con una escritura pública. Durante 2026 también se emitieron resoluciones de cancelación de asientos registrales por causales de falsificación documental, lo que evidencia que la autenticidad de la identidad continúa siendo un aspecto crítico dentro del entorno notarial y registral peruano (Sunarp, 2026a; Sunarp, 2026b).</w:t>
      </w:r>
    </w:p>
    <w:p>
      <w:pPr>
        <w:pStyle w:val="BodyText"/>
        <w:jc w:val="both"/>
      </w:pPr>
      <w:r>
        <w:t xml:space="preserve">El sistema registral peruano ya dispone de mecanismos oficiales de seguridad, como el SID-Sunarp y la firma digital obligatoria para partes notariales desde noviembre de 2023 (Sunarp, 2023). Sin embargo, no existe una capa adicional que combine credenciales electrónicas, biometría facial y prueba de vida como mecanismo experimental de verificación previa dentro de un entorno académico controlado.</w:t>
      </w:r>
    </w:p>
    <w:p>
      <w:pPr>
        <w:pStyle w:val="BodyText"/>
        <w:jc w:val="both"/>
      </w:pPr>
      <w:r>
        <w:t xml:space="preserve">Por ello se propone desarrollar NotaryVerify, utilizando exclusivamente identidades ficticias generadas mediante un</w:t>
      </w:r>
      <w:r>
        <w:t xml:space="preserve"> </w:t>
      </w:r>
      <w:r>
        <w:t xml:space="preserve">“Simulador de Identidad”</w:t>
      </w:r>
      <w:r>
        <w:t xml:space="preserve"> </w:t>
      </w:r>
      <w:r>
        <w:t xml:space="preserve">y datos biométricos de participantes voluntarios, evitando en todo momento el uso de información real de clientes de una notaría.</w:t>
      </w:r>
    </w:p>
    <w:bookmarkEnd w:id="31"/>
    <w:bookmarkStart w:id="32" w:name="consideraciones-de-hardware-y-software"/>
    <w:p>
      <w:pPr>
        <w:pStyle w:val="Heading2"/>
      </w:pPr>
      <w:r>
        <w:t xml:space="preserve">3.2 Consideraciones de hardware y software</w:t>
      </w:r>
    </w:p>
    <w:p>
      <w:pPr>
        <w:pStyle w:val="FirstParagraph"/>
        <w:jc w:val="both"/>
      </w:pPr>
      <w:r>
        <w:rPr>
          <w:b/>
          <w:bCs/>
        </w:rPr>
        <w:t xml:space="preserve">Hardware</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Componente</w:t>
            </w:r>
          </w:p>
        </w:tc>
        <w:tc>
          <w:tcPr>
            <w:shd w:val="clear" w:color="auto" w:fill="D9D9D9"/>
          </w:tcPr>
          <w:p>
            <w:pPr>
              <w:pStyle w:val="Compact"/>
              <w:jc w:val="left"/>
            </w:pPr>
            <w:r>
              <w:rPr>
                <w:b/>
              </w:rPr>
              <w:t xml:space="preserve">Función</w:t>
            </w:r>
          </w:p>
        </w:tc>
      </w:tr>
      <w:tr>
        <w:tc>
          <w:tcPr/>
          <w:p>
            <w:pPr>
              <w:pStyle w:val="Compact"/>
              <w:jc w:val="left"/>
            </w:pPr>
            <w:r>
              <w:t xml:space="preserve">Laptop / PC de desarrollo</w:t>
            </w:r>
          </w:p>
        </w:tc>
        <w:tc>
          <w:tcPr/>
          <w:p>
            <w:pPr>
              <w:pStyle w:val="Compact"/>
              <w:jc w:val="left"/>
            </w:pPr>
            <w:r>
              <w:t xml:space="preserve">Entorno de desarrollo y ejecución del backend, frontend y del módulo de reconocimiento facial durante las pruebas</w:t>
            </w:r>
          </w:p>
        </w:tc>
      </w:tr>
      <w:tr>
        <w:tc>
          <w:tcPr/>
          <w:p>
            <w:pPr>
              <w:pStyle w:val="Compact"/>
              <w:jc w:val="left"/>
            </w:pPr>
            <w:r>
              <w:t xml:space="preserve">Cámara web HD</w:t>
            </w:r>
          </w:p>
        </w:tc>
        <w:tc>
          <w:tcPr/>
          <w:p>
            <w:pPr>
              <w:pStyle w:val="Compact"/>
              <w:jc w:val="left"/>
            </w:pPr>
            <w:r>
              <w:t xml:space="preserve">Captura del rostro para el reconocimiento facial y la prueba de vida</w:t>
            </w:r>
          </w:p>
        </w:tc>
      </w:tr>
      <w:tr>
        <w:tc>
          <w:tcPr/>
          <w:p>
            <w:pPr>
              <w:pStyle w:val="Compact"/>
              <w:jc w:val="left"/>
            </w:pPr>
            <w:r>
              <w:t xml:space="preserve">Lector/grabador RFID USB</w:t>
            </w:r>
          </w:p>
        </w:tc>
        <w:tc>
          <w:tcPr/>
          <w:p>
            <w:pPr>
              <w:pStyle w:val="Compact"/>
              <w:jc w:val="left"/>
            </w:pPr>
            <w:r>
              <w:t xml:space="preserve">Lectura y grabación de credenciales de prueba tipo RFID</w:t>
            </w:r>
          </w:p>
        </w:tc>
      </w:tr>
      <w:tr>
        <w:tc>
          <w:tcPr/>
          <w:p>
            <w:pPr>
              <w:pStyle w:val="Compact"/>
              <w:jc w:val="left"/>
            </w:pPr>
            <w:r>
              <w:t xml:space="preserve">Tarjetas RFID y generador de códigos QR</w:t>
            </w:r>
          </w:p>
        </w:tc>
        <w:tc>
          <w:tcPr/>
          <w:p>
            <w:pPr>
              <w:pStyle w:val="Compact"/>
              <w:jc w:val="left"/>
            </w:pPr>
            <w:r>
              <w:t xml:space="preserve">Generación de credenciales de prueba asociadas a identidades simuladas</w:t>
            </w:r>
          </w:p>
        </w:tc>
      </w:tr>
    </w:tbl>
    <w:p>
      <w:pPr>
        <w:pStyle w:val="BodyText"/>
        <w:jc w:val="both"/>
      </w:pPr>
      <w:r>
        <w:rPr>
          <w:b/>
          <w:bCs/>
        </w:rPr>
        <w:t xml:space="preserve">Software</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Capa</w:t>
            </w:r>
          </w:p>
        </w:tc>
        <w:tc>
          <w:tcPr>
            <w:shd w:val="clear" w:color="auto" w:fill="D9D9D9"/>
          </w:tcPr>
          <w:p>
            <w:pPr>
              <w:pStyle w:val="Compact"/>
              <w:jc w:val="left"/>
            </w:pPr>
            <w:r>
              <w:rPr>
                <w:b/>
              </w:rPr>
              <w:t xml:space="preserve">Tecnología</w:t>
            </w:r>
          </w:p>
        </w:tc>
        <w:tc>
          <w:tcPr>
            <w:shd w:val="clear" w:color="auto" w:fill="D9D9D9"/>
          </w:tcPr>
          <w:p>
            <w:pPr>
              <w:pStyle w:val="Compact"/>
              <w:jc w:val="left"/>
            </w:pPr>
            <w:r>
              <w:rPr>
                <w:b/>
              </w:rPr>
              <w:t xml:space="preserve">Justificación</w:t>
            </w:r>
          </w:p>
        </w:tc>
      </w:tr>
      <w:tr>
        <w:tc>
          <w:tcPr/>
          <w:p>
            <w:pPr>
              <w:pStyle w:val="Compact"/>
              <w:jc w:val="left"/>
            </w:pPr>
            <w:r>
              <w:t xml:space="preserve">Backend / API</w:t>
            </w:r>
          </w:p>
        </w:tc>
        <w:tc>
          <w:tcPr/>
          <w:p>
            <w:pPr>
              <w:pStyle w:val="Compact"/>
              <w:jc w:val="left"/>
            </w:pPr>
            <w:r>
              <w:t xml:space="preserve">Framework web con amplio soporte de librerías (p. ej. Python/FastAPI o Java/Spring Boot)</w:t>
            </w:r>
          </w:p>
        </w:tc>
        <w:tc>
          <w:tcPr/>
          <w:p>
            <w:pPr>
              <w:pStyle w:val="Compact"/>
              <w:jc w:val="left"/>
            </w:pPr>
            <w:r>
              <w:t xml:space="preserve">Permite integrar librerías de reconocimiento facial y construir APIs REST de forma rápida y segura</w:t>
            </w:r>
          </w:p>
        </w:tc>
      </w:tr>
      <w:tr>
        <w:tc>
          <w:tcPr/>
          <w:p>
            <w:pPr>
              <w:pStyle w:val="Compact"/>
              <w:jc w:val="left"/>
            </w:pPr>
            <w:r>
              <w:t xml:space="preserve">Reconocimiento facial</w:t>
            </w:r>
          </w:p>
        </w:tc>
        <w:tc>
          <w:tcPr/>
          <w:p>
            <w:pPr>
              <w:pStyle w:val="Compact"/>
              <w:jc w:val="left"/>
            </w:pPr>
            <w:r>
              <w:t xml:space="preserve">OpenCV (FaceRecognizerSF / modelo SFace)</w:t>
            </w:r>
          </w:p>
        </w:tc>
        <w:tc>
          <w:tcPr/>
          <w:p>
            <w:pPr>
              <w:pStyle w:val="Compact"/>
              <w:jc w:val="left"/>
            </w:pPr>
            <w:r>
              <w:t xml:space="preserve">Modelos de código abierto para comparación facial local, sin depender de servicios comerciales de pago</w:t>
            </w:r>
          </w:p>
        </w:tc>
      </w:tr>
      <w:tr>
        <w:tc>
          <w:tcPr/>
          <w:p>
            <w:pPr>
              <w:pStyle w:val="Compact"/>
              <w:jc w:val="left"/>
            </w:pPr>
            <w:r>
              <w:t xml:space="preserve">Prueba de vida</w:t>
            </w:r>
          </w:p>
        </w:tc>
        <w:tc>
          <w:tcPr/>
          <w:p>
            <w:pPr>
              <w:pStyle w:val="Compact"/>
              <w:jc w:val="left"/>
            </w:pPr>
            <w:r>
              <w:t xml:space="preserve">MediaPipe Face Landmarker</w:t>
            </w:r>
          </w:p>
        </w:tc>
        <w:tc>
          <w:tcPr/>
          <w:p>
            <w:pPr>
              <w:pStyle w:val="Compact"/>
              <w:jc w:val="left"/>
            </w:pPr>
            <w:r>
              <w:t xml:space="preserve">Detección de puntos faciales para validar acciones aleatorias como parpadeo o giro de rostro</w:t>
            </w:r>
          </w:p>
        </w:tc>
      </w:tr>
      <w:tr>
        <w:tc>
          <w:tcPr/>
          <w:p>
            <w:pPr>
              <w:pStyle w:val="Compact"/>
              <w:jc w:val="left"/>
            </w:pPr>
            <w:r>
              <w:t xml:space="preserve">Base de datos</w:t>
            </w:r>
          </w:p>
        </w:tc>
        <w:tc>
          <w:tcPr/>
          <w:p>
            <w:pPr>
              <w:pStyle w:val="Compact"/>
              <w:jc w:val="left"/>
            </w:pPr>
            <w:r>
              <w:t xml:space="preserve">PostgreSQL o Firebase (Firestore)</w:t>
            </w:r>
          </w:p>
        </w:tc>
        <w:tc>
          <w:tcPr/>
          <w:p>
            <w:pPr>
              <w:pStyle w:val="Compact"/>
              <w:jc w:val="left"/>
            </w:pPr>
            <w:r>
              <w:t xml:space="preserve">Almacenamiento de identidades simuladas, sesiones de verificación y bitácora de auditoría</w:t>
            </w:r>
          </w:p>
        </w:tc>
      </w:tr>
      <w:tr>
        <w:tc>
          <w:tcPr/>
          <w:p>
            <w:pPr>
              <w:pStyle w:val="Compact"/>
              <w:jc w:val="left"/>
            </w:pPr>
            <w:r>
              <w:t xml:space="preserve">Frontend web</w:t>
            </w:r>
          </w:p>
        </w:tc>
        <w:tc>
          <w:tcPr/>
          <w:p>
            <w:pPr>
              <w:pStyle w:val="Compact"/>
              <w:jc w:val="left"/>
            </w:pPr>
            <w:r>
              <w:t xml:space="preserve">React o Angular</w:t>
            </w:r>
          </w:p>
        </w:tc>
        <w:tc>
          <w:tcPr/>
          <w:p>
            <w:pPr>
              <w:pStyle w:val="Compact"/>
              <w:jc w:val="left"/>
            </w:pPr>
            <w:r>
              <w:t xml:space="preserve">Interfaz web para operadores del prototipo y panel de auditoría</w:t>
            </w:r>
          </w:p>
        </w:tc>
      </w:tr>
      <w:tr>
        <w:tc>
          <w:tcPr/>
          <w:p>
            <w:pPr>
              <w:pStyle w:val="Compact"/>
              <w:jc w:val="left"/>
            </w:pPr>
            <w:r>
              <w:t xml:space="preserve">Credenciales</w:t>
            </w:r>
          </w:p>
        </w:tc>
        <w:tc>
          <w:tcPr/>
          <w:p>
            <w:pPr>
              <w:pStyle w:val="Compact"/>
              <w:jc w:val="left"/>
            </w:pPr>
            <w:r>
              <w:t xml:space="preserve">Librerías de generación/lectura de QR y RFID</w:t>
            </w:r>
          </w:p>
        </w:tc>
        <w:tc>
          <w:tcPr/>
          <w:p>
            <w:pPr>
              <w:pStyle w:val="Compact"/>
              <w:jc w:val="left"/>
            </w:pPr>
            <w:r>
              <w:t xml:space="preserve">Generación y lectura de credenciales de prueba (QR/RFID)</w:t>
            </w:r>
          </w:p>
        </w:tc>
      </w:tr>
      <w:tr>
        <w:tc>
          <w:tcPr/>
          <w:p>
            <w:pPr>
              <w:pStyle w:val="Compact"/>
              <w:jc w:val="left"/>
            </w:pPr>
            <w:r>
              <w:t xml:space="preserve">Integridad y auditoría</w:t>
            </w:r>
          </w:p>
        </w:tc>
        <w:tc>
          <w:tcPr/>
          <w:p>
            <w:pPr>
              <w:pStyle w:val="Compact"/>
              <w:jc w:val="left"/>
            </w:pPr>
            <w:r>
              <w:t xml:space="preserve">SHA-256 y encadenamiento criptográfico (hash chain)</w:t>
            </w:r>
          </w:p>
        </w:tc>
        <w:tc>
          <w:tcPr/>
          <w:p>
            <w:pPr>
              <w:pStyle w:val="Compact"/>
              <w:jc w:val="left"/>
            </w:pPr>
            <w:r>
              <w:t xml:space="preserve">Verificación de integridad documental y bitácora de auditoría inalterable</w:t>
            </w:r>
          </w:p>
        </w:tc>
      </w:tr>
    </w:tbl>
    <w:bookmarkEnd w:id="32"/>
    <w:bookmarkEnd w:id="33"/>
    <w:bookmarkStart w:id="45" w:name="estudio-de-factibilidad"/>
    <w:p>
      <w:pPr>
        <w:pStyle w:val="Ttulo1"/>
      </w:pPr>
      <w:r>
        <w:t xml:space="preserve">4. Estudio de Factibilidad</w:t>
      </w:r>
    </w:p>
    <w:p>
      <w:pPr>
        <w:pStyle w:val="FirstParagraph"/>
        <w:jc w:val="both"/>
      </w:pPr>
      <w:r>
        <w:t xml:space="preserve">El presente estudio evalúa la viabilidad técnica, económica, operativa, legal, social y ambiental de desarrollar NotaryVerify como prototipo académico durante el semestre 2026-II, en un entorno controlado y sin uso de información real de clientes de una notaría.</w:t>
      </w:r>
    </w:p>
    <w:bookmarkStart w:id="34" w:name="factibilidad-técnica"/>
    <w:p>
      <w:pPr>
        <w:pStyle w:val="Heading2"/>
      </w:pPr>
      <w:r>
        <w:t xml:space="preserve">4.1 Factibilidad Técnica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Aspecto</w:t>
            </w:r>
          </w:p>
        </w:tc>
        <w:tc>
          <w:tcPr>
            <w:shd w:val="clear" w:color="auto" w:fill="D9D9D9"/>
          </w:tcPr>
          <w:p>
            <w:pPr>
              <w:pStyle w:val="Compact"/>
              <w:jc w:val="left"/>
            </w:pPr>
            <w:r>
              <w:rPr>
                <w:b/>
              </w:rPr>
              <w:t xml:space="preserve">Detalle</w:t>
            </w:r>
          </w:p>
        </w:tc>
      </w:tr>
      <w:tr>
        <w:tc>
          <w:tcPr/>
          <w:p>
            <w:pPr>
              <w:pStyle w:val="Compact"/>
              <w:jc w:val="left"/>
            </w:pPr>
            <w:r>
              <w:t xml:space="preserve">Equipos de desarrollo</w:t>
            </w:r>
          </w:p>
        </w:tc>
        <w:tc>
          <w:tcPr/>
          <w:p>
            <w:pPr>
              <w:pStyle w:val="Compact"/>
              <w:jc w:val="left"/>
            </w:pPr>
            <w:r>
              <w:t xml:space="preserve">El equipo cuenta con laptops propias para el desarrollo del backend, frontend y las pruebas del modelo de reconocimiento facial.</w:t>
            </w:r>
          </w:p>
        </w:tc>
      </w:tr>
      <w:tr>
        <w:tc>
          <w:tcPr/>
          <w:p>
            <w:pPr>
              <w:pStyle w:val="Compact"/>
              <w:jc w:val="left"/>
            </w:pPr>
            <w:r>
              <w:t xml:space="preserve">Hardware adicional</w:t>
            </w:r>
          </w:p>
        </w:tc>
        <w:tc>
          <w:tcPr/>
          <w:p>
            <w:pPr>
              <w:pStyle w:val="Compact"/>
              <w:jc w:val="left"/>
            </w:pPr>
            <w:r>
              <w:t xml:space="preserve">Se requiere adquirir una cámara web HD y un lector RFID USB, ambos de bajo costo y fácil adquisición local.</w:t>
            </w:r>
          </w:p>
        </w:tc>
      </w:tr>
      <w:tr>
        <w:tc>
          <w:tcPr/>
          <w:p>
            <w:pPr>
              <w:pStyle w:val="Compact"/>
              <w:jc w:val="left"/>
            </w:pPr>
            <w:r>
              <w:t xml:space="preserve">Infraestructura de red</w:t>
            </w:r>
          </w:p>
        </w:tc>
        <w:tc>
          <w:tcPr/>
          <w:p>
            <w:pPr>
              <w:pStyle w:val="Compact"/>
              <w:jc w:val="left"/>
            </w:pPr>
            <w:r>
              <w:t xml:space="preserve">Conexión a internet doméstica/universitaria suficiente para el desarrollo y las pruebas; no se requiere infraestructura de red dedicada.</w:t>
            </w:r>
          </w:p>
        </w:tc>
      </w:tr>
      <w:tr>
        <w:tc>
          <w:tcPr/>
          <w:p>
            <w:pPr>
              <w:pStyle w:val="Compact"/>
              <w:jc w:val="left"/>
            </w:pPr>
            <w:r>
              <w:t xml:space="preserve">Software y librerías</w:t>
            </w:r>
          </w:p>
        </w:tc>
        <w:tc>
          <w:tcPr/>
          <w:p>
            <w:pPr>
              <w:pStyle w:val="Compact"/>
              <w:jc w:val="left"/>
            </w:pPr>
            <w:r>
              <w:t xml:space="preserve">Se utilizarán exclusivamente herramientas de código abierto (OpenCV, MediaPipe, frameworks web), evitando licencias comerciales o APIs biométricas de pago.</w:t>
            </w:r>
          </w:p>
        </w:tc>
      </w:tr>
    </w:tbl>
    <w:bookmarkEnd w:id="34"/>
    <w:bookmarkStart w:id="40" w:name="factibilidad-económica"/>
    <w:p>
      <w:pPr>
        <w:pStyle w:val="Heading2"/>
      </w:pPr>
      <w:r>
        <w:t xml:space="preserve">4.2 Factibilidad Económica</w:t>
      </w:r>
    </w:p>
    <w:bookmarkStart w:id="35" w:name="costos-generales"/>
    <w:p>
      <w:pPr>
        <w:pStyle w:val="Heading3"/>
      </w:pPr>
      <w:r>
        <w:t xml:space="preserve">4.2.1 Costos Generales</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Ítem</w:t>
            </w:r>
          </w:p>
        </w:tc>
        <w:tc>
          <w:tcPr>
            <w:shd w:val="clear" w:color="auto" w:fill="D9D9D9"/>
          </w:tcPr>
          <w:p>
            <w:pPr>
              <w:pStyle w:val="Compact"/>
              <w:jc w:val="center"/>
            </w:pPr>
            <w:r>
              <w:rPr>
                <w:b/>
              </w:rPr>
              <w:t xml:space="preserve">Cantidad</w:t>
            </w:r>
          </w:p>
        </w:tc>
        <w:tc>
          <w:tcPr>
            <w:shd w:val="clear" w:color="auto" w:fill="D9D9D9"/>
          </w:tcPr>
          <w:p>
            <w:pPr>
              <w:pStyle w:val="Compact"/>
              <w:jc w:val="center"/>
            </w:pPr>
            <w:r>
              <w:rPr>
                <w:b/>
              </w:rPr>
              <w:t xml:space="preserve">Costo Unitario (S/.)</w:t>
            </w:r>
          </w:p>
        </w:tc>
        <w:tc>
          <w:tcPr>
            <w:shd w:val="clear" w:color="auto" w:fill="D9D9D9"/>
          </w:tcPr>
          <w:p>
            <w:pPr>
              <w:pStyle w:val="Compact"/>
              <w:jc w:val="center"/>
            </w:pPr>
            <w:r>
              <w:rPr>
                <w:b/>
              </w:rPr>
              <w:t xml:space="preserve">Costo Total (S/.)</w:t>
            </w:r>
          </w:p>
        </w:tc>
      </w:tr>
      <w:tr>
        <w:tc>
          <w:tcPr/>
          <w:p>
            <w:pPr>
              <w:pStyle w:val="Compact"/>
              <w:jc w:val="left"/>
            </w:pPr>
            <w:r>
              <w:t xml:space="preserve">Lector/grabador RFID USB</w:t>
            </w:r>
          </w:p>
        </w:tc>
        <w:tc>
          <w:tcPr/>
          <w:p>
            <w:pPr>
              <w:pStyle w:val="Compact"/>
              <w:jc w:val="center"/>
            </w:pPr>
            <w:r>
              <w:t xml:space="preserve">1</w:t>
            </w:r>
          </w:p>
        </w:tc>
        <w:tc>
          <w:tcPr/>
          <w:p>
            <w:pPr>
              <w:pStyle w:val="Compact"/>
              <w:jc w:val="center"/>
            </w:pPr>
            <w:r>
              <w:t xml:space="preserve">90.00</w:t>
            </w:r>
          </w:p>
        </w:tc>
        <w:tc>
          <w:tcPr/>
          <w:p>
            <w:pPr>
              <w:pStyle w:val="Compact"/>
              <w:jc w:val="center"/>
            </w:pPr>
            <w:r>
              <w:t xml:space="preserve">90.00</w:t>
            </w:r>
          </w:p>
        </w:tc>
      </w:tr>
      <w:tr>
        <w:tc>
          <w:tcPr/>
          <w:p>
            <w:pPr>
              <w:pStyle w:val="Compact"/>
              <w:jc w:val="left"/>
            </w:pPr>
            <w:r>
              <w:t xml:space="preserve">Tarjetas RFID de prueba (paquete x10)</w:t>
            </w:r>
          </w:p>
        </w:tc>
        <w:tc>
          <w:tcPr/>
          <w:p>
            <w:pPr>
              <w:pStyle w:val="Compact"/>
              <w:jc w:val="center"/>
            </w:pPr>
            <w:r>
              <w:t xml:space="preserve">1</w:t>
            </w:r>
          </w:p>
        </w:tc>
        <w:tc>
          <w:tcPr/>
          <w:p>
            <w:pPr>
              <w:pStyle w:val="Compact"/>
              <w:jc w:val="center"/>
            </w:pPr>
            <w:r>
              <w:t xml:space="preserve">30.00</w:t>
            </w:r>
          </w:p>
        </w:tc>
        <w:tc>
          <w:tcPr/>
          <w:p>
            <w:pPr>
              <w:pStyle w:val="Compact"/>
              <w:jc w:val="center"/>
            </w:pPr>
            <w:r>
              <w:t xml:space="preserve">30.00</w:t>
            </w:r>
          </w:p>
        </w:tc>
      </w:tr>
      <w:tr>
        <w:tc>
          <w:tcPr/>
          <w:p>
            <w:pPr>
              <w:pStyle w:val="Compact"/>
              <w:jc w:val="left"/>
            </w:pPr>
            <w:r>
              <w:t xml:space="preserve">Cámara web HD 1080p</w:t>
            </w:r>
          </w:p>
        </w:tc>
        <w:tc>
          <w:tcPr/>
          <w:p>
            <w:pPr>
              <w:pStyle w:val="Compact"/>
              <w:jc w:val="center"/>
            </w:pPr>
            <w:r>
              <w:t xml:space="preserve">1</w:t>
            </w:r>
          </w:p>
        </w:tc>
        <w:tc>
          <w:tcPr/>
          <w:p>
            <w:pPr>
              <w:pStyle w:val="Compact"/>
              <w:jc w:val="center"/>
            </w:pPr>
            <w:r>
              <w:t xml:space="preserve">120.00</w:t>
            </w:r>
          </w:p>
        </w:tc>
        <w:tc>
          <w:tcPr/>
          <w:p>
            <w:pPr>
              <w:pStyle w:val="Compact"/>
              <w:jc w:val="center"/>
            </w:pPr>
            <w:r>
              <w:t xml:space="preserve">120.00</w:t>
            </w:r>
          </w:p>
        </w:tc>
      </w:tr>
      <w:tr>
        <w:tc>
          <w:tcPr/>
          <w:p>
            <w:pPr>
              <w:pStyle w:val="Compact"/>
              <w:jc w:val="left"/>
            </w:pPr>
            <w:r>
              <w:t xml:space="preserve">Impresión y materiales de documentación</w:t>
            </w:r>
          </w:p>
        </w:tc>
        <w:tc>
          <w:tcPr/>
          <w:p>
            <w:pPr>
              <w:pStyle w:val="Compact"/>
              <w:jc w:val="center"/>
            </w:pPr>
            <w:r>
              <w:t xml:space="preserve">1</w:t>
            </w:r>
          </w:p>
        </w:tc>
        <w:tc>
          <w:tcPr/>
          <w:p>
            <w:pPr>
              <w:pStyle w:val="Compact"/>
              <w:jc w:val="center"/>
            </w:pPr>
            <w:r>
              <w:t xml:space="preserve">50.00</w:t>
            </w:r>
          </w:p>
        </w:tc>
        <w:tc>
          <w:tcPr/>
          <w:p>
            <w:pPr>
              <w:pStyle w:val="Compact"/>
              <w:jc w:val="center"/>
            </w:pPr>
            <w:r>
              <w:t xml:space="preserve">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290.00</w:t>
            </w:r>
          </w:p>
        </w:tc>
      </w:tr>
    </w:tbl>
    <w:bookmarkEnd w:id="35"/>
    <w:bookmarkStart w:id="36" w:name="costos-operativos-durante-el-desarrollo"/>
    <w:p>
      <w:pPr>
        <w:pStyle w:val="Heading3"/>
      </w:pPr>
      <w:r>
        <w:t xml:space="preserve">4.2.2 Costos operativos durante el desarrollo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Concepto</w:t>
            </w:r>
          </w:p>
        </w:tc>
        <w:tc>
          <w:tcPr>
            <w:shd w:val="clear" w:color="auto" w:fill="D9D9D9"/>
          </w:tcPr>
          <w:p>
            <w:pPr>
              <w:pStyle w:val="Compact"/>
              <w:jc w:val="center"/>
            </w:pPr>
            <w:r>
              <w:rPr>
                <w:b/>
              </w:rPr>
              <w:t xml:space="preserve">Costo Mensual (S/.)</w:t>
            </w:r>
          </w:p>
        </w:tc>
        <w:tc>
          <w:tcPr>
            <w:shd w:val="clear" w:color="auto" w:fill="D9D9D9"/>
          </w:tcPr>
          <w:p>
            <w:pPr>
              <w:pStyle w:val="Compact"/>
              <w:jc w:val="center"/>
            </w:pPr>
            <w:r>
              <w:rPr>
                <w:b/>
              </w:rPr>
              <w:t xml:space="preserve">Duración (meses)</w:t>
            </w:r>
          </w:p>
        </w:tc>
        <w:tc>
          <w:tcPr>
            <w:shd w:val="clear" w:color="auto" w:fill="D9D9D9"/>
          </w:tcPr>
          <w:p>
            <w:pPr>
              <w:pStyle w:val="Compact"/>
              <w:jc w:val="center"/>
            </w:pPr>
            <w:r>
              <w:rPr>
                <w:b/>
              </w:rPr>
              <w:t xml:space="preserve">Costo Total (S/.)</w:t>
            </w:r>
          </w:p>
        </w:tc>
      </w:tr>
      <w:tr>
        <w:tc>
          <w:tcPr/>
          <w:p>
            <w:pPr>
              <w:pStyle w:val="Compact"/>
              <w:jc w:val="left"/>
            </w:pPr>
            <w:r>
              <w:t xml:space="preserve">Dominio web (.com.pe)</w:t>
            </w:r>
          </w:p>
        </w:tc>
        <w:tc>
          <w:tcPr/>
          <w:p>
            <w:pPr>
              <w:pStyle w:val="Compact"/>
              <w:jc w:val="center"/>
            </w:pPr>
            <w:r>
              <w:t xml:space="preserve">5.83</w:t>
            </w:r>
          </w:p>
        </w:tc>
        <w:tc>
          <w:tcPr/>
          <w:p>
            <w:pPr>
              <w:pStyle w:val="Compact"/>
              <w:jc w:val="center"/>
            </w:pPr>
            <w:r>
              <w:t xml:space="preserve">4</w:t>
            </w:r>
          </w:p>
        </w:tc>
        <w:tc>
          <w:tcPr/>
          <w:p>
            <w:pPr>
              <w:pStyle w:val="Compact"/>
              <w:jc w:val="center"/>
            </w:pPr>
            <w:r>
              <w:t xml:space="preserve">23.32</w:t>
            </w:r>
          </w:p>
        </w:tc>
      </w:tr>
      <w:tr>
        <w:tc>
          <w:tcPr/>
          <w:p>
            <w:pPr>
              <w:pStyle w:val="Compact"/>
              <w:jc w:val="left"/>
            </w:pPr>
            <w:r>
              <w:t xml:space="preserve">Servicio de generación de códigos QR (API gratuita)</w:t>
            </w:r>
          </w:p>
        </w:tc>
        <w:tc>
          <w:tcPr/>
          <w:p>
            <w:pPr>
              <w:pStyle w:val="Compact"/>
              <w:jc w:val="center"/>
            </w:pPr>
            <w:r>
              <w:t xml:space="preserve">0.00</w:t>
            </w:r>
          </w:p>
        </w:tc>
        <w:tc>
          <w:tcPr/>
          <w:p>
            <w:pPr>
              <w:pStyle w:val="Compact"/>
              <w:jc w:val="center"/>
            </w:pPr>
            <w:r>
              <w:t xml:space="preserve">4</w:t>
            </w:r>
          </w:p>
        </w:tc>
        <w:tc>
          <w:tcPr/>
          <w:p>
            <w:pPr>
              <w:pStyle w:val="Compact"/>
              <w:jc w:val="center"/>
            </w:pPr>
            <w:r>
              <w:t xml:space="preserve">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23.32</w:t>
            </w:r>
          </w:p>
        </w:tc>
      </w:tr>
    </w:tbl>
    <w:bookmarkEnd w:id="36"/>
    <w:bookmarkStart w:id="37" w:name="costos-del-ambiente"/>
    <w:p>
      <w:pPr>
        <w:pStyle w:val="Heading3"/>
      </w:pPr>
      <w:r>
        <w:t xml:space="preserve">4.2.3 Costos del ambiente</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Recurso</w:t>
            </w:r>
          </w:p>
        </w:tc>
        <w:tc>
          <w:tcPr>
            <w:shd w:val="clear" w:color="auto" w:fill="D9D9D9"/>
          </w:tcPr>
          <w:p>
            <w:pPr>
              <w:pStyle w:val="Compact"/>
              <w:jc w:val="center"/>
            </w:pPr>
            <w:r>
              <w:rPr>
                <w:b/>
              </w:rPr>
              <w:t xml:space="preserve">Costo Mensual (S/.)</w:t>
            </w:r>
          </w:p>
        </w:tc>
        <w:tc>
          <w:tcPr>
            <w:shd w:val="clear" w:color="auto" w:fill="D9D9D9"/>
          </w:tcPr>
          <w:p>
            <w:pPr>
              <w:pStyle w:val="Compact"/>
              <w:jc w:val="center"/>
            </w:pPr>
            <w:r>
              <w:rPr>
                <w:b/>
              </w:rPr>
              <w:t xml:space="preserve">Meses</w:t>
            </w:r>
          </w:p>
        </w:tc>
        <w:tc>
          <w:tcPr>
            <w:shd w:val="clear" w:color="auto" w:fill="D9D9D9"/>
          </w:tcPr>
          <w:p>
            <w:pPr>
              <w:pStyle w:val="Compact"/>
              <w:jc w:val="center"/>
            </w:pPr>
            <w:r>
              <w:rPr>
                <w:b/>
              </w:rPr>
              <w:t xml:space="preserve">Costo Total (S/.)</w:t>
            </w:r>
          </w:p>
        </w:tc>
      </w:tr>
      <w:tr>
        <w:tc>
          <w:tcPr/>
          <w:p>
            <w:pPr>
              <w:pStyle w:val="Compact"/>
              <w:jc w:val="left"/>
            </w:pPr>
            <w:r>
              <w:t xml:space="preserve">Licencia de entorno de desarrollo (VS Code / PyCharm CE)</w:t>
            </w:r>
          </w:p>
        </w:tc>
        <w:tc>
          <w:tcPr/>
          <w:p>
            <w:pPr>
              <w:pStyle w:val="Compact"/>
              <w:jc w:val="center"/>
            </w:pPr>
            <w:r>
              <w:t xml:space="preserve">0.00</w:t>
            </w:r>
          </w:p>
        </w:tc>
        <w:tc>
          <w:tcPr/>
          <w:p>
            <w:pPr>
              <w:pStyle w:val="Compact"/>
              <w:jc w:val="center"/>
            </w:pPr>
            <w:r>
              <w:t xml:space="preserve">1</w:t>
            </w:r>
          </w:p>
        </w:tc>
        <w:tc>
          <w:tcPr/>
          <w:p>
            <w:pPr>
              <w:pStyle w:val="Compact"/>
              <w:jc w:val="center"/>
            </w:pPr>
            <w:r>
              <w:t xml:space="preserve">0.00</w:t>
            </w:r>
          </w:p>
        </w:tc>
      </w:tr>
      <w:tr>
        <w:tc>
          <w:tcPr/>
          <w:p>
            <w:pPr>
              <w:pStyle w:val="Compact"/>
              <w:jc w:val="left"/>
            </w:pPr>
            <w:r>
              <w:t xml:space="preserve">Entorno de pruebas/staging en la nube (plan gratuito + almacenamiento adicional)</w:t>
            </w:r>
          </w:p>
        </w:tc>
        <w:tc>
          <w:tcPr/>
          <w:p>
            <w:pPr>
              <w:pStyle w:val="Compact"/>
              <w:jc w:val="center"/>
            </w:pPr>
            <w:r>
              <w:t xml:space="preserve">15.00</w:t>
            </w:r>
          </w:p>
        </w:tc>
        <w:tc>
          <w:tcPr/>
          <w:p>
            <w:pPr>
              <w:pStyle w:val="Compact"/>
              <w:jc w:val="center"/>
            </w:pPr>
            <w:r>
              <w:t xml:space="preserve">4</w:t>
            </w:r>
          </w:p>
        </w:tc>
        <w:tc>
          <w:tcPr/>
          <w:p>
            <w:pPr>
              <w:pStyle w:val="Compact"/>
              <w:jc w:val="center"/>
            </w:pPr>
            <w:r>
              <w:t xml:space="preserve">60.00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center"/>
            </w:pPr>
            <w:r>
              <w:rPr>
                <w:b/>
                <w:bCs/>
              </w:rPr>
              <w:t xml:space="preserve">60.00</w:t>
            </w:r>
          </w:p>
        </w:tc>
      </w:tr>
    </w:tbl>
    <w:bookmarkEnd w:id="37"/>
    <w:bookmarkStart w:id="38" w:name="costos-de-personal"/>
    <w:p>
      <w:pPr>
        <w:pStyle w:val="Heading3"/>
      </w:pPr>
      <w:r>
        <w:t xml:space="preserve">4.2.4 Costos de personal</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931"/>
        <w:gridCol w:w="1397"/>
        <w:gridCol w:w="1397"/>
        <w:gridCol w:w="1397"/>
        <w:gridCol w:w="1397"/>
        <w:gridCol w:w="1397"/>
      </w:tblGrid>
      <w:tr>
        <w:trPr>
          <w:tblHeader w:val="on"/>
        </w:trPr>
        <w:tc>
          <w:tcPr>
            <w:shd w:val="clear" w:color="auto" w:fill="D9D9D9"/>
          </w:tcPr>
          <w:p>
            <w:pPr>
              <w:pStyle w:val="Compact"/>
              <w:jc w:val="left"/>
            </w:pPr>
            <w:r>
              <w:rPr>
                <w:b/>
              </w:rPr>
              <w:t xml:space="preserve">Rol</w:t>
            </w:r>
          </w:p>
        </w:tc>
        <w:tc>
          <w:tcPr>
            <w:shd w:val="clear" w:color="auto" w:fill="D9D9D9"/>
          </w:tcPr>
          <w:p>
            <w:pPr>
              <w:pStyle w:val="Compact"/>
              <w:jc w:val="center"/>
            </w:pPr>
            <w:r>
              <w:rPr>
                <w:b/>
              </w:rPr>
              <w:t xml:space="preserve">Costo por hora (S/.)</w:t>
            </w:r>
          </w:p>
        </w:tc>
        <w:tc>
          <w:tcPr>
            <w:shd w:val="clear" w:color="auto" w:fill="D9D9D9"/>
          </w:tcPr>
          <w:p>
            <w:pPr>
              <w:pStyle w:val="Compact"/>
              <w:jc w:val="center"/>
            </w:pPr>
            <w:r>
              <w:rPr>
                <w:b/>
              </w:rPr>
              <w:t xml:space="preserve">Horas (5 días)</w:t>
            </w:r>
          </w:p>
        </w:tc>
        <w:tc>
          <w:tcPr>
            <w:shd w:val="clear" w:color="auto" w:fill="D9D9D9"/>
          </w:tcPr>
          <w:p>
            <w:pPr>
              <w:pStyle w:val="Compact"/>
              <w:jc w:val="center"/>
            </w:pPr>
            <w:r>
              <w:rPr>
                <w:b/>
              </w:rPr>
              <w:t xml:space="preserve">Sueldo Mensual (S/.)</w:t>
            </w:r>
          </w:p>
        </w:tc>
        <w:tc>
          <w:tcPr>
            <w:shd w:val="clear" w:color="auto" w:fill="D9D9D9"/>
          </w:tcPr>
          <w:p>
            <w:pPr>
              <w:pStyle w:val="Compact"/>
              <w:jc w:val="center"/>
            </w:pPr>
            <w:r>
              <w:rPr>
                <w:b/>
              </w:rPr>
              <w:t xml:space="preserve">Meses</w:t>
            </w:r>
          </w:p>
        </w:tc>
        <w:tc>
          <w:tcPr>
            <w:shd w:val="clear" w:color="auto" w:fill="D9D9D9"/>
          </w:tcPr>
          <w:p>
            <w:pPr>
              <w:pStyle w:val="Compact"/>
              <w:jc w:val="center"/>
            </w:pPr>
            <w:r>
              <w:rPr>
                <w:b/>
              </w:rPr>
              <w:t xml:space="preserve">Subtotal (S/.)</w:t>
            </w:r>
          </w:p>
        </w:tc>
      </w:tr>
      <w:tr>
        <w:tc>
          <w:tcPr/>
          <w:p>
            <w:pPr>
              <w:pStyle w:val="Compact"/>
              <w:jc w:val="left"/>
            </w:pPr>
            <w:r>
              <w:t xml:space="preserve">Jefa de Proyecto / Responsable de Calidad y Pruebas — Gabriela Cohaila Alvarado</w:t>
            </w:r>
          </w:p>
        </w:tc>
        <w:tc>
          <w:tcPr/>
          <w:p>
            <w:pPr>
              <w:pStyle w:val="Compact"/>
              <w:jc w:val="center"/>
            </w:pPr>
            <w:r>
              <w:t xml:space="preserve">13.70</w:t>
            </w:r>
          </w:p>
        </w:tc>
        <w:tc>
          <w:tcPr/>
          <w:p>
            <w:pPr>
              <w:pStyle w:val="Compact"/>
              <w:jc w:val="center"/>
            </w:pPr>
            <w:r>
              <w:t xml:space="preserve">4 h</w:t>
            </w:r>
          </w:p>
        </w:tc>
        <w:tc>
          <w:tcPr/>
          <w:p>
            <w:pPr>
              <w:pStyle w:val="Compact"/>
              <w:jc w:val="center"/>
            </w:pPr>
            <w:r>
              <w:t xml:space="preserve">1,200.00</w:t>
            </w:r>
          </w:p>
        </w:tc>
        <w:tc>
          <w:tcPr/>
          <w:p>
            <w:pPr>
              <w:pStyle w:val="Compact"/>
              <w:jc w:val="center"/>
            </w:pPr>
            <w:r>
              <w:t xml:space="preserve">4</w:t>
            </w:r>
          </w:p>
        </w:tc>
        <w:tc>
          <w:tcPr/>
          <w:p>
            <w:pPr>
              <w:pStyle w:val="Compact"/>
              <w:jc w:val="center"/>
            </w:pPr>
            <w:r>
              <w:t xml:space="preserve">4,800.00</w:t>
            </w:r>
          </w:p>
        </w:tc>
      </w:tr>
      <w:tr>
        <w:tc>
          <w:tcPr/>
          <w:p>
            <w:pPr>
              <w:pStyle w:val="Compact"/>
              <w:jc w:val="left"/>
            </w:pPr>
            <w:r>
              <w:t xml:space="preserve">Desarrollador Full Stack / Responsable Técnico — Jhony Vargas Luque</w:t>
            </w:r>
          </w:p>
        </w:tc>
        <w:tc>
          <w:tcPr/>
          <w:p>
            <w:pPr>
              <w:pStyle w:val="Compact"/>
              <w:jc w:val="center"/>
            </w:pPr>
            <w:r>
              <w:t xml:space="preserve">12.50</w:t>
            </w:r>
          </w:p>
        </w:tc>
        <w:tc>
          <w:tcPr/>
          <w:p>
            <w:pPr>
              <w:pStyle w:val="Compact"/>
              <w:jc w:val="center"/>
            </w:pPr>
            <w:r>
              <w:t xml:space="preserve">4 h</w:t>
            </w:r>
          </w:p>
        </w:tc>
        <w:tc>
          <w:tcPr/>
          <w:p>
            <w:pPr>
              <w:pStyle w:val="Compact"/>
              <w:jc w:val="center"/>
            </w:pPr>
            <w:r>
              <w:t xml:space="preserve">1,100.00</w:t>
            </w:r>
          </w:p>
        </w:tc>
        <w:tc>
          <w:tcPr/>
          <w:p>
            <w:pPr>
              <w:pStyle w:val="Compact"/>
              <w:jc w:val="center"/>
            </w:pPr>
            <w:r>
              <w:t xml:space="preserve">4</w:t>
            </w:r>
          </w:p>
        </w:tc>
        <w:tc>
          <w:tcPr/>
          <w:p>
            <w:pPr>
              <w:pStyle w:val="Compact"/>
              <w:jc w:val="center"/>
            </w:pPr>
            <w:r>
              <w:t xml:space="preserve">4,400.00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9,200.00</w:t>
            </w:r>
          </w:p>
        </w:tc>
      </w:tr>
    </w:tbl>
    <w:bookmarkEnd w:id="38"/>
    <w:bookmarkStart w:id="39" w:name="X6e28a6ca8fc289e4f3184f025db69517107611b"/>
    <w:p>
      <w:pPr>
        <w:pStyle w:val="Heading3"/>
      </w:pPr>
      <w:r>
        <w:t xml:space="preserve">4.2.5 Costos totales del desarrollo del sistema</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Categoría</w:t>
            </w:r>
          </w:p>
        </w:tc>
        <w:tc>
          <w:tcPr>
            <w:shd w:val="clear" w:color="auto" w:fill="D9D9D9"/>
          </w:tcPr>
          <w:p>
            <w:pPr>
              <w:pStyle w:val="Compact"/>
              <w:jc w:val="center"/>
            </w:pPr>
            <w:r>
              <w:rPr>
                <w:b/>
              </w:rPr>
              <w:t xml:space="preserve">Costo Total (S/.)</w:t>
            </w:r>
          </w:p>
        </w:tc>
      </w:tr>
      <w:tr>
        <w:tc>
          <w:tcPr/>
          <w:p>
            <w:pPr>
              <w:pStyle w:val="Compact"/>
              <w:jc w:val="left"/>
            </w:pPr>
            <w:r>
              <w:t xml:space="preserve">Costos Generales (hardware y equipos)</w:t>
            </w:r>
          </w:p>
        </w:tc>
        <w:tc>
          <w:tcPr/>
          <w:p>
            <w:pPr>
              <w:pStyle w:val="Compact"/>
              <w:jc w:val="center"/>
            </w:pPr>
            <w:r>
              <w:t xml:space="preserve">290.00</w:t>
            </w:r>
          </w:p>
        </w:tc>
      </w:tr>
      <w:tr>
        <w:tc>
          <w:tcPr/>
          <w:p>
            <w:pPr>
              <w:pStyle w:val="Compact"/>
              <w:jc w:val="left"/>
            </w:pPr>
            <w:r>
              <w:t xml:space="preserve">Costos Operativos (servicios durante el desarrollo)</w:t>
            </w:r>
          </w:p>
        </w:tc>
        <w:tc>
          <w:tcPr/>
          <w:p>
            <w:pPr>
              <w:pStyle w:val="Compact"/>
              <w:jc w:val="center"/>
            </w:pPr>
            <w:r>
              <w:t xml:space="preserve">23.32</w:t>
            </w:r>
          </w:p>
        </w:tc>
      </w:tr>
      <w:tr>
        <w:tc>
          <w:tcPr/>
          <w:p>
            <w:pPr>
              <w:pStyle w:val="Compact"/>
              <w:jc w:val="left"/>
            </w:pPr>
            <w:r>
              <w:t xml:space="preserve">Costos del Ambiente</w:t>
            </w:r>
          </w:p>
        </w:tc>
        <w:tc>
          <w:tcPr/>
          <w:p>
            <w:pPr>
              <w:pStyle w:val="Compact"/>
              <w:jc w:val="center"/>
            </w:pPr>
            <w:r>
              <w:t xml:space="preserve">60.00</w:t>
            </w:r>
          </w:p>
        </w:tc>
      </w:tr>
      <w:tr>
        <w:tc>
          <w:tcPr/>
          <w:p>
            <w:pPr>
              <w:pStyle w:val="Compact"/>
              <w:jc w:val="left"/>
            </w:pPr>
            <w:r>
              <w:t xml:space="preserve">Costos de Personal (equipo del proyecto)</w:t>
            </w:r>
          </w:p>
        </w:tc>
        <w:tc>
          <w:tcPr/>
          <w:p>
            <w:pPr>
              <w:pStyle w:val="Compact"/>
              <w:jc w:val="center"/>
            </w:pPr>
            <w:r>
              <w:t xml:space="preserve">9,200.00</w:t>
            </w:r>
          </w:p>
        </w:tc>
      </w:tr>
      <w:tr>
        <w:tc>
          <w:tcPr/>
          <w:p>
            <w:pPr>
              <w:pStyle w:val="Compact"/>
              <w:jc w:val="left"/>
            </w:pPr>
            <w:r>
              <w:rPr>
                <w:b/>
                <w:bCs/>
              </w:rPr>
              <w:t xml:space="preserve">Total General</w:t>
            </w:r>
          </w:p>
        </w:tc>
        <w:tc>
          <w:tcPr/>
          <w:p>
            <w:pPr>
              <w:pStyle w:val="Compact"/>
              <w:jc w:val="center"/>
            </w:pPr>
            <w:r>
              <w:rPr>
                <w:b/>
                <w:bCs/>
              </w:rPr>
              <w:t xml:space="preserve">9,573.32</w:t>
            </w:r>
          </w:p>
        </w:tc>
      </w:tr>
    </w:tbl>
    <w:bookmarkEnd w:id="39"/>
    <w:bookmarkEnd w:id="40"/>
    <w:bookmarkStart w:id="41" w:name="factibilidad-operativa"/>
    <w:p>
      <w:pPr>
        <w:pStyle w:val="Heading2"/>
      </w:pPr>
      <w:r>
        <w:t xml:space="preserve">4.3 Factibilidad Operativa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262"/>
        <w:gridCol w:w="2262"/>
        <w:gridCol w:w="3394"/>
      </w:tblGrid>
      <w:tr>
        <w:trPr>
          <w:tblHeader w:val="on"/>
        </w:trPr>
        <w:tc>
          <w:tcPr>
            <w:shd w:val="clear" w:color="auto" w:fill="D9D9D9"/>
          </w:tcPr>
          <w:p>
            <w:pPr>
              <w:pStyle w:val="Compact"/>
              <w:jc w:val="left"/>
            </w:pPr>
            <w:r>
              <w:rPr>
                <w:b/>
              </w:rPr>
              <w:t xml:space="preserve">Aspecto</w:t>
            </w:r>
          </w:p>
        </w:tc>
        <w:tc>
          <w:tcPr>
            <w:shd w:val="clear" w:color="auto" w:fill="D9D9D9"/>
          </w:tcPr>
          <w:p>
            <w:pPr>
              <w:pStyle w:val="Compact"/>
              <w:jc w:val="left"/>
            </w:pPr>
            <w:r>
              <w:rPr>
                <w:b/>
              </w:rPr>
              <w:t xml:space="preserve">Descripción</w:t>
            </w:r>
          </w:p>
        </w:tc>
        <w:tc>
          <w:tcPr>
            <w:shd w:val="clear" w:color="auto" w:fill="D9D9D9"/>
          </w:tcPr>
          <w:p>
            <w:pPr>
              <w:pStyle w:val="Compact"/>
              <w:jc w:val="center"/>
            </w:pPr>
            <w:r>
              <w:rPr>
                <w:b/>
              </w:rPr>
              <w:t xml:space="preserve">Estado</w:t>
            </w:r>
          </w:p>
        </w:tc>
      </w:tr>
      <w:tr>
        <w:tc>
          <w:tcPr/>
          <w:p>
            <w:pPr>
              <w:pStyle w:val="Compact"/>
              <w:jc w:val="left"/>
            </w:pPr>
            <w:r>
              <w:t xml:space="preserve">Usuarios finales (operadores de prueba)</w:t>
            </w:r>
          </w:p>
        </w:tc>
        <w:tc>
          <w:tcPr/>
          <w:p>
            <w:pPr>
              <w:pStyle w:val="Compact"/>
              <w:jc w:val="left"/>
            </w:pPr>
            <w:r>
              <w:t xml:space="preserve">Estudiantes y voluntarios con conocimientos básicos de informática ejecutarán el flujo de verificación; la interfaz será intuitiva.</w:t>
            </w:r>
          </w:p>
        </w:tc>
        <w:tc>
          <w:tcPr/>
          <w:p>
            <w:pPr>
              <w:pStyle w:val="Compact"/>
              <w:jc w:val="center"/>
            </w:pPr>
            <w:r>
              <w:t xml:space="preserve">viable</w:t>
            </w:r>
          </w:p>
        </w:tc>
      </w:tr>
      <w:tr>
        <w:tc>
          <w:tcPr/>
          <w:p>
            <w:pPr>
              <w:pStyle w:val="Compact"/>
              <w:jc w:val="left"/>
            </w:pPr>
            <w:r>
              <w:t xml:space="preserve">Panel de auditoría</w:t>
            </w:r>
          </w:p>
        </w:tc>
        <w:tc>
          <w:tcPr/>
          <w:p>
            <w:pPr>
              <w:pStyle w:val="Compact"/>
              <w:jc w:val="left"/>
            </w:pPr>
            <w:r>
              <w:t xml:space="preserve">Permite consultar sesiones de verificación, resultados y bitácora sin necesidad de conocimientos técnicos avanzados.</w:t>
            </w:r>
          </w:p>
        </w:tc>
        <w:tc>
          <w:tcPr/>
          <w:p>
            <w:pPr>
              <w:pStyle w:val="Compact"/>
              <w:jc w:val="center"/>
            </w:pPr>
            <w:r>
              <w:t xml:space="preserve">viable</w:t>
            </w:r>
          </w:p>
        </w:tc>
      </w:tr>
      <w:tr>
        <w:tc>
          <w:tcPr/>
          <w:p>
            <w:pPr>
              <w:pStyle w:val="Compact"/>
              <w:jc w:val="left"/>
            </w:pPr>
            <w:r>
              <w:t xml:space="preserve">Capacitación</w:t>
            </w:r>
          </w:p>
        </w:tc>
        <w:tc>
          <w:tcPr/>
          <w:p>
            <w:pPr>
              <w:pStyle w:val="Compact"/>
              <w:jc w:val="left"/>
            </w:pPr>
            <w:r>
              <w:t xml:space="preserve">Se realizará una sesión breve de inducción a los participantes voluntarios antes de las pruebas biométricas.</w:t>
            </w:r>
          </w:p>
        </w:tc>
        <w:tc>
          <w:tcPr/>
          <w:p>
            <w:pPr>
              <w:pStyle w:val="Compact"/>
              <w:jc w:val="center"/>
            </w:pPr>
            <w:r>
              <w:t xml:space="preserve">planificada</w:t>
            </w:r>
          </w:p>
        </w:tc>
      </w:tr>
      <w:tr>
        <w:tc>
          <w:tcPr/>
          <w:p>
            <w:pPr>
              <w:pStyle w:val="Compact"/>
              <w:jc w:val="left"/>
            </w:pPr>
            <w:r>
              <w:t xml:space="preserve">Soporte técnico</w:t>
            </w:r>
          </w:p>
        </w:tc>
        <w:tc>
          <w:tcPr/>
          <w:p>
            <w:pPr>
              <w:pStyle w:val="Compact"/>
              <w:jc w:val="left"/>
            </w:pPr>
            <w:r>
              <w:t xml:space="preserve">El equipo del proyecto brindará soporte durante todo el periodo de pruebas académicas.</w:t>
            </w:r>
          </w:p>
        </w:tc>
        <w:tc>
          <w:tcPr/>
          <w:p>
            <w:pPr>
              <w:pStyle w:val="Compact"/>
              <w:jc w:val="center"/>
            </w:pPr>
            <w:r>
              <w:t xml:space="preserve">planificado</w:t>
            </w:r>
          </w:p>
        </w:tc>
      </w:tr>
      <w:tr>
        <w:tc>
          <w:tcPr/>
          <w:p>
            <w:pPr>
              <w:pStyle w:val="Compact"/>
              <w:jc w:val="left"/>
            </w:pPr>
            <w:r>
              <w:t xml:space="preserve">Alcance experimental</w:t>
            </w:r>
          </w:p>
        </w:tc>
        <w:tc>
          <w:tcPr/>
          <w:p>
            <w:pPr>
              <w:pStyle w:val="Compact"/>
              <w:jc w:val="left"/>
            </w:pPr>
            <w:r>
              <w:t xml:space="preserve">El sistema no sustituye a Reniec, SID-Sunarp ni la firma digital oficial; opera únicamente sobre identidades y trámites simulados.</w:t>
            </w:r>
          </w:p>
        </w:tc>
        <w:tc>
          <w:tcPr/>
          <w:p>
            <w:pPr>
              <w:pStyle w:val="Compact"/>
              <w:jc w:val="center"/>
            </w:pPr>
            <w:r>
              <w:t xml:space="preserve">delimitado</w:t>
            </w:r>
          </w:p>
        </w:tc>
      </w:tr>
    </w:tbl>
    <w:bookmarkEnd w:id="41"/>
    <w:bookmarkStart w:id="42" w:name="factibilidad-legal"/>
    <w:p>
      <w:pPr>
        <w:pStyle w:val="Heading2"/>
      </w:pPr>
      <w:r>
        <w:t xml:space="preserve">4.4 Factibilidad Legal</w:t>
      </w:r>
    </w:p>
    <w:p>
      <w:pPr>
        <w:pStyle w:val="Compact"/>
        <w:numPr>
          <w:ilvl w:val="0"/>
          <w:numId w:val="1003"/>
        </w:numPr>
      </w:pPr>
      <w:r>
        <w:rPr>
          <w:b/>
          <w:bCs/>
        </w:rPr>
        <w:t xml:space="preserve">Ley N.° 29733, Ley de Protección de Datos Personales</w:t>
      </w:r>
      <w:r>
        <w:t xml:space="preserve">, y su Reglamento aprobado mediante D.S. N.° 016-2024-JUS: reconocen los datos biométricos como información sensible. El proyecto utilizará exclusivamente identidades ficticias y datos de participantes voluntarios que autoricen expresamente su uso.</w:t>
      </w:r>
    </w:p>
    <w:p>
      <w:pPr>
        <w:pStyle w:val="Compact"/>
        <w:numPr>
          <w:ilvl w:val="0"/>
          <w:numId w:val="1003"/>
        </w:numPr>
      </w:pPr>
      <w:r>
        <w:t xml:space="preserve">El proyecto</w:t>
      </w:r>
      <w:r>
        <w:t xml:space="preserve"> </w:t>
      </w:r>
      <w:r>
        <w:rPr>
          <w:b/>
          <w:bCs/>
        </w:rPr>
        <w:t xml:space="preserve">no sustituye</w:t>
      </w:r>
      <w:r>
        <w:t xml:space="preserve"> </w:t>
      </w:r>
      <w:r>
        <w:t xml:space="preserve">a Reniec, al SID-Sunarp, a la firma digital oficial (Res. N.° 169-2023-SUNARP/SN) ni a los procedimientos notariales legales vigentes; se plantea como una capa experimental complementaria.</w:t>
      </w:r>
    </w:p>
    <w:p>
      <w:pPr>
        <w:pStyle w:val="Compact"/>
        <w:numPr>
          <w:ilvl w:val="0"/>
          <w:numId w:val="1003"/>
        </w:numPr>
      </w:pPr>
      <w:r>
        <w:rPr>
          <w:b/>
          <w:bCs/>
        </w:rPr>
        <w:t xml:space="preserve">Propiedad intelectual:</w:t>
      </w:r>
      <w:r>
        <w:t xml:space="preserve"> </w:t>
      </w:r>
      <w:r>
        <w:t xml:space="preserve">el código fuente será propiedad de los integrantes del proyecto para fines académicos.</w:t>
      </w:r>
    </w:p>
    <w:bookmarkEnd w:id="42"/>
    <w:bookmarkStart w:id="43" w:name="factibilidad-social"/>
    <w:p>
      <w:pPr>
        <w:pStyle w:val="Heading2"/>
      </w:pPr>
      <w:r>
        <w:t xml:space="preserve">4.5 Factibilidad Social</w:t>
      </w:r>
    </w:p>
    <w:p>
      <w:pPr>
        <w:pStyle w:val="Compact"/>
        <w:numPr>
          <w:ilvl w:val="0"/>
          <w:numId w:val="1004"/>
        </w:numPr>
      </w:pPr>
      <w:r>
        <w:t xml:space="preserve">Fortalece la confianza en los trámites notariales al reducir el riesgo percibido de suplantación de identidad.</w:t>
      </w:r>
    </w:p>
    <w:p>
      <w:pPr>
        <w:pStyle w:val="Compact"/>
        <w:numPr>
          <w:ilvl w:val="0"/>
          <w:numId w:val="1004"/>
        </w:numPr>
      </w:pPr>
      <w:r>
        <w:rPr>
          <w:b/>
          <w:bCs/>
        </w:rPr>
        <w:t xml:space="preserve">ODS 16 – Paz, Justicia e Instituciones Sólidas:</w:t>
      </w:r>
      <w:r>
        <w:t xml:space="preserve"> </w:t>
      </w:r>
      <w:r>
        <w:t xml:space="preserve">contribuye a instituciones más transparentes y seguras frente al fraude documental e identitario.</w:t>
      </w:r>
    </w:p>
    <w:p>
      <w:pPr>
        <w:pStyle w:val="Compact"/>
        <w:numPr>
          <w:ilvl w:val="0"/>
          <w:numId w:val="1004"/>
        </w:numPr>
      </w:pPr>
      <w:r>
        <w:rPr>
          <w:b/>
          <w:bCs/>
        </w:rPr>
        <w:t xml:space="preserve">ODS 9 – Industria, Innovación e Infraestructura:</w:t>
      </w:r>
      <w:r>
        <w:t xml:space="preserve"> </w:t>
      </w:r>
      <w:r>
        <w:t xml:space="preserve">introduce innovación tecnológica (biometría, criptografía) en un proceso tradicionalmente manual.</w:t>
      </w:r>
    </w:p>
    <w:p>
      <w:pPr>
        <w:pStyle w:val="Compact"/>
        <w:numPr>
          <w:ilvl w:val="0"/>
          <w:numId w:val="1004"/>
        </w:numPr>
      </w:pPr>
      <w:r>
        <w:t xml:space="preserve">Aporta valor académico como base para investigación futura sobre verificación de identidad aplicada al sector notarial y registral peruano.</w:t>
      </w:r>
    </w:p>
    <w:bookmarkEnd w:id="43"/>
    <w:bookmarkStart w:id="44" w:name="factibilidad-ambiental"/>
    <w:p>
      <w:pPr>
        <w:pStyle w:val="Heading2"/>
      </w:pPr>
      <w:r>
        <w:t xml:space="preserve">4.6 Factibilidad Ambiental</w:t>
      </w:r>
    </w:p>
    <w:p>
      <w:pPr>
        <w:pStyle w:val="Compact"/>
        <w:numPr>
          <w:ilvl w:val="0"/>
          <w:numId w:val="1005"/>
        </w:numPr>
      </w:pPr>
      <w:r>
        <w:t xml:space="preserve">Reduce el uso de papel al digitalizar la verificación y la evidencia, frente a procesos que dependen de copias físicas de documentos.</w:t>
      </w:r>
    </w:p>
    <w:p>
      <w:pPr>
        <w:pStyle w:val="Compact"/>
        <w:numPr>
          <w:ilvl w:val="0"/>
          <w:numId w:val="1005"/>
        </w:numPr>
      </w:pPr>
      <w:r>
        <w:t xml:space="preserve">El hardware utilizado (cámara web, lector RFID) tiene un consumo energético bajo.</w:t>
      </w:r>
    </w:p>
    <w:p>
      <w:pPr>
        <w:pStyle w:val="Compact"/>
        <w:numPr>
          <w:ilvl w:val="0"/>
          <w:numId w:val="1005"/>
        </w:numPr>
      </w:pPr>
      <w:r>
        <w:t xml:space="preserve">No genera residuos electrónicos significativos, ya que reutiliza equipos existentes de los integrantes del equipo.</w:t>
      </w:r>
    </w:p>
    <w:bookmarkEnd w:id="44"/>
    <w:bookmarkEnd w:id="45"/>
    <w:bookmarkStart w:id="50" w:name="análisis-financiero"/>
    <w:p>
      <w:pPr>
        <w:pStyle w:val="Ttulo1"/>
      </w:pPr>
      <w:r>
        <w:t xml:space="preserve">5. Análisis Financiero</w:t>
      </w:r>
    </w:p>
    <w:p>
      <w:pPr>
        <w:pStyle w:val="FirstParagraph"/>
        <w:jc w:val="both"/>
      </w:pPr>
      <w:r>
        <w:t xml:space="preserve">Dado que NotaryVerify es un prototipo académico, el presente análisis financiero evalúa un escenario hipotético en el que una notaría adoptara el sistema como capa complementaria de verificación, con el fin de estimar la viabilidad económica de continuar el desarrollo más allá de la etapa experimental.</w:t>
      </w:r>
    </w:p>
    <w:bookmarkStart w:id="49" w:name="justificación-de-la-inversión"/>
    <w:p>
      <w:pPr>
        <w:pStyle w:val="Heading2"/>
      </w:pPr>
      <w:r>
        <w:t xml:space="preserve">5.1 Justificación de la Inversión</w:t>
      </w:r>
    </w:p>
    <w:bookmarkStart w:id="46" w:name="beneficios-del-proyecto"/>
    <w:p>
      <w:pPr>
        <w:pStyle w:val="Heading3"/>
      </w:pPr>
      <w:r>
        <w:t xml:space="preserve">5.1.1 Beneficios del Proyecto</w:t>
      </w:r>
    </w:p>
    <w:p>
      <w:pPr>
        <w:pStyle w:val="Compact"/>
        <w:numPr>
          <w:ilvl w:val="0"/>
          <w:numId w:val="1006"/>
        </w:numPr>
      </w:pPr>
      <w:r>
        <w:t xml:space="preserve">Reducción de riesgo legal y reputacional por suplantación de identidad evitada.</w:t>
      </w:r>
    </w:p>
    <w:p>
      <w:pPr>
        <w:pStyle w:val="Compact"/>
        <w:numPr>
          <w:ilvl w:val="0"/>
          <w:numId w:val="1006"/>
        </w:numPr>
      </w:pPr>
      <w:r>
        <w:t xml:space="preserve">Reducción del tiempo dedicado a la verificación manual de identidad.</w:t>
      </w:r>
    </w:p>
    <w:p>
      <w:pPr>
        <w:pStyle w:val="Compact"/>
        <w:numPr>
          <w:ilvl w:val="0"/>
          <w:numId w:val="1006"/>
        </w:numPr>
      </w:pPr>
      <w:r>
        <w:t xml:space="preserve">Ahorro en gestión documental y auditoría manual de trámites.</w:t>
      </w:r>
    </w:p>
    <w:p>
      <w:pPr>
        <w:pStyle w:val="Compact"/>
        <w:numPr>
          <w:ilvl w:val="0"/>
          <w:numId w:val="1006"/>
        </w:numPr>
      </w:pPr>
      <w:r>
        <w:t xml:space="preserve">Aumento de la confianza del cliente y trazabilidad de las operaciones.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1584"/>
        <w:gridCol w:w="2376"/>
        <w:gridCol w:w="2376"/>
      </w:tblGrid>
      <w:tr>
        <w:trPr>
          <w:tblHeader w:val="on"/>
        </w:trPr>
        <w:tc>
          <w:tcPr>
            <w:shd w:val="clear" w:color="auto" w:fill="D9D9D9"/>
          </w:tcPr>
          <w:p>
            <w:pPr>
              <w:pStyle w:val="Compact"/>
              <w:jc w:val="left"/>
            </w:pPr>
            <w:r>
              <w:rPr>
                <w:b/>
              </w:rPr>
              <w:t xml:space="preserve">Tipo</w:t>
            </w:r>
          </w:p>
        </w:tc>
        <w:tc>
          <w:tcPr>
            <w:shd w:val="clear" w:color="auto" w:fill="D9D9D9"/>
          </w:tcPr>
          <w:p>
            <w:pPr>
              <w:pStyle w:val="Compact"/>
              <w:jc w:val="left"/>
            </w:pPr>
            <w:r>
              <w:rPr>
                <w:b/>
              </w:rPr>
              <w:t xml:space="preserve">Beneficio</w:t>
            </w:r>
          </w:p>
        </w:tc>
        <w:tc>
          <w:tcPr>
            <w:shd w:val="clear" w:color="auto" w:fill="D9D9D9"/>
          </w:tcPr>
          <w:p>
            <w:pPr>
              <w:pStyle w:val="Compact"/>
              <w:jc w:val="center"/>
            </w:pPr>
            <w:r>
              <w:rPr>
                <w:b/>
              </w:rPr>
              <w:t xml:space="preserve">Valor Estimado Mensual (S/.)</w:t>
            </w:r>
          </w:p>
        </w:tc>
        <w:tc>
          <w:tcPr>
            <w:shd w:val="clear" w:color="auto" w:fill="D9D9D9"/>
          </w:tcPr>
          <w:p>
            <w:pPr>
              <w:pStyle w:val="Compact"/>
              <w:jc w:val="center"/>
            </w:pPr>
            <w:r>
              <w:rPr>
                <w:b/>
              </w:rPr>
              <w:t xml:space="preserve">Valor Anual (S/.)</w:t>
            </w:r>
          </w:p>
        </w:tc>
      </w:tr>
      <w:tr>
        <w:tc>
          <w:tcPr/>
          <w:p>
            <w:pPr>
              <w:pStyle w:val="Compact"/>
              <w:jc w:val="left"/>
            </w:pPr>
            <w:r>
              <w:t xml:space="preserve">Tangible</w:t>
            </w:r>
          </w:p>
        </w:tc>
        <w:tc>
          <w:tcPr/>
          <w:p>
            <w:pPr>
              <w:pStyle w:val="Compact"/>
              <w:jc w:val="left"/>
            </w:pPr>
            <w:r>
              <w:t xml:space="preserve">Reducción de riesgo legal y reputacional por suplantación evitada</w:t>
            </w:r>
          </w:p>
        </w:tc>
        <w:tc>
          <w:tcPr/>
          <w:p>
            <w:pPr>
              <w:pStyle w:val="Compact"/>
              <w:jc w:val="center"/>
            </w:pPr>
            <w:r>
              <w:t xml:space="preserve">250.00</w:t>
            </w:r>
          </w:p>
        </w:tc>
        <w:tc>
          <w:tcPr/>
          <w:p>
            <w:pPr>
              <w:pStyle w:val="Compact"/>
              <w:jc w:val="center"/>
            </w:pPr>
            <w:r>
              <w:t xml:space="preserve">3,000.00</w:t>
            </w:r>
          </w:p>
        </w:tc>
      </w:tr>
      <w:tr>
        <w:tc>
          <w:tcPr/>
          <w:p>
            <w:pPr>
              <w:pStyle w:val="Compact"/>
              <w:jc w:val="left"/>
            </w:pPr>
            <w:r>
              <w:t xml:space="preserve">Tangible</w:t>
            </w:r>
          </w:p>
        </w:tc>
        <w:tc>
          <w:tcPr/>
          <w:p>
            <w:pPr>
              <w:pStyle w:val="Compact"/>
              <w:jc w:val="left"/>
            </w:pPr>
            <w:r>
              <w:t xml:space="preserve">Reducción de tiempo de verificación manual de identidad</w:t>
            </w:r>
          </w:p>
        </w:tc>
        <w:tc>
          <w:tcPr/>
          <w:p>
            <w:pPr>
              <w:pStyle w:val="Compact"/>
              <w:jc w:val="center"/>
            </w:pPr>
            <w:r>
              <w:t xml:space="preserve">150.00</w:t>
            </w:r>
          </w:p>
        </w:tc>
        <w:tc>
          <w:tcPr/>
          <w:p>
            <w:pPr>
              <w:pStyle w:val="Compact"/>
              <w:jc w:val="center"/>
            </w:pPr>
            <w:r>
              <w:t xml:space="preserve">1,800.00</w:t>
            </w:r>
          </w:p>
        </w:tc>
      </w:tr>
      <w:tr>
        <w:tc>
          <w:tcPr/>
          <w:p>
            <w:pPr>
              <w:pStyle w:val="Compact"/>
              <w:jc w:val="left"/>
            </w:pPr>
            <w:r>
              <w:t xml:space="preserve">Tangible</w:t>
            </w:r>
          </w:p>
        </w:tc>
        <w:tc>
          <w:tcPr/>
          <w:p>
            <w:pPr>
              <w:pStyle w:val="Compact"/>
              <w:jc w:val="left"/>
            </w:pPr>
            <w:r>
              <w:t xml:space="preserve">Ahorro en gestión documental y auditoría manual</w:t>
            </w:r>
          </w:p>
        </w:tc>
        <w:tc>
          <w:tcPr/>
          <w:p>
            <w:pPr>
              <w:pStyle w:val="Compact"/>
              <w:jc w:val="center"/>
            </w:pPr>
            <w:r>
              <w:t xml:space="preserve">83.33</w:t>
            </w:r>
          </w:p>
        </w:tc>
        <w:tc>
          <w:tcPr/>
          <w:p>
            <w:pPr>
              <w:pStyle w:val="Compact"/>
              <w:jc w:val="center"/>
            </w:pPr>
            <w:r>
              <w:t xml:space="preserve">1,000.00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483.33</w:t>
            </w:r>
          </w:p>
        </w:tc>
        <w:tc>
          <w:tcPr/>
          <w:p>
            <w:pPr>
              <w:pStyle w:val="Compact"/>
              <w:jc w:val="center"/>
            </w:pPr>
            <w:r>
              <w:rPr>
                <w:b/>
                <w:bCs/>
              </w:rPr>
              <w:t xml:space="preserve">5,800.00</w:t>
            </w:r>
          </w:p>
        </w:tc>
      </w:tr>
    </w:tbl>
    <w:bookmarkEnd w:id="46"/>
    <w:bookmarkStart w:id="47" w:name="criterios-de-inversión"/>
    <w:p>
      <w:pPr>
        <w:pStyle w:val="Heading3"/>
      </w:pPr>
      <w:r>
        <w:t xml:space="preserve">5.1.2 Criterios de Inversión</w:t>
      </w:r>
    </w:p>
    <w:p>
      <w:pPr>
        <w:pStyle w:val="FirstParagraph"/>
        <w:jc w:val="both"/>
      </w:pPr>
      <w:r>
        <w:t xml:space="preserve">5.1.2.1. Relación Beneficio/Costo (B/C)</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Concepto</w:t>
            </w:r>
          </w:p>
        </w:tc>
        <w:tc>
          <w:tcPr>
            <w:shd w:val="clear" w:color="auto" w:fill="D9D9D9"/>
          </w:tcPr>
          <w:p>
            <w:pPr>
              <w:pStyle w:val="Compact"/>
              <w:jc w:val="center"/>
            </w:pPr>
            <w:r>
              <w:rPr>
                <w:b/>
              </w:rPr>
              <w:t xml:space="preserve">Valor (S/.)</w:t>
            </w:r>
          </w:p>
        </w:tc>
      </w:tr>
      <w:tr>
        <w:tc>
          <w:tcPr/>
          <w:p>
            <w:pPr>
              <w:pStyle w:val="Compact"/>
              <w:jc w:val="left"/>
            </w:pPr>
            <w:r>
              <w:t xml:space="preserve">Inversión Total del Proyecto</w:t>
            </w:r>
          </w:p>
        </w:tc>
        <w:tc>
          <w:tcPr/>
          <w:p>
            <w:pPr>
              <w:pStyle w:val="Compact"/>
              <w:jc w:val="center"/>
            </w:pPr>
            <w:r>
              <w:t xml:space="preserve">9,573.32</w:t>
            </w:r>
          </w:p>
        </w:tc>
      </w:tr>
      <w:tr>
        <w:tc>
          <w:tcPr/>
          <w:p>
            <w:pPr>
              <w:pStyle w:val="Compact"/>
              <w:jc w:val="left"/>
            </w:pPr>
            <w:r>
              <w:t xml:space="preserve">Beneficios Totales (Año 1 + Año 2 + Año 3)</w:t>
            </w:r>
          </w:p>
        </w:tc>
        <w:tc>
          <w:tcPr/>
          <w:p>
            <w:pPr>
              <w:pStyle w:val="Compact"/>
              <w:jc w:val="center"/>
            </w:pPr>
            <w:r>
              <w:t xml:space="preserve">17,400.00</w:t>
            </w:r>
          </w:p>
        </w:tc>
      </w:tr>
      <w:tr>
        <w:tc>
          <w:tcPr/>
          <w:p>
            <w:pPr>
              <w:pStyle w:val="Compact"/>
              <w:jc w:val="left"/>
            </w:pPr>
            <w:r>
              <w:t xml:space="preserve">Relación B/C</w:t>
            </w:r>
          </w:p>
        </w:tc>
        <w:tc>
          <w:tcPr/>
          <w:p>
            <w:pPr>
              <w:pStyle w:val="Compact"/>
              <w:jc w:val="center"/>
            </w:pPr>
            <w:r>
              <w:t xml:space="preserve">1.82 → PROYECTO ACEPTADO (B/C &gt; 1)</w:t>
            </w:r>
          </w:p>
        </w:tc>
      </w:tr>
    </w:tbl>
    <w:p>
      <w:pPr>
        <w:pStyle w:val="BodyText"/>
        <w:jc w:val="both"/>
      </w:pPr>
      <w:r>
        <w:t xml:space="preserve">5.1.2.2. Egresos e Ingresos anuales (post-implementación)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Gasto</w:t>
            </w:r>
          </w:p>
        </w:tc>
        <w:tc>
          <w:tcPr>
            <w:shd w:val="clear" w:color="auto" w:fill="D9D9D9"/>
          </w:tcPr>
          <w:p>
            <w:pPr>
              <w:pStyle w:val="Compact"/>
              <w:jc w:val="center"/>
            </w:pPr>
            <w:r>
              <w:rPr>
                <w:b/>
              </w:rPr>
              <w:t xml:space="preserve">Precio Mensual (S/.)</w:t>
            </w:r>
          </w:p>
        </w:tc>
        <w:tc>
          <w:tcPr>
            <w:shd w:val="clear" w:color="auto" w:fill="D9D9D9"/>
          </w:tcPr>
          <w:p>
            <w:pPr>
              <w:pStyle w:val="Compact"/>
              <w:jc w:val="center"/>
            </w:pPr>
            <w:r>
              <w:rPr>
                <w:b/>
              </w:rPr>
              <w:t xml:space="preserve">Cantidad (meses)</w:t>
            </w:r>
          </w:p>
        </w:tc>
        <w:tc>
          <w:tcPr>
            <w:shd w:val="clear" w:color="auto" w:fill="D9D9D9"/>
          </w:tcPr>
          <w:p>
            <w:pPr>
              <w:pStyle w:val="Compact"/>
              <w:jc w:val="center"/>
            </w:pPr>
            <w:r>
              <w:rPr>
                <w:b/>
              </w:rPr>
              <w:t xml:space="preserve">Total Anual (S/.)</w:t>
            </w:r>
          </w:p>
        </w:tc>
      </w:tr>
      <w:tr>
        <w:tc>
          <w:tcPr/>
          <w:p>
            <w:pPr>
              <w:pStyle w:val="Compact"/>
              <w:jc w:val="left"/>
            </w:pPr>
            <w:r>
              <w:t xml:space="preserve">Mantenimiento del sistema</w:t>
            </w:r>
          </w:p>
        </w:tc>
        <w:tc>
          <w:tcPr/>
          <w:p>
            <w:pPr>
              <w:pStyle w:val="Compact"/>
              <w:jc w:val="center"/>
            </w:pPr>
            <w:r>
              <w:t xml:space="preserve">50.00</w:t>
            </w:r>
          </w:p>
        </w:tc>
        <w:tc>
          <w:tcPr/>
          <w:p>
            <w:pPr>
              <w:pStyle w:val="Compact"/>
              <w:jc w:val="center"/>
            </w:pPr>
            <w:r>
              <w:t xml:space="preserve">12</w:t>
            </w:r>
          </w:p>
        </w:tc>
        <w:tc>
          <w:tcPr/>
          <w:p>
            <w:pPr>
              <w:pStyle w:val="Compact"/>
              <w:jc w:val="center"/>
            </w:pPr>
            <w:r>
              <w:t xml:space="preserve">600.00</w:t>
            </w:r>
          </w:p>
        </w:tc>
      </w:tr>
      <w:tr>
        <w:tc>
          <w:tcPr/>
          <w:p>
            <w:pPr>
              <w:pStyle w:val="Compact"/>
              <w:jc w:val="left"/>
            </w:pPr>
            <w:r>
              <w:t xml:space="preserve">Hosting y servicios cloud</w:t>
            </w:r>
          </w:p>
        </w:tc>
        <w:tc>
          <w:tcPr/>
          <w:p>
            <w:pPr>
              <w:pStyle w:val="Compact"/>
              <w:jc w:val="center"/>
            </w:pPr>
            <w:r>
              <w:t xml:space="preserve">25.00</w:t>
            </w:r>
          </w:p>
        </w:tc>
        <w:tc>
          <w:tcPr/>
          <w:p>
            <w:pPr>
              <w:pStyle w:val="Compact"/>
              <w:jc w:val="center"/>
            </w:pPr>
            <w:r>
              <w:t xml:space="preserve">12</w:t>
            </w:r>
          </w:p>
        </w:tc>
        <w:tc>
          <w:tcPr/>
          <w:p>
            <w:pPr>
              <w:pStyle w:val="Compact"/>
              <w:jc w:val="center"/>
            </w:pPr>
            <w:r>
              <w:t xml:space="preserve">300.00</w:t>
            </w:r>
          </w:p>
        </w:tc>
      </w:tr>
      <w:tr>
        <w:tc>
          <w:tcPr/>
          <w:p>
            <w:pPr>
              <w:pStyle w:val="Compact"/>
              <w:jc w:val="left"/>
            </w:pPr>
            <w:r>
              <w:t xml:space="preserve">Dominio web (.com.pe)</w:t>
            </w:r>
          </w:p>
        </w:tc>
        <w:tc>
          <w:tcPr/>
          <w:p>
            <w:pPr>
              <w:pStyle w:val="Compact"/>
              <w:jc w:val="center"/>
            </w:pPr>
            <w:r>
              <w:t xml:space="preserve">5.83</w:t>
            </w:r>
          </w:p>
        </w:tc>
        <w:tc>
          <w:tcPr/>
          <w:p>
            <w:pPr>
              <w:pStyle w:val="Compact"/>
              <w:jc w:val="center"/>
            </w:pPr>
            <w:r>
              <w:t xml:space="preserve">12</w:t>
            </w:r>
          </w:p>
        </w:tc>
        <w:tc>
          <w:tcPr/>
          <w:p>
            <w:pPr>
              <w:pStyle w:val="Compact"/>
              <w:jc w:val="center"/>
            </w:pPr>
            <w:r>
              <w:t xml:space="preserve">70.00</w:t>
            </w:r>
          </w:p>
        </w:tc>
      </w:tr>
      <w:tr>
        <w:tc>
          <w:tcPr/>
          <w:p>
            <w:pPr>
              <w:pStyle w:val="Compact"/>
              <w:jc w:val="left"/>
            </w:pPr>
            <w:r>
              <w:t xml:space="preserve">Mantenimiento de hardware (lector RFID, cámara)</w:t>
            </w:r>
          </w:p>
        </w:tc>
        <w:tc>
          <w:tcPr/>
          <w:p>
            <w:pPr>
              <w:pStyle w:val="Compact"/>
              <w:jc w:val="center"/>
            </w:pPr>
            <w:r>
              <w:t xml:space="preserve">20.00</w:t>
            </w:r>
          </w:p>
        </w:tc>
        <w:tc>
          <w:tcPr/>
          <w:p>
            <w:pPr>
              <w:pStyle w:val="Compact"/>
              <w:jc w:val="center"/>
            </w:pPr>
            <w:r>
              <w:t xml:space="preserve">12</w:t>
            </w:r>
          </w:p>
        </w:tc>
        <w:tc>
          <w:tcPr/>
          <w:p>
            <w:pPr>
              <w:pStyle w:val="Compact"/>
              <w:jc w:val="center"/>
            </w:pPr>
            <w:r>
              <w:t xml:space="preserve">240.00</w:t>
            </w:r>
          </w:p>
        </w:tc>
      </w:tr>
      <w:tr>
        <w:tc>
          <w:tcPr/>
          <w:p>
            <w:pPr>
              <w:pStyle w:val="Compact"/>
              <w:jc w:val="left"/>
            </w:pPr>
            <w:r>
              <w:rPr>
                <w:b/>
                <w:bCs/>
              </w:rPr>
              <w:t xml:space="preserve">Total de egresos</w:t>
            </w:r>
          </w:p>
        </w:tc>
        <w:tc>
          <w:tcPr/>
          <w:p>
            <w:pPr>
              <w:pStyle w:val="Compact"/>
            </w:pPr>
          </w:p>
        </w:tc>
        <w:tc>
          <w:tcPr/>
          <w:p>
            <w:pPr>
              <w:pStyle w:val="Compact"/>
            </w:pPr>
          </w:p>
        </w:tc>
        <w:tc>
          <w:tcPr/>
          <w:p>
            <w:pPr>
              <w:pStyle w:val="Compact"/>
              <w:jc w:val="center"/>
            </w:pPr>
            <w:r>
              <w:rPr>
                <w:b/>
                <w:bCs/>
              </w:rPr>
              <w:t xml:space="preserve">1,210.00</w:t>
            </w:r>
          </w:p>
        </w:tc>
      </w:tr>
    </w:tbl>
    <w:p>
      <w:pPr>
        <w:pStyle w:val="BodyText"/>
        <w:jc w:val="both"/>
      </w:pPr>
      <w:r>
        <w:t xml:space="preserve">El ingreso/beneficio total anual estimado, según la tabla 5.1.1, es de</w:t>
      </w:r>
      <w:r>
        <w:t xml:space="preserve"> </w:t>
      </w:r>
      <w:r>
        <w:rPr>
          <w:b/>
          <w:bCs/>
        </w:rPr>
        <w:t xml:space="preserve">S/. 5,800.00</w:t>
      </w:r>
      <w:r>
        <w:t xml:space="preserve">.</w:t>
      </w:r>
    </w:p>
    <w:p>
      <w:pPr>
        <w:pStyle w:val="BodyText"/>
        <w:jc w:val="both"/>
      </w:pPr>
      <w:r>
        <w:t xml:space="preserve">5.1.2.3. Valor Actual Neto (VAN)</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Año</w:t>
            </w:r>
          </w:p>
        </w:tc>
        <w:tc>
          <w:tcPr>
            <w:shd w:val="clear" w:color="auto" w:fill="D9D9D9"/>
          </w:tcPr>
          <w:p>
            <w:pPr>
              <w:pStyle w:val="Compact"/>
              <w:jc w:val="center"/>
            </w:pPr>
            <w:r>
              <w:rPr>
                <w:b/>
              </w:rPr>
              <w:t xml:space="preserve">Beneficios (S/.)</w:t>
            </w:r>
          </w:p>
        </w:tc>
        <w:tc>
          <w:tcPr>
            <w:shd w:val="clear" w:color="auto" w:fill="D9D9D9"/>
          </w:tcPr>
          <w:p>
            <w:pPr>
              <w:pStyle w:val="Compact"/>
              <w:jc w:val="center"/>
            </w:pPr>
            <w:r>
              <w:rPr>
                <w:b/>
              </w:rPr>
              <w:t xml:space="preserve">Costos Operativos (S/.)</w:t>
            </w:r>
          </w:p>
        </w:tc>
        <w:tc>
          <w:tcPr>
            <w:shd w:val="clear" w:color="auto" w:fill="D9D9D9"/>
          </w:tcPr>
          <w:p>
            <w:pPr>
              <w:pStyle w:val="Compact"/>
              <w:jc w:val="center"/>
            </w:pPr>
            <w:r>
              <w:rPr>
                <w:b/>
              </w:rPr>
              <w:t xml:space="preserve">Flujo Neto (S/.)</w:t>
            </w:r>
          </w:p>
        </w:tc>
      </w:tr>
      <w:tr>
        <w:tc>
          <w:tcPr/>
          <w:p>
            <w:pPr>
              <w:pStyle w:val="Compact"/>
              <w:jc w:val="left"/>
            </w:pPr>
            <w:r>
              <w:t xml:space="preserve">0 (Inversión)</w:t>
            </w:r>
          </w:p>
        </w:tc>
        <w:tc>
          <w:tcPr/>
          <w:p>
            <w:pPr>
              <w:pStyle w:val="Compact"/>
              <w:jc w:val="center"/>
            </w:pPr>
            <w:r>
              <w:t xml:space="preserve">0.00</w:t>
            </w:r>
          </w:p>
        </w:tc>
        <w:tc>
          <w:tcPr/>
          <w:p>
            <w:pPr>
              <w:pStyle w:val="Compact"/>
              <w:jc w:val="center"/>
            </w:pPr>
            <w:r>
              <w:t xml:space="preserve">9,573.32</w:t>
            </w:r>
          </w:p>
        </w:tc>
        <w:tc>
          <w:tcPr/>
          <w:p>
            <w:pPr>
              <w:pStyle w:val="Compact"/>
              <w:jc w:val="center"/>
            </w:pPr>
            <w:r>
              <w:t xml:space="preserve">-9,573.32</w:t>
            </w:r>
          </w:p>
        </w:tc>
      </w:tr>
      <w:tr>
        <w:tc>
          <w:tcPr/>
          <w:p>
            <w:pPr>
              <w:pStyle w:val="Compact"/>
              <w:jc w:val="left"/>
            </w:pPr>
            <w:r>
              <w:t xml:space="preserve">Año 1</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2</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3</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rPr>
                <w:b/>
                <w:bCs/>
              </w:rPr>
              <w:t xml:space="preserve">VAN (COK=12%)</w:t>
            </w:r>
          </w:p>
        </w:tc>
        <w:tc>
          <w:tcPr/>
          <w:p>
            <w:pPr>
              <w:pStyle w:val="Compact"/>
            </w:pPr>
          </w:p>
        </w:tc>
        <w:tc>
          <w:tcPr/>
          <w:p>
            <w:pPr>
              <w:pStyle w:val="Compact"/>
            </w:pPr>
          </w:p>
        </w:tc>
        <w:tc>
          <w:tcPr/>
          <w:p>
            <w:pPr>
              <w:pStyle w:val="Compact"/>
              <w:jc w:val="center"/>
            </w:pPr>
            <w:r>
              <w:rPr>
                <w:b/>
                <w:bCs/>
              </w:rPr>
              <w:t xml:space="preserve">S/. 1,451.08</w:t>
            </w:r>
          </w:p>
        </w:tc>
      </w:tr>
    </w:tbl>
    <w:p>
      <w:pPr>
        <w:pStyle w:val="BodyText"/>
        <w:jc w:val="both"/>
      </w:pPr>
      <w:r>
        <w:t xml:space="preserve">Interpretación: el VAN es positivo (S/. 1,451.08 &gt; 0), lo que indica que el proyecto generaría valor por encima del costo de oportunidad del capital bajo el escenario evaluado.</w:t>
      </w:r>
    </w:p>
    <w:p>
      <w:pPr>
        <w:pStyle w:val="BodyText"/>
        <w:jc w:val="both"/>
      </w:pPr>
      <w:r>
        <w:t xml:space="preserve">5.1.2.4. Tasa Interna de Retorno (TIR)</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Indicador</w:t>
            </w:r>
          </w:p>
        </w:tc>
        <w:tc>
          <w:tcPr>
            <w:shd w:val="clear" w:color="auto" w:fill="D9D9D9"/>
          </w:tcPr>
          <w:p>
            <w:pPr>
              <w:pStyle w:val="Compact"/>
              <w:jc w:val="center"/>
            </w:pPr>
            <w:r>
              <w:rPr>
                <w:b/>
              </w:rPr>
              <w:t xml:space="preserve">Valor</w:t>
            </w:r>
          </w:p>
        </w:tc>
      </w:tr>
      <w:tr>
        <w:tc>
          <w:tcPr/>
          <w:p>
            <w:pPr>
              <w:pStyle w:val="Compact"/>
              <w:jc w:val="left"/>
            </w:pPr>
            <w:r>
              <w:t xml:space="preserve">TIR calculada</w:t>
            </w:r>
          </w:p>
        </w:tc>
        <w:tc>
          <w:tcPr/>
          <w:p>
            <w:pPr>
              <w:pStyle w:val="Compact"/>
              <w:jc w:val="center"/>
            </w:pPr>
            <w:r>
              <w:t xml:space="preserve">20.65 % anual</w:t>
            </w:r>
          </w:p>
        </w:tc>
      </w:tr>
      <w:tr>
        <w:tc>
          <w:tcPr/>
          <w:p>
            <w:pPr>
              <w:pStyle w:val="Compact"/>
              <w:jc w:val="left"/>
            </w:pPr>
            <w:r>
              <w:t xml:space="preserve">Costo de Oportunidad del Capital (COK)</w:t>
            </w:r>
          </w:p>
        </w:tc>
        <w:tc>
          <w:tcPr/>
          <w:p>
            <w:pPr>
              <w:pStyle w:val="Compact"/>
              <w:jc w:val="center"/>
            </w:pPr>
            <w:r>
              <w:t xml:space="preserve">12.00 % anual</w:t>
            </w:r>
          </w:p>
        </w:tc>
      </w:tr>
      <w:tr>
        <w:tc>
          <w:tcPr/>
          <w:p>
            <w:pPr>
              <w:pStyle w:val="Compact"/>
              <w:jc w:val="left"/>
            </w:pPr>
            <w:r>
              <w:t xml:space="preserve">Resultado</w:t>
            </w:r>
          </w:p>
        </w:tc>
        <w:tc>
          <w:tcPr/>
          <w:p>
            <w:pPr>
              <w:pStyle w:val="Compact"/>
              <w:jc w:val="center"/>
            </w:pPr>
            <w:r>
              <w:t xml:space="preserve">TIR (20.65 %) &gt; COK (12 %)</w:t>
            </w:r>
          </w:p>
        </w:tc>
      </w:tr>
    </w:tbl>
    <w:p>
      <w:pPr>
        <w:pStyle w:val="BodyText"/>
        <w:jc w:val="both"/>
      </w:pPr>
      <w:r>
        <w:t xml:space="preserve">Interpretación: la TIR supera el costo de oportunidad del capital, por lo que el proyecto resultaría rentable bajo los supuestos del escenario hipotético planteado.</w:t>
      </w:r>
    </w:p>
    <w:bookmarkEnd w:id="47"/>
    <w:bookmarkStart w:id="48" w:name="proyección-del-flujo-de-caja"/>
    <w:p>
      <w:pPr>
        <w:pStyle w:val="Heading3"/>
      </w:pPr>
      <w:r>
        <w:t xml:space="preserve">5.1.3 Proyección del Flujo de Caja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Periodo</w:t>
            </w:r>
          </w:p>
        </w:tc>
        <w:tc>
          <w:tcPr>
            <w:shd w:val="clear" w:color="auto" w:fill="D9D9D9"/>
          </w:tcPr>
          <w:p>
            <w:pPr>
              <w:pStyle w:val="Compact"/>
              <w:jc w:val="center"/>
            </w:pPr>
            <w:r>
              <w:rPr>
                <w:b/>
              </w:rPr>
              <w:t xml:space="preserve">Ingresos Operativos (S/.)</w:t>
            </w:r>
          </w:p>
        </w:tc>
        <w:tc>
          <w:tcPr>
            <w:shd w:val="clear" w:color="auto" w:fill="D9D9D9"/>
          </w:tcPr>
          <w:p>
            <w:pPr>
              <w:pStyle w:val="Compact"/>
              <w:jc w:val="center"/>
            </w:pPr>
            <w:r>
              <w:rPr>
                <w:b/>
              </w:rPr>
              <w:t xml:space="preserve">Egresos (S/.)</w:t>
            </w:r>
          </w:p>
        </w:tc>
        <w:tc>
          <w:tcPr>
            <w:shd w:val="clear" w:color="auto" w:fill="D9D9D9"/>
          </w:tcPr>
          <w:p>
            <w:pPr>
              <w:pStyle w:val="Compact"/>
              <w:jc w:val="center"/>
            </w:pPr>
            <w:r>
              <w:rPr>
                <w:b/>
              </w:rPr>
              <w:t xml:space="preserve">Flujo Neto (S/.)</w:t>
            </w:r>
          </w:p>
        </w:tc>
      </w:tr>
      <w:tr>
        <w:tc>
          <w:tcPr/>
          <w:p>
            <w:pPr>
              <w:pStyle w:val="Compact"/>
              <w:jc w:val="left"/>
            </w:pPr>
            <w:r>
              <w:t xml:space="preserve">Año 0</w:t>
            </w:r>
          </w:p>
        </w:tc>
        <w:tc>
          <w:tcPr/>
          <w:p>
            <w:pPr>
              <w:pStyle w:val="Compact"/>
              <w:jc w:val="center"/>
            </w:pPr>
            <w:r>
              <w:t xml:space="preserve">0.00</w:t>
            </w:r>
          </w:p>
        </w:tc>
        <w:tc>
          <w:tcPr/>
          <w:p>
            <w:pPr>
              <w:pStyle w:val="Compact"/>
              <w:jc w:val="center"/>
            </w:pPr>
            <w:r>
              <w:t xml:space="preserve">9,573.32</w:t>
            </w:r>
          </w:p>
        </w:tc>
        <w:tc>
          <w:tcPr/>
          <w:p>
            <w:pPr>
              <w:pStyle w:val="Compact"/>
              <w:jc w:val="center"/>
            </w:pPr>
            <w:r>
              <w:t xml:space="preserve">-9,573.32</w:t>
            </w:r>
          </w:p>
        </w:tc>
      </w:tr>
      <w:tr>
        <w:tc>
          <w:tcPr/>
          <w:p>
            <w:pPr>
              <w:pStyle w:val="Compact"/>
              <w:jc w:val="left"/>
            </w:pPr>
            <w:r>
              <w:t xml:space="preserve">Año 1</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2</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3</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bl>
    <w:p>
      <w:pPr>
        <w:pStyle w:val="BodyText"/>
        <w:jc w:val="both"/>
      </w:pPr>
      <w:r>
        <w:t xml:space="preserve">El flujo de caja proyectado muestra que, bajo el escenario hipotético de adopción, la inversión inicial se recuperaría dentro del segundo año de operación.</w:t>
      </w:r>
    </w:p>
    <w:bookmarkEnd w:id="48"/>
    <w:bookmarkEnd w:id="49"/>
    <w:bookmarkEnd w:id="50"/>
    <w:bookmarkStart w:id="51" w:name="conclusiones"/>
    <w:p>
      <w:pPr>
        <w:pStyle w:val="Ttulo1"/>
      </w:pPr>
      <w:r>
        <w:t xml:space="preserve">6. Conclusiones</w:t>
      </w:r>
    </w:p>
    <w:p>
      <w:pPr>
        <w:pStyle w:val="Compact"/>
        <w:numPr>
          <w:ilvl w:val="0"/>
          <w:numId w:val="1007"/>
        </w:numPr>
      </w:pPr>
      <w:r>
        <w:t xml:space="preserve">El proyecto es técnicamente</w:t>
      </w:r>
      <w:r>
        <w:t xml:space="preserve"> </w:t>
      </w:r>
      <w:r>
        <w:rPr>
          <w:b/>
          <w:bCs/>
        </w:rPr>
        <w:t xml:space="preserve">FACTIBLE</w:t>
      </w:r>
      <w:r>
        <w:t xml:space="preserve">: el equipo posee conocimientos en desarrollo web, OpenCV y MediaPipe, y el hardware adicional requerido (cámara web y lector RFID) es de bajo costo y fácil adquisición local.</w:t>
      </w:r>
    </w:p>
    <w:p>
      <w:pPr>
        <w:pStyle w:val="Compact"/>
        <w:numPr>
          <w:ilvl w:val="0"/>
          <w:numId w:val="1007"/>
        </w:numPr>
      </w:pPr>
      <w:r>
        <w:t xml:space="preserve">El proyecto es económicamente</w:t>
      </w:r>
      <w:r>
        <w:t xml:space="preserve"> </w:t>
      </w:r>
      <w:r>
        <w:rPr>
          <w:b/>
          <w:bCs/>
        </w:rPr>
        <w:t xml:space="preserve">VIABLE</w:t>
      </w:r>
      <w:r>
        <w:t xml:space="preserve"> </w:t>
      </w:r>
      <w:r>
        <w:t xml:space="preserve">bajo el escenario hipotético de adopción evaluado, con una inversión total de S/. 9,573.32 y beneficios anuales estimados de S/. 5,800.00.</w:t>
      </w:r>
    </w:p>
    <w:p>
      <w:pPr>
        <w:pStyle w:val="Compact"/>
        <w:numPr>
          <w:ilvl w:val="0"/>
          <w:numId w:val="1007"/>
        </w:numPr>
      </w:pPr>
      <w:r>
        <w:t xml:space="preserve">El sistema puede ser operado por usuarios sin conocimientos técnicos avanzados gracias a su diseño intuitivo; el equipo de dos integrantes brindará soporte durante todo el periodo académico.</w:t>
      </w:r>
    </w:p>
    <w:p>
      <w:pPr>
        <w:pStyle w:val="Compact"/>
        <w:numPr>
          <w:ilvl w:val="0"/>
          <w:numId w:val="1007"/>
        </w:numPr>
      </w:pPr>
      <w:r>
        <w:t xml:space="preserve">El proyecto cumple con la Ley N.° 29733 y su Reglamento, al utilizar exclusivamente identidades ficticias y datos biométricos autorizados por voluntarios, sin comprometer información real de clientes de una notaría.</w:t>
      </w:r>
    </w:p>
    <w:p>
      <w:pPr>
        <w:pStyle w:val="Compact"/>
        <w:numPr>
          <w:ilvl w:val="0"/>
          <w:numId w:val="1007"/>
        </w:numPr>
      </w:pPr>
      <w:r>
        <w:t xml:space="preserve">NotaryVerify genera valor social al fortalecer la confianza en los trámites notariales y aportar innovación tecnológica alineada con los ODS 9 y 16.</w:t>
      </w:r>
    </w:p>
    <w:p>
      <w:pPr>
        <w:pStyle w:val="Compact"/>
        <w:numPr>
          <w:ilvl w:val="0"/>
          <w:numId w:val="1007"/>
        </w:numPr>
      </w:pPr>
      <w:r>
        <w:t xml:space="preserve">El proyecto favorece la reducción del uso de papel y mantiene un consumo energético bajo, sin generar impactos ambientales significativos.</w:t>
      </w:r>
    </w:p>
    <w:p>
      <w:pPr>
        <w:pStyle w:val="Compact"/>
        <w:numPr>
          <w:ilvl w:val="0"/>
          <w:numId w:val="1007"/>
        </w:numPr>
      </w:pPr>
      <w:r>
        <w:t xml:space="preserve">Los indicadores financieros del escenario evaluado respaldan la propuesta: B/C = 1.82 (&gt; 1), VAN = S/. 1,451.08 (&gt; 0) y TIR = 20.65 % (&gt; COK 12 %). El proyecto es considerado rentable bajo los supuestos planteados y factible de continuar hacia las siguientes etapas de especificación y arquitectura.</w:t>
      </w:r>
    </w:p>
    <w:bookmarkEnd w:id="51"/>
    <w:bookmarkStart w:id="52" w:name="referencias"/>
    <w:p>
      <w:pPr>
        <w:pStyle w:val="Ttulo1"/>
      </w:pPr>
      <w:r>
        <w:t xml:space="preserve">Referencias</w:t>
      </w:r>
    </w:p>
    <w:p>
      <w:pPr>
        <w:pStyle w:val="FirstParagraph"/>
        <w:jc w:val="both"/>
      </w:pPr>
      <w:r>
        <w:t xml:space="preserve">Ministerio de Justicia y Derechos Humanos. (2024). Decreto Supremo N.° 016-2024-JUS: Reglamento de la Ley N.° 29733, Ley de Protección de Datos Personales. Gobierno del Perú.</w:t>
      </w:r>
      <w:r>
        <w:t xml:space="preserve"> </w:t>
      </w:r>
      <w:r>
        <w:t xml:space="preserve">OpenCV. (2026). FaceRecognizerSF. OpenCV Java Documentation.</w:t>
      </w:r>
      <w:r>
        <w:t xml:space="preserve"> </w:t>
      </w:r>
      <w:r>
        <w:t xml:space="preserve">OpenCV. (2026). OpenCV Zoo: SFace Face Recognition Model.</w:t>
      </w:r>
      <w:r>
        <w:t xml:space="preserve"> </w:t>
      </w:r>
      <w:r>
        <w:t xml:space="preserve">Google. (2026). MediaPipe Face Landmarker. Google AI for Developers.</w:t>
      </w:r>
      <w:r>
        <w:t xml:space="preserve"> </w:t>
      </w:r>
      <w:r>
        <w:t xml:space="preserve">Superintendencia Nacional de los Registros Públicos. (2023). Resolución de la Superintendencia Nacional de los Registros Públicos N.° 169-2023-SUNARP/SN. Gobierno del Perú.</w:t>
      </w:r>
      <w:r>
        <w:t xml:space="preserve"> </w:t>
      </w:r>
      <w:r>
        <w:t xml:space="preserve">Superintendencia Nacional de los Registros Públicos. (2026a). Resolución Jefatural N.° 055-2026-SUNARP/ZRXII/JEF. Gobierno del Perú.</w:t>
      </w:r>
      <w:r>
        <w:t xml:space="preserve"> </w:t>
      </w:r>
      <w:r>
        <w:t xml:space="preserve">Superintendencia Nacional de los Registros Públicos. (2026b). Resoluciones relacionadas con cancelación de asientos registrales por falsificación documental. Gobierno del Perú.</w:t>
      </w:r>
    </w:p>
    <w:bookmarkEnd w:id="52"/>
    <w:sectPr w:rsidR="00DB33BE" w:rsidRPr="00A93C3B" w:rsidSect="00B57446">
      <w:headerReference r:id="rId9" w:type="default"/>
      <w:footerReference r:id="rId10" w:type="default"/>
      <w:pgSz w:h="16838" w:w="11906"/>
      <w:pgMar w:bottom="1417" w:footer="708" w:gutter="0" w:header="708" w:left="1701" w:right="1701"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2F465948"/>
    <w:multiLevelType w:val="multilevel"/>
    <w:tmpl w:val="F3BCF5B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abstractNumId="1">
    <w:nsid w:val="679876F3"/>
    <w:multiLevelType w:val="multilevel"/>
    <w:tmpl w:val="480684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oNotDisplayPageBoundaries/>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17906"/>
    <w:rsid w:val="00085923"/>
    <w:rsid w:val="00092DF5"/>
    <w:rsid w:val="001077EC"/>
    <w:rsid w:val="001672FF"/>
    <w:rsid w:val="001C35C7"/>
    <w:rsid w:val="00220D17"/>
    <w:rsid w:val="00265C12"/>
    <w:rsid w:val="00265C27"/>
    <w:rsid w:val="00274C8C"/>
    <w:rsid w:val="00297E7B"/>
    <w:rsid w:val="003D520D"/>
    <w:rsid w:val="003E57E6"/>
    <w:rsid w:val="003E75CA"/>
    <w:rsid w:val="003F4D90"/>
    <w:rsid w:val="00465AC9"/>
    <w:rsid w:val="0049556C"/>
    <w:rsid w:val="004A0D28"/>
    <w:rsid w:val="004C3A42"/>
    <w:rsid w:val="004C6DF0"/>
    <w:rsid w:val="004F0071"/>
    <w:rsid w:val="00532B59"/>
    <w:rsid w:val="00595B33"/>
    <w:rsid w:val="00600A81"/>
    <w:rsid w:val="006238B6"/>
    <w:rsid w:val="0070130A"/>
    <w:rsid w:val="00702BC6"/>
    <w:rsid w:val="0075139A"/>
    <w:rsid w:val="00760D61"/>
    <w:rsid w:val="007A38A5"/>
    <w:rsid w:val="008116AD"/>
    <w:rsid w:val="00884503"/>
    <w:rsid w:val="008B7EC6"/>
    <w:rsid w:val="008E68DF"/>
    <w:rsid w:val="00984DE8"/>
    <w:rsid w:val="009D50C6"/>
    <w:rsid w:val="009D74BB"/>
    <w:rsid w:val="00A22F08"/>
    <w:rsid w:val="00A24044"/>
    <w:rsid w:val="00A93C3B"/>
    <w:rsid w:val="00AE6359"/>
    <w:rsid w:val="00B04D75"/>
    <w:rsid w:val="00B123BB"/>
    <w:rsid w:val="00B403A6"/>
    <w:rsid w:val="00B57446"/>
    <w:rsid w:val="00B865BD"/>
    <w:rsid w:val="00B91506"/>
    <w:rsid w:val="00BA6670"/>
    <w:rsid w:val="00BD370F"/>
    <w:rsid w:val="00C65F00"/>
    <w:rsid w:val="00CC06E2"/>
    <w:rsid w:val="00CE7BED"/>
    <w:rsid w:val="00DB1EBD"/>
    <w:rsid w:val="00DB33BE"/>
    <w:rsid w:val="00E07651"/>
    <w:rsid w:val="00E51E68"/>
    <w:rsid w:val="00E51FA4"/>
    <w:rsid w:val="00E6402D"/>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tulo1" w:type="paragraph">
    <w:name w:val="heading 1"/>
    <w:basedOn w:val="Normal"/>
    <w:next w:val="Normal"/>
    <w:link w:val="Ttulo1Car"/>
    <w:uiPriority w:val="9"/>
    <w:qFormat/>
    <w:rsid w:val="004C3A42"/>
    <w:pPr>
      <w:keepNext/>
      <w:keepLines/>
      <w:spacing w:after="0" w:before="240"/>
      <w:outlineLvl w:val="0"/>
    </w:pPr>
    <w:rPr>
      <w:rFonts w:asciiTheme="majorHAnsi" w:cstheme="majorBidi" w:eastAsiaTheme="majorEastAsia" w:hAnsiTheme="majorHAnsi"/>
      <w:color w:themeColor="accent1" w:themeShade="BF" w:val="2E74B5"/>
      <w:sz w:val="32"/>
      <w:szCs w:val="3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fault" w:type="paragraph">
    <w:name w:val="Default"/>
    <w:rsid w:val="00DB33BE"/>
    <w:pPr>
      <w:autoSpaceDE w:val="0"/>
      <w:autoSpaceDN w:val="0"/>
      <w:adjustRightInd w:val="0"/>
      <w:spacing w:after="0" w:line="240" w:lineRule="auto"/>
    </w:pPr>
    <w:rPr>
      <w:rFonts w:ascii="Calibri" w:cs="Calibri" w:hAnsi="Calibri"/>
      <w:color w:val="000000"/>
      <w:sz w:val="24"/>
      <w:szCs w:val="24"/>
    </w:rPr>
  </w:style>
  <w:style w:styleId="Prrafodelista" w:type="paragraph">
    <w:name w:val="List Paragraph"/>
    <w:basedOn w:val="Normal"/>
    <w:uiPriority w:val="34"/>
    <w:qFormat/>
    <w:rsid w:val="00DB33BE"/>
    <w:pPr>
      <w:ind w:left="720"/>
      <w:contextualSpacing/>
    </w:pPr>
  </w:style>
  <w:style w:customStyle="1" w:styleId="SECRETARIADELAFUNCIONPUBLICA" w:type="paragraph">
    <w:name w:val="SECRETARIA DE LA FUNCION PUBLICA"/>
    <w:basedOn w:val="Normal"/>
    <w:rsid w:val="00E51FA4"/>
    <w:pPr>
      <w:spacing w:after="0" w:line="240" w:lineRule="auto"/>
    </w:pPr>
    <w:rPr>
      <w:rFonts w:ascii="Arial" w:cs="Times New Roman" w:eastAsia="Batang" w:hAnsi="Arial"/>
      <w:kern w:val="18"/>
      <w:sz w:val="18"/>
      <w:szCs w:val="20"/>
      <w:lang w:val="es-ES"/>
    </w:rPr>
  </w:style>
  <w:style w:styleId="Encabezado" w:type="paragraph">
    <w:name w:val="header"/>
    <w:basedOn w:val="Normal"/>
    <w:link w:val="EncabezadoCar"/>
    <w:uiPriority w:val="99"/>
    <w:unhideWhenUsed/>
    <w:rsid w:val="0070130A"/>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70130A"/>
  </w:style>
  <w:style w:styleId="Piedepgina" w:type="paragraph">
    <w:name w:val="footer"/>
    <w:basedOn w:val="Normal"/>
    <w:link w:val="PiedepginaCar"/>
    <w:uiPriority w:val="99"/>
    <w:unhideWhenUsed/>
    <w:rsid w:val="0070130A"/>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70130A"/>
  </w:style>
  <w:style w:customStyle="1" w:styleId="Ttulo1Car" w:type="character">
    <w:name w:val="Título 1 Car"/>
    <w:basedOn w:val="Fuentedeprrafopredeter"/>
    <w:link w:val="Ttulo1"/>
    <w:uiPriority w:val="9"/>
    <w:rsid w:val="004C3A42"/>
    <w:rPr>
      <w:rFonts w:asciiTheme="majorHAnsi" w:cstheme="majorBidi" w:eastAsiaTheme="majorEastAsia" w:hAnsiTheme="majorHAnsi"/>
      <w:color w:themeColor="accent1" w:themeShade="BF" w:val="2E74B5"/>
      <w:sz w:val="32"/>
      <w:szCs w:val="32"/>
    </w:rPr>
  </w:style>
  <w:style w:styleId="TtulodeTDC" w:type="paragraph">
    <w:name w:val="TOC Heading"/>
    <w:basedOn w:val="Ttulo1"/>
    <w:next w:val="Normal"/>
    <w:uiPriority w:val="39"/>
    <w:unhideWhenUsed/>
    <w:qFormat/>
    <w:rsid w:val="004C3A42"/>
    <w:pPr>
      <w:outlineLvl w:val="9"/>
    </w:pPr>
    <w:rPr>
      <w:lang w:eastAsia="es-ES" w:val="es-ES"/>
    </w:rPr>
  </w:style>
  <w:style w:styleId="TDC1" w:type="paragraph">
    <w:name w:val="toc 1"/>
    <w:basedOn w:val="Normal"/>
    <w:next w:val="Normal"/>
    <w:autoRedefine/>
    <w:uiPriority w:val="39"/>
    <w:unhideWhenUsed/>
    <w:rsid w:val="004C3A42"/>
    <w:pPr>
      <w:spacing w:after="100"/>
    </w:pPr>
  </w:style>
  <w:style w:styleId="Hipervnculo" w:type="character">
    <w:name w:val="Hyperlink"/>
    <w:basedOn w:val="Fuentedeprrafopredeter"/>
    <w:uiPriority w:val="99"/>
    <w:unhideWhenUsed/>
    <w:rsid w:val="004C3A42"/>
    <w:rPr>
      <w:color w:themeColor="hyperlink" w:val="0563C1"/>
      <w:u w:val="single"/>
    </w:rPr>
  </w:style>
  <w:style w:styleId="TDC2" w:type="paragraph">
    <w:name w:val="toc 2"/>
    <w:basedOn w:val="Normal"/>
    <w:next w:val="Normal"/>
    <w:autoRedefine/>
    <w:uiPriority w:val="39"/>
    <w:unhideWhenUsed/>
    <w:rsid w:val="004C3A42"/>
    <w:pPr>
      <w:spacing w:after="100"/>
      <w:ind w:left="220"/>
    </w:pPr>
  </w:style>
  <w:style w:styleId="Puesto" w:type="paragraph">
    <w:name w:val="Title"/>
    <w:basedOn w:val="Normal"/>
    <w:next w:val="Normal"/>
    <w:link w:val="PuestoCar"/>
    <w:qFormat/>
    <w:rsid w:val="00085923"/>
    <w:pPr>
      <w:widowControl w:val="0"/>
      <w:spacing w:after="0" w:line="240" w:lineRule="auto"/>
      <w:jc w:val="center"/>
    </w:pPr>
    <w:rPr>
      <w:rFonts w:ascii="Arial" w:cs="Times New Roman" w:eastAsia="Times New Roman" w:hAnsi="Arial"/>
      <w:b/>
      <w:sz w:val="36"/>
      <w:szCs w:val="20"/>
      <w:lang w:val="en-US"/>
    </w:rPr>
  </w:style>
  <w:style w:customStyle="1" w:styleId="PuestoCar" w:type="character">
    <w:name w:val="Puesto Car"/>
    <w:basedOn w:val="Fuentedeprrafopredeter"/>
    <w:link w:val="Puesto"/>
    <w:rsid w:val="00085923"/>
    <w:rPr>
      <w:rFonts w:ascii="Arial" w:cs="Times New Roman" w:eastAsia="Times New Roman" w:hAnsi="Arial"/>
      <w:b/>
      <w:sz w:val="36"/>
      <w:szCs w:val="20"/>
      <w:lang w:val="en-US"/>
    </w:rPr>
  </w:style>
  <w:style w:styleId="NormalWeb" w:type="paragraph">
    <w:name w:val="Normal (Web)"/>
    <w:basedOn w:val="Normal"/>
    <w:uiPriority w:val="99"/>
    <w:semiHidden/>
    <w:unhideWhenUsed/>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png" Type="http://schemas.openxmlformats.org/officeDocument/2006/relationships/image"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1409</Words>
  <Characters>7750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2026-09-20T17:23:40Z</dcterms:created>
  <dcterms:modified xsi:type="dcterms:W3CDTF">2026-09-20T17:23:40Z</dcterms:modified>
</cp:coreProperties>
</file>

<file path=docProps/custom.xml><?xml version="1.0" encoding="utf-8"?>
<Properties xmlns="http://schemas.openxmlformats.org/officeDocument/2006/custom-properties" xmlns:vt="http://schemas.openxmlformats.org/officeDocument/2006/docPropsVTypes"/>
</file>