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6F1D5FE3" w:rsidR="005B1C64" w:rsidRPr="00F37510" w:rsidRDefault="00447B31" w:rsidP="005B1C64">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(Application Programming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(Graphical User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(Unified Modeling Language).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13"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lastRenderedPageBreak/>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15" w:name="_Toc69808842"/>
      <w:r w:rsidRPr="00AC1EB7">
        <w:rPr>
          <w:b/>
          <w:color w:val="auto"/>
          <w:lang w:eastAsia="es-PE"/>
        </w:rPr>
        <w:lastRenderedPageBreak/>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16" w:name="_Toc68679738"/>
      <w:bookmarkEnd w:id="15"/>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0A864CCC" w:rsidR="005977A9" w:rsidRPr="005977A9" w:rsidRDefault="00826F88" w:rsidP="005977A9">
      <w:r>
        <w:tab/>
      </w:r>
    </w:p>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9"/>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77777777" w:rsidR="00B01A6F" w:rsidRDefault="00B01A6F" w:rsidP="00B01A6F">
      <w:pPr>
        <w:ind w:left="630"/>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lastRenderedPageBreak/>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lastRenderedPageBreak/>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(dashboard,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lastRenderedPageBreak/>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Se integrará un sistema de logs para el monitoreo de accesos, errores y eventos importantes. Esto permitirá detectar actividades sospechosas y responder a incidentes en el menor tiempo posible. Asimismo, se podrá restaurar información desde los backups para minimizar pérdidas ante fallos técnicos.</w:t>
      </w:r>
    </w:p>
    <w:p w14:paraId="5BDC534D" w14:textId="09391E15" w:rsidR="00BC6103" w:rsidRDefault="00BC6103" w:rsidP="00BC6103">
      <w:pPr>
        <w:ind w:left="220"/>
        <w:jc w:val="both"/>
        <w:rPr>
          <w:lang w:eastAsia="es-PE"/>
        </w:rPr>
      </w:pPr>
      <w:r>
        <w:rPr>
          <w:lang w:eastAsia="es-PE"/>
        </w:rPr>
        <w:t>Este enfoque asegura que el sistema mantenga la confidencialidad, integridad y disponibilidad, incluso ante situaciones imprevistas o maliciosas, proporcionando confianza a sus usuarios y stakeholders.</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El sistema podrá ajustarse fácilmente a cambios en las políticas de acceso a datos de LinkedIn, o integrarse con nuevas fuentes de información (por ejemplo, redes como Indeed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83B81" w14:textId="77777777" w:rsidR="005B3295" w:rsidRDefault="005B3295" w:rsidP="0070130A">
      <w:pPr>
        <w:spacing w:after="0" w:line="240" w:lineRule="auto"/>
      </w:pPr>
      <w:r>
        <w:separator/>
      </w:r>
    </w:p>
  </w:endnote>
  <w:endnote w:type="continuationSeparator" w:id="0">
    <w:p w14:paraId="60D0A9B8" w14:textId="77777777" w:rsidR="005B3295" w:rsidRDefault="005B329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B5448" w14:textId="77777777" w:rsidR="005B3295" w:rsidRDefault="005B3295" w:rsidP="0070130A">
      <w:pPr>
        <w:spacing w:after="0" w:line="240" w:lineRule="auto"/>
      </w:pPr>
      <w:r>
        <w:separator/>
      </w:r>
    </w:p>
  </w:footnote>
  <w:footnote w:type="continuationSeparator" w:id="0">
    <w:p w14:paraId="3507DC2D" w14:textId="77777777" w:rsidR="005B3295" w:rsidRDefault="005B329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999285">
    <w:abstractNumId w:val="1"/>
  </w:num>
  <w:num w:numId="2" w16cid:durableId="278417757">
    <w:abstractNumId w:val="1"/>
  </w:num>
  <w:num w:numId="3" w16cid:durableId="582028299">
    <w:abstractNumId w:val="2"/>
  </w:num>
  <w:num w:numId="4" w16cid:durableId="880673648">
    <w:abstractNumId w:val="4"/>
  </w:num>
  <w:num w:numId="5" w16cid:durableId="1451320871">
    <w:abstractNumId w:val="5"/>
  </w:num>
  <w:num w:numId="6" w16cid:durableId="778372297">
    <w:abstractNumId w:val="3"/>
  </w:num>
  <w:num w:numId="7" w16cid:durableId="9944509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662E2"/>
    <w:rsid w:val="00072A7A"/>
    <w:rsid w:val="00080731"/>
    <w:rsid w:val="00092DF5"/>
    <w:rsid w:val="000D3A94"/>
    <w:rsid w:val="000E0029"/>
    <w:rsid w:val="000E3DAC"/>
    <w:rsid w:val="000F299F"/>
    <w:rsid w:val="00132C66"/>
    <w:rsid w:val="00144A03"/>
    <w:rsid w:val="0014648B"/>
    <w:rsid w:val="001672FF"/>
    <w:rsid w:val="00197CD8"/>
    <w:rsid w:val="001A4DB7"/>
    <w:rsid w:val="001B0B14"/>
    <w:rsid w:val="001B6416"/>
    <w:rsid w:val="001C35C7"/>
    <w:rsid w:val="001D3AB5"/>
    <w:rsid w:val="001D4A7D"/>
    <w:rsid w:val="00200926"/>
    <w:rsid w:val="002024AA"/>
    <w:rsid w:val="0023161C"/>
    <w:rsid w:val="00241205"/>
    <w:rsid w:val="00242F31"/>
    <w:rsid w:val="002719D1"/>
    <w:rsid w:val="00274C8C"/>
    <w:rsid w:val="00294123"/>
    <w:rsid w:val="002A34D0"/>
    <w:rsid w:val="002A4080"/>
    <w:rsid w:val="002C5628"/>
    <w:rsid w:val="002E354D"/>
    <w:rsid w:val="003269D4"/>
    <w:rsid w:val="00377CBB"/>
    <w:rsid w:val="003B1E9B"/>
    <w:rsid w:val="003E00BF"/>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1C64"/>
    <w:rsid w:val="005B3295"/>
    <w:rsid w:val="005B6ADE"/>
    <w:rsid w:val="005D5DDB"/>
    <w:rsid w:val="005E7F13"/>
    <w:rsid w:val="005F348E"/>
    <w:rsid w:val="00622F19"/>
    <w:rsid w:val="00640977"/>
    <w:rsid w:val="00696941"/>
    <w:rsid w:val="006C22AF"/>
    <w:rsid w:val="006C49B2"/>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96055"/>
    <w:rsid w:val="009C098C"/>
    <w:rsid w:val="009C69F8"/>
    <w:rsid w:val="009D74BB"/>
    <w:rsid w:val="00A04D86"/>
    <w:rsid w:val="00A13922"/>
    <w:rsid w:val="00A16821"/>
    <w:rsid w:val="00A22F08"/>
    <w:rsid w:val="00A43E00"/>
    <w:rsid w:val="00A64B75"/>
    <w:rsid w:val="00A93C3B"/>
    <w:rsid w:val="00AB23E2"/>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C26C72"/>
    <w:rsid w:val="00C36B90"/>
    <w:rsid w:val="00C3718B"/>
    <w:rsid w:val="00C42FA7"/>
    <w:rsid w:val="00C447D7"/>
    <w:rsid w:val="00C62202"/>
    <w:rsid w:val="00C636BA"/>
    <w:rsid w:val="00C63CEC"/>
    <w:rsid w:val="00C66496"/>
    <w:rsid w:val="00C77231"/>
    <w:rsid w:val="00C839A1"/>
    <w:rsid w:val="00CA0046"/>
    <w:rsid w:val="00CA37C9"/>
    <w:rsid w:val="00CB4757"/>
    <w:rsid w:val="00CC06E2"/>
    <w:rsid w:val="00CE2D02"/>
    <w:rsid w:val="00CE4330"/>
    <w:rsid w:val="00D21F45"/>
    <w:rsid w:val="00D704EA"/>
    <w:rsid w:val="00D7069C"/>
    <w:rsid w:val="00D72809"/>
    <w:rsid w:val="00D84297"/>
    <w:rsid w:val="00D90F5F"/>
    <w:rsid w:val="00D96159"/>
    <w:rsid w:val="00DB33BE"/>
    <w:rsid w:val="00E171CD"/>
    <w:rsid w:val="00E51FA4"/>
    <w:rsid w:val="00E6402D"/>
    <w:rsid w:val="00E778BC"/>
    <w:rsid w:val="00E942D6"/>
    <w:rsid w:val="00E95AD3"/>
    <w:rsid w:val="00EC6346"/>
    <w:rsid w:val="00EC7501"/>
    <w:rsid w:val="00EE4384"/>
    <w:rsid w:val="00EF2CD9"/>
    <w:rsid w:val="00F3131C"/>
    <w:rsid w:val="00F37510"/>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3212</Words>
  <Characters>17671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27</cp:revision>
  <dcterms:created xsi:type="dcterms:W3CDTF">2021-04-20T15:26:00Z</dcterms:created>
  <dcterms:modified xsi:type="dcterms:W3CDTF">2025-04-29T23:56:00Z</dcterms:modified>
</cp:coreProperties>
</file>