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  <w:t xml:space="preserve">UNIVERSIDAD PRIVADA DE TACNA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2199802</wp:posOffset>
            </wp:positionH>
            <wp:positionV relativeFrom="paragraph">
              <wp:posOffset>57150</wp:posOffset>
            </wp:positionV>
            <wp:extent cx="999140" cy="1343105"/>
            <wp:effectExtent b="0" l="0" r="0" t="0"/>
            <wp:wrapTopAndBottom distB="0" distT="0"/>
            <wp:docPr descr="C:\Users\EPIS\Documents\upt.png" id="12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“Proyecto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DevFlow”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Curso: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Patrones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Docente: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Mag. Patrick Cuadros Quiroga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80" w:firstLine="720"/>
        <w:rPr>
          <w:rFonts w:ascii="Times New Roman" w:cs="Times New Roman" w:eastAsia="Times New Roman" w:hAnsi="Times New Roman"/>
          <w:color w:val="5b9bd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Akhtar Oviedo, Ahmed Hasan</w:t>
        <w:tab/>
        <w:tab/>
        <w:t xml:space="preserve">-</w:t>
        <w:tab/>
        <w:t xml:space="preserve">(2022074261)</w:t>
      </w:r>
    </w:p>
    <w:p w:rsidR="00000000" w:rsidDel="00000000" w:rsidP="00000000" w:rsidRDefault="00000000" w:rsidRPr="00000000" w14:paraId="00000010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Anampa Pancca, David Jordan</w:t>
        <w:tab/>
        <w:tab/>
        <w:t xml:space="preserve">-</w:t>
        <w:tab/>
        <w:t xml:space="preserve">(2022074268)</w:t>
      </w:r>
    </w:p>
    <w:p w:rsidR="00000000" w:rsidDel="00000000" w:rsidP="00000000" w:rsidRDefault="00000000" w:rsidRPr="00000000" w14:paraId="00000011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Salas Jimenez, Walter Emmanuel </w:t>
        <w:tab/>
        <w:t xml:space="preserve">-</w:t>
        <w:tab/>
        <w:t xml:space="preserve">(2022073896)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Proyecto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DevFlow</w:t>
      </w:r>
    </w:p>
    <w:p w:rsidR="00000000" w:rsidDel="00000000" w:rsidP="00000000" w:rsidRDefault="00000000" w:rsidRPr="00000000" w14:paraId="00000022">
      <w:pPr>
        <w:pStyle w:val="Title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mhc52in9vve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Factibilidad</w:t>
      </w:r>
    </w:p>
    <w:p w:rsidR="00000000" w:rsidDel="00000000" w:rsidP="00000000" w:rsidRDefault="00000000" w:rsidRPr="00000000" w14:paraId="00000024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AAHV, DDAP, WESJ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PCQ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11/09/2025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spacing w:after="0" w:before="240" w:lineRule="auto"/>
        <w:jc w:val="center"/>
        <w:rPr>
          <w:vertAlign w:val="baseline"/>
        </w:rPr>
      </w:pPr>
      <w:bookmarkStart w:colFirst="0" w:colLast="0" w:name="_heading=h.4f9znqrog2m3" w:id="1"/>
      <w:bookmarkEnd w:id="1"/>
      <w:r w:rsidDel="00000000" w:rsidR="00000000" w:rsidRPr="00000000">
        <w:rPr>
          <w:rtl w:val="0"/>
        </w:rPr>
        <w:t xml:space="preserve">Índice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id w:val="-20844633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f9znqrog2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q1c0ump1uf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w6b1w1n6v4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Nombre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x4428hrnc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Objetivo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uacz3q1nlk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1.4.2 Objetivos Específicos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uoabkv56yy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l788gbxj68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Análisis de la Situación actual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79qju1w3px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Planteamiento del problema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cino8u7t2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Consideraciones de hardware y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ay0uioylif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Estudio de Factibilidad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awy8y945v3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Actividades realizadas: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0lp2p9cxjg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Factibilidad Técnica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goal0xyqx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Factibilidad Económica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onx8sgxqgh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Costos Generales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rm0gsevh86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Costos operativos durante el desarrollo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wml6ayopr7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Costos del ambiente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cffs0pqqt5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4.2.4 Costos de personal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polkdf5b07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4.2.5 Costos totales del desarrollo del sistema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npa2e3ajbl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Factibilidad Operativa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fn5j95ndmu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Factibilidad Legal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7zcw4kuoqx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Factibilidad Social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tp9j4x1yze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Factibilidad Ambiental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mr1ta2wms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Análisis Financiero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dn9mvpmev5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Justificación de la Inversión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o8xp19pv6q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 Beneficios del Proyecto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4yzisnoabb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Beneficios Tangibles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psi8kyzx1n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Beneficios Intangibles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de242yrwzc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5.1.2 Criterios de Inversión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yzjm1dg403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Informe de Factibilidad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4"/>
        </w:numPr>
        <w:spacing w:after="0" w:before="120" w:line="360" w:lineRule="auto"/>
        <w:ind w:left="360" w:hanging="360"/>
        <w:jc w:val="both"/>
        <w:rPr/>
      </w:pPr>
      <w:bookmarkStart w:colFirst="0" w:colLast="0" w:name="_heading=h.hq1c0ump1ufz" w:id="2"/>
      <w:bookmarkEnd w:id="2"/>
      <w:r w:rsidDel="00000000" w:rsidR="00000000" w:rsidRPr="00000000">
        <w:rPr>
          <w:vertAlign w:val="baseline"/>
          <w:rtl w:val="0"/>
        </w:rPr>
        <w:t xml:space="preserve">Descripción del Proyecto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4"/>
        </w:numPr>
        <w:spacing w:after="0" w:line="360" w:lineRule="auto"/>
        <w:ind w:left="360" w:hanging="76.00000000000001"/>
        <w:jc w:val="both"/>
        <w:rPr/>
      </w:pPr>
      <w:bookmarkStart w:colFirst="0" w:colLast="0" w:name="_heading=h.6w6b1w1n6v46" w:id="3"/>
      <w:bookmarkEnd w:id="3"/>
      <w:r w:rsidDel="00000000" w:rsidR="00000000" w:rsidRPr="00000000">
        <w:rPr>
          <w:vertAlign w:val="baseline"/>
          <w:rtl w:val="0"/>
        </w:rPr>
        <w:t xml:space="preserve">Nombre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DevFlow</w:t>
        <w:tab/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meses.</w:t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992.1259842519685" w:firstLine="447.87401574803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DevFlow será implementado como una solución tecnológica integral para unificar y estandarizar el ciclo de vida del desarrollo de software. Actualmente, los equipos académicos y profesionales enfrentan procesos fragmentados, donde cada fase (gestión de tareas, repositorios, pipelines CI/CD, monitoreo) requiere configuraciones manuales y herramientas separadas, generando ineficiencias y pérdida de trazabilidad.</w:t>
      </w:r>
    </w:p>
    <w:p w:rsidR="00000000" w:rsidDel="00000000" w:rsidP="00000000" w:rsidRDefault="00000000" w:rsidRPr="00000000" w14:paraId="00000076">
      <w:pPr>
        <w:spacing w:after="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DevFlow propone un entorno automatizado que centraliza estas fases en un solo marco de trabajo. A través de plantillas preconfiguradas y contenedores en Docker, el sistema integrará tableros de gestión, repositorios, pipelines CI/CD y monitoreo en una plataforma cohesionada y de fácil despliegue. La infraestructura se apoyará en PostgreSQL para la base de datos, Next.js para la interfaz de usuario, y Nest.js para la lógica de negocio, lo que garantiza escalabilidad y compatibilidad con estándares modernos.</w:t>
      </w:r>
    </w:p>
    <w:p w:rsidR="00000000" w:rsidDel="00000000" w:rsidP="00000000" w:rsidRDefault="00000000" w:rsidRPr="00000000" w14:paraId="00000077">
      <w:pPr>
        <w:spacing w:after="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busca no solo optimizar la productividad de equipos de desarrollo y startups, sino también aportar valor académico, permitiendo a estudiantes y docentes experimentar con un ciclo de vida completo y realista del desarrollo de software. De esta forma, DevFlow se posiciona como un puente entre el ámbito educativo y profesional, reduciendo los tiempos de configuración y facilitando la colaboración en proyectos de innovación tecnológica.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4"/>
        </w:numPr>
        <w:spacing w:after="0" w:line="360" w:lineRule="auto"/>
        <w:ind w:left="720" w:hanging="11.338582677165334"/>
        <w:jc w:val="both"/>
        <w:rPr/>
      </w:pPr>
      <w:bookmarkStart w:colFirst="0" w:colLast="0" w:name="_heading=h.mx4428hrnc7" w:id="4"/>
      <w:bookmarkEnd w:id="4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7B">
      <w:pPr>
        <w:spacing w:line="36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plataforma integral que unifique y automatice la configuración del ciclo de vida del desarrollo de software, facilitando la gestión, despliegue y monitoreo de proyectos mediante tecnologías modernas y contenedorizadas.</w:t>
        <w:br w:type="textWrapping"/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4"/>
        </w:numPr>
        <w:spacing w:after="0" w:line="360" w:lineRule="auto"/>
        <w:ind w:left="720" w:hanging="11.338582677165334"/>
        <w:jc w:val="both"/>
        <w:rPr/>
      </w:pPr>
      <w:bookmarkStart w:colFirst="0" w:colLast="0" w:name="_heading=h.tuacz3q1nlk7" w:id="5"/>
      <w:bookmarkEnd w:id="5"/>
      <w:r w:rsidDel="00000000" w:rsidR="00000000" w:rsidRPr="00000000">
        <w:rPr>
          <w:rtl w:val="0"/>
        </w:rPr>
        <w:t xml:space="preserve">Objetivos Específicos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la creación y configuración de tableros de gestión, repositorios y pipelines CI/CD.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 monitoreo en tiempo real dentro del ciclo de vida de los proyectos, utilizando metodologías como kanban. 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una interfaz intuitiva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facilite el uso de la plataforma tanto a estudiantes como a equipos profesionales.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 backend escalable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gestione la lógica de negocio y la comunicación con los servicios.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Desplegar el sistema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asegurar portabilidad, consistencia y facilidad de mantenimiento.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Almacenar datos de proyectos y métricas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garantizando trazabilidad y acceso eficiente.</w:t>
      </w:r>
    </w:p>
    <w:p w:rsidR="00000000" w:rsidDel="00000000" w:rsidP="00000000" w:rsidRDefault="00000000" w:rsidRPr="00000000" w14:paraId="00000083">
      <w:pPr>
        <w:spacing w:after="0" w:line="240" w:lineRule="auto"/>
        <w:ind w:left="358" w:hanging="73.99999999999999"/>
        <w:jc w:val="both"/>
        <w:rPr>
          <w:rFonts w:ascii="Times New Roman" w:cs="Times New Roman" w:eastAsia="Times New Roman" w:hAnsi="Times New Roman"/>
          <w:i w:val="1"/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1"/>
        <w:keepLines w:val="1"/>
        <w:spacing w:after="0" w:before="120" w:line="360" w:lineRule="auto"/>
        <w:ind w:firstLine="360"/>
        <w:jc w:val="both"/>
        <w:rPr/>
      </w:pPr>
      <w:bookmarkStart w:colFirst="0" w:colLast="0" w:name="_heading=h.tb9ni5apcjm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1"/>
        <w:keepLines w:val="1"/>
        <w:numPr>
          <w:ilvl w:val="0"/>
          <w:numId w:val="14"/>
        </w:numPr>
        <w:spacing w:after="0" w:before="120" w:line="360" w:lineRule="auto"/>
        <w:ind w:left="360" w:hanging="360"/>
        <w:jc w:val="both"/>
        <w:rPr/>
      </w:pPr>
      <w:bookmarkStart w:colFirst="0" w:colLast="0" w:name="_heading=h.yuoabkv56yym" w:id="7"/>
      <w:bookmarkEnd w:id="7"/>
      <w:r w:rsidDel="00000000" w:rsidR="00000000" w:rsidRPr="00000000">
        <w:rPr>
          <w:rtl w:val="0"/>
        </w:rPr>
        <w:t xml:space="preserve">Riesgos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resistencia inicial de los usuarios a migrar desde herramientas tradicionales y configuraciones manuales podría afectar la adopción de la plataforma.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de múltiples servicios (tableros, repositorios, pipelines, monitoreo) puede generar complejidad técnica y retrasos en el desarrollo.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rendimiento del sistema puede verse afectado en proyectos con alta demanda de pipelines y monitoreo en tiempo real.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estudiantes podrían requerir capacitación adicional para comprender el uso de pipelines y herramientas avanzadas, lo que retrasa la curva de aprendizaje.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dependencia de contenedores en Docker implica riesgos asociados a la configuración del entorno y compatibilidad con infraestructuras externas.</w:t>
      </w:r>
    </w:p>
    <w:p w:rsidR="00000000" w:rsidDel="00000000" w:rsidP="00000000" w:rsidRDefault="00000000" w:rsidRPr="00000000" w14:paraId="0000008B">
      <w:pPr>
        <w:spacing w:after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1"/>
        <w:keepLines w:val="1"/>
        <w:numPr>
          <w:ilvl w:val="0"/>
          <w:numId w:val="14"/>
        </w:numPr>
        <w:spacing w:after="0" w:before="120" w:line="360" w:lineRule="auto"/>
        <w:ind w:left="360" w:hanging="360"/>
        <w:jc w:val="both"/>
        <w:rPr/>
      </w:pPr>
      <w:bookmarkStart w:colFirst="0" w:colLast="0" w:name="_heading=h.ol788gbxj68s" w:id="8"/>
      <w:bookmarkEnd w:id="8"/>
      <w:r w:rsidDel="00000000" w:rsidR="00000000" w:rsidRPr="00000000">
        <w:rPr>
          <w:rtl w:val="0"/>
        </w:rPr>
        <w:t xml:space="preserve">Análisis de la Situación actual</w:t>
        <w:br w:type="textWrapping"/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579qju1w3pxh" w:id="9"/>
      <w:bookmarkEnd w:id="9"/>
      <w:r w:rsidDel="00000000" w:rsidR="00000000" w:rsidRPr="00000000">
        <w:rPr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Actualmente, los procesos y requerimientos publicados en SEACE contienen demandas y necesidades concretas del Estado; sin embargo, presentan barreras que limitan su aprovechamiento. La información se encuentra dispersa, en formatos extensos y técnicos como pliegos y anexos, lo que dificulta su consulta y análisis oportuno.</w:t>
      </w:r>
    </w:p>
    <w:p w:rsidR="00000000" w:rsidDel="00000000" w:rsidP="00000000" w:rsidRDefault="00000000" w:rsidRPr="00000000" w14:paraId="0000008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ingenieros de sistemas y profesionales afines carecen de una plataforma que organice esta información en un entorno visual y filtrable, que les permita identificar rápidamente oportunidades y transformarlas en proyectos o consultorías. Esta situación resalta la necesidad de contar con una solución que centralice y simplifique los datos de SEACE en un catálogo accesible, estructurado y accionable.</w:t>
      </w:r>
    </w:p>
    <w:p w:rsidR="00000000" w:rsidDel="00000000" w:rsidP="00000000" w:rsidRDefault="00000000" w:rsidRPr="00000000" w14:paraId="00000090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1">
      <w:pPr>
        <w:pStyle w:val="Heading2"/>
        <w:ind w:firstLine="360"/>
        <w:rPr/>
      </w:pPr>
      <w:bookmarkStart w:colFirst="0" w:colLast="0" w:name="_heading=h.maqc5u2s65n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4cino8u7t2z" w:id="11"/>
      <w:bookmarkEnd w:id="11"/>
      <w:r w:rsidDel="00000000" w:rsidR="00000000" w:rsidRPr="00000000">
        <w:rPr>
          <w:rtl w:val="0"/>
        </w:rPr>
        <w:t xml:space="preserve">Consideraciones de hardware y software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line="360" w:lineRule="auto"/>
        <w:ind w:left="2125.9842519685035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Servidor con al menos 8 GB de RAM y 100 GB de almacenamiento SSD.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line="360" w:lineRule="auto"/>
        <w:ind w:left="2125.9842519685035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Conexión estable a Internet.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line="360" w:lineRule="auto"/>
        <w:ind w:left="2125.9842519685035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Equipos cliente con navegador actualizado y acceso a red estable.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line="360" w:lineRule="auto"/>
        <w:ind w:left="2125.9842519685035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Despliegue en contenedores con Docker para facilitar la escalabilidad y portabilidad.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Lenguaje backend: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TypeScript /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Framework frontend: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Nest.js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Framework frontend UI: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Next.js con React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216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Base de datos: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spacing w:after="0" w:before="120" w:line="36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5h3mg4evo5b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1"/>
        <w:keepLines w:val="1"/>
        <w:numPr>
          <w:ilvl w:val="0"/>
          <w:numId w:val="14"/>
        </w:numPr>
        <w:spacing w:after="0" w:before="120" w:line="360" w:lineRule="auto"/>
        <w:ind w:left="360" w:hanging="360"/>
        <w:jc w:val="both"/>
        <w:rPr/>
      </w:pPr>
      <w:bookmarkStart w:colFirst="0" w:colLast="0" w:name="_heading=h.nay0uioylif5" w:id="13"/>
      <w:bookmarkEnd w:id="13"/>
      <w:r w:rsidDel="00000000" w:rsidR="00000000" w:rsidRPr="00000000">
        <w:rPr>
          <w:rtl w:val="0"/>
        </w:rPr>
        <w:t xml:space="preserve">Estudio de Factibilidad</w:t>
        <w:br w:type="textWrapping"/>
      </w:r>
    </w:p>
    <w:p w:rsidR="00000000" w:rsidDel="00000000" w:rsidP="00000000" w:rsidRDefault="00000000" w:rsidRPr="00000000" w14:paraId="0000009F">
      <w:pPr>
        <w:spacing w:after="0" w:line="360" w:lineRule="auto"/>
        <w:ind w:left="36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estudio de factibilidad tiene como finalidad determinar la viabilidad de implementar el sistema DevFlow. Para ello, se evaluaron aspectos técnicos, económicos, operativos, legales, sociales y ambientales.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120" w:lineRule="auto"/>
        <w:ind w:left="360" w:firstLine="0"/>
        <w:rPr>
          <w:i w:val="1"/>
          <w:sz w:val="26"/>
          <w:szCs w:val="26"/>
        </w:rPr>
      </w:pPr>
      <w:bookmarkStart w:colFirst="0" w:colLast="0" w:name="_heading=h.iawy8y945v3e" w:id="14"/>
      <w:bookmarkEnd w:id="14"/>
      <w:r w:rsidDel="00000000" w:rsidR="00000000" w:rsidRPr="00000000">
        <w:rPr>
          <w:i w:val="1"/>
          <w:sz w:val="26"/>
          <w:szCs w:val="26"/>
          <w:rtl w:val="0"/>
        </w:rPr>
        <w:t xml:space="preserve">Actividades realizadas: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Análisis de tecnologías disponibles para la orquestación del ciclo de vida de software.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Diseño de un flujo unificado que integre tableros, repositorios, pipelines y monitoreo.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Revisión de frameworks modernos que permitan estandarizar y automatizar procesos.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Validación inicial de la propuesta con estudiantes y profesionales de desarrollo interesados en optimizar la gestión de proyectos.</w:t>
      </w:r>
    </w:p>
    <w:p w:rsidR="00000000" w:rsidDel="00000000" w:rsidP="00000000" w:rsidRDefault="00000000" w:rsidRPr="00000000" w14:paraId="000000A5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evaluación determinó que la herramienta es viable, tanto técnica como económicamente, con un alto potencial de impacto positivo en la enseñanza y en la industria del software.</w:t>
      </w:r>
    </w:p>
    <w:p w:rsidR="00000000" w:rsidDel="00000000" w:rsidP="00000000" w:rsidRDefault="00000000" w:rsidRPr="00000000" w14:paraId="000000A6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0lp2p9cxjg0" w:id="15"/>
      <w:bookmarkEnd w:id="15"/>
      <w:r w:rsidDel="00000000" w:rsidR="00000000" w:rsidRPr="00000000">
        <w:rPr>
          <w:rtl w:val="0"/>
        </w:rPr>
        <w:t xml:space="preserve">Factibilidad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DevFlow se sustenta en tecnologías modernas y ampliamente adoptadas en el sector, lo que garantiza escalabilidad, mantenibilidad y soporte a largo plazo. El backend será desarrollado con Nest.js, aprovechando la robustez de Node.js y TypeScript, mientras que el frontend estará implementado en Next.js con React, lo que permitirá crear interfaces dinámicas y de alto rendimiento. Como motor de datos se utilizará PostgreSQL, una base de datos confiable y segura que asegura integridad en la información, complementada con el despliegue en contenedores Docker para simplificar la portabilidad y la integración continua. Estas herramientas, en conjunto, ofrecen una base sólida para automatizar y unificar las fases del ciclo de vida del software. Además, el equipo cuenta con experiencia en desarrollo web, CI/CD y administración de entornos en contenedores, lo que refuerza la viabilidad técnica del proyecto y reduce riesgos de implementación.</w:t>
      </w:r>
    </w:p>
    <w:p w:rsidR="00000000" w:rsidDel="00000000" w:rsidP="00000000" w:rsidRDefault="00000000" w:rsidRPr="00000000" w14:paraId="000000A9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4"/>
        </w:num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goal0xyqxe" w:id="16"/>
      <w:bookmarkEnd w:id="16"/>
      <w:r w:rsidDel="00000000" w:rsidR="00000000" w:rsidRPr="00000000">
        <w:rPr>
          <w:rtl w:val="0"/>
        </w:rPr>
        <w:t xml:space="preserve">Factibilidad Económica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el punto de vista económico, la implementación de DevFlow representa una inversión moderada en comparación con el valor generado para sus usuarios. En el ámbito académico, permitirá a estudiantes y docentes trabajar con un entorno estandarizado que cubre de manera práctica el ciclo completo de desarrollo de software, mejorando la calidad del aprendizaje y reduciendo la necesidad de múltiples plataformas externas. En el ámbito profesional, reducirá significativamente el tiempo invertido en configuraciones iniciales, incrementando la productividad de startups y equipos de desarrollo que podrán concentrarse en la innovación en lugar de tareas repetitivas. Esto se traduce en ahorros operativos, mayor eficiencia y menores riesgos de sobrecostos en proyectos. En consecuencia, la relación costo-beneficio es altamente favorable, posicionando a DevFlow como una solución rentable y sostenible en el corto y mediano plazo.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4"/>
        </w:numPr>
        <w:spacing w:before="12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onx8sgxqghk" w:id="17"/>
      <w:bookmarkEnd w:id="17"/>
      <w:r w:rsidDel="00000000" w:rsidR="00000000" w:rsidRPr="00000000">
        <w:rPr>
          <w:rtl w:val="0"/>
        </w:rPr>
        <w:t xml:space="preserve">Costos Generales </w:t>
        <w:br w:type="textWrapping"/>
        <w:tab/>
      </w:r>
      <w:r w:rsidDel="00000000" w:rsidR="00000000" w:rsidRPr="00000000">
        <w:rPr>
          <w:rtl w:val="0"/>
        </w:rPr>
      </w:r>
    </w:p>
    <w:sdt>
      <w:sdtPr>
        <w:lock w:val="contentLocked"/>
        <w:id w:val="-97139796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775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375"/>
            <w:gridCol w:w="1245"/>
            <w:gridCol w:w="1725"/>
            <w:gridCol w:w="1410"/>
            <w:tblGridChange w:id="0">
              <w:tblGrid>
                <w:gridCol w:w="3375"/>
                <w:gridCol w:w="1245"/>
                <w:gridCol w:w="1725"/>
                <w:gridCol w:w="1410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Concepto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Duración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Costo Mensual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Costo 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Licencia de ofimática básica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meses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23.36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S/.70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Licencia de software de diagramado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meses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Total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130</w:t>
                </w:r>
              </w:p>
            </w:tc>
          </w:tr>
        </w:tbl>
      </w:sdtContent>
    </w:sdt>
    <w:p w:rsidR="00000000" w:rsidDel="00000000" w:rsidP="00000000" w:rsidRDefault="00000000" w:rsidRPr="00000000" w14:paraId="000000BE">
      <w:pPr>
        <w:spacing w:after="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4"/>
        </w:numPr>
        <w:spacing w:before="12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xrm0gsevh86f" w:id="18"/>
      <w:bookmarkEnd w:id="18"/>
      <w:r w:rsidDel="00000000" w:rsidR="00000000" w:rsidRPr="00000000">
        <w:rPr>
          <w:rtl w:val="0"/>
        </w:rPr>
        <w:t xml:space="preserve">Costos operativos durante el desarrollo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hanging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122880</wp:posOffset>
            </wp:positionH>
            <wp:positionV relativeFrom="paragraph">
              <wp:posOffset>11026</wp:posOffset>
            </wp:positionV>
            <wp:extent cx="5276850" cy="1703110"/>
            <wp:effectExtent b="0" l="0" r="0" t="0"/>
            <wp:wrapTopAndBottom distB="0" dist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03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14"/>
        </w:numPr>
        <w:tabs>
          <w:tab w:val="left" w:leader="none" w:pos="993"/>
        </w:tabs>
        <w:spacing w:before="12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wml6ayopr76" w:id="19"/>
      <w:bookmarkEnd w:id="19"/>
      <w:r w:rsidDel="00000000" w:rsidR="00000000" w:rsidRPr="00000000">
        <w:rPr>
          <w:rtl w:val="0"/>
        </w:rPr>
        <w:t xml:space="preserve">Costos del ambiente</w:t>
      </w:r>
      <w:r w:rsidDel="00000000" w:rsidR="00000000" w:rsidRPr="00000000">
        <w:rPr>
          <w:rtl w:val="0"/>
        </w:rPr>
      </w:r>
    </w:p>
    <w:sdt>
      <w:sdtPr>
        <w:lock w:val="contentLocked"/>
        <w:id w:val="-986502203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771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850"/>
            <w:gridCol w:w="1515"/>
            <w:gridCol w:w="1770"/>
            <w:gridCol w:w="1575"/>
            <w:tblGridChange w:id="0">
              <w:tblGrid>
                <w:gridCol w:w="2850"/>
                <w:gridCol w:w="1515"/>
                <w:gridCol w:w="1770"/>
                <w:gridCol w:w="157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Concepto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Duración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Costo Mensual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Costo 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Dominio y Hosting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meses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Servidor FTP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meses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Total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135</w:t>
                </w:r>
              </w:p>
            </w:tc>
          </w:tr>
        </w:tbl>
      </w:sdtContent>
    </w:sdt>
    <w:p w:rsidR="00000000" w:rsidDel="00000000" w:rsidP="00000000" w:rsidRDefault="00000000" w:rsidRPr="00000000" w14:paraId="000000D2">
      <w:pPr>
        <w:spacing w:after="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14"/>
        </w:numPr>
        <w:spacing w:before="12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cffs0pqqt5e" w:id="20"/>
      <w:bookmarkEnd w:id="20"/>
      <w:r w:rsidDel="00000000" w:rsidR="00000000" w:rsidRPr="00000000">
        <w:rPr>
          <w:rtl w:val="0"/>
        </w:rPr>
        <w:t xml:space="preserve">Costos de personal</w:t>
      </w:r>
      <w:r w:rsidDel="00000000" w:rsidR="00000000" w:rsidRPr="00000000">
        <w:rPr>
          <w:rtl w:val="0"/>
        </w:rPr>
      </w:r>
    </w:p>
    <w:sdt>
      <w:sdtPr>
        <w:lock w:val="contentLocked"/>
        <w:id w:val="1411880318"/>
        <w:tag w:val="goog_rdk_2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771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850"/>
            <w:gridCol w:w="1515"/>
            <w:gridCol w:w="1770"/>
            <w:gridCol w:w="1575"/>
            <w:tblGridChange w:id="0">
              <w:tblGrid>
                <w:gridCol w:w="2850"/>
                <w:gridCol w:w="1515"/>
                <w:gridCol w:w="1770"/>
                <w:gridCol w:w="157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Concepto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Duración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Costo Mensual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Costo 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Project 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meses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Back 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meses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DevOps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meses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Total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line="276" w:lineRule="auto"/>
                  <w:ind w:left="720" w:hanging="72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270</w:t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spacing w:after="0" w:lineRule="auto"/>
        <w:ind w:left="720" w:hanging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spacing w:before="120" w:line="240" w:lineRule="auto"/>
        <w:ind w:left="720" w:hanging="720"/>
        <w:rPr/>
      </w:pPr>
      <w:bookmarkStart w:colFirst="0" w:colLast="0" w:name="_heading=h.rs3f2px82qoc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numPr>
          <w:ilvl w:val="2"/>
          <w:numId w:val="14"/>
        </w:numPr>
        <w:spacing w:before="12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upolkdf5b07j" w:id="22"/>
      <w:bookmarkEnd w:id="22"/>
      <w:r w:rsidDel="00000000" w:rsidR="00000000" w:rsidRPr="00000000">
        <w:rPr>
          <w:rtl w:val="0"/>
        </w:rPr>
        <w:t xml:space="preserve">Costos totales del desarrollo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before="120" w:line="240" w:lineRule="auto"/>
        <w:ind w:left="720" w:hanging="720"/>
        <w:rPr/>
      </w:pPr>
      <w:bookmarkStart w:colFirst="0" w:colLast="0" w:name="_heading=h.8arg5c7sack6" w:id="23"/>
      <w:bookmarkEnd w:id="23"/>
      <w:r w:rsidDel="00000000" w:rsidR="00000000" w:rsidRPr="00000000">
        <w:rPr>
          <w:rtl w:val="0"/>
        </w:rPr>
      </w:r>
    </w:p>
    <w:sdt>
      <w:sdtPr>
        <w:lock w:val="contentLocked"/>
        <w:id w:val="-913687618"/>
        <w:tag w:val="goog_rdk_3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558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4080"/>
            <w:gridCol w:w="1500"/>
            <w:tblGridChange w:id="0">
              <w:tblGrid>
                <w:gridCol w:w="4080"/>
                <w:gridCol w:w="1500"/>
              </w:tblGrid>
            </w:tblGridChange>
          </w:tblGrid>
          <w:tr>
            <w:trPr>
              <w:cantSplit w:val="0"/>
              <w:trHeight w:val="45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Concepto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00b0f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rtl w:val="0"/>
                  </w:rPr>
                  <w:t xml:space="preserve">Monto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Costos Generales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130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Costos Operativos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765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Costos del Ambiente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135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Costos del Personal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 270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Total General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76" w:lineRule="auto"/>
                  <w:ind w:left="720" w:hanging="720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S/.1300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8">
      <w:pPr>
        <w:pStyle w:val="Heading3"/>
        <w:spacing w:before="120" w:line="240" w:lineRule="auto"/>
        <w:ind w:left="720" w:hanging="720"/>
        <w:jc w:val="center"/>
        <w:rPr/>
      </w:pPr>
      <w:bookmarkStart w:colFirst="0" w:colLast="0" w:name="_heading=h.n3d2rxuxaev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npa2e3ajblt" w:id="25"/>
      <w:bookmarkEnd w:id="25"/>
      <w:r w:rsidDel="00000000" w:rsidR="00000000" w:rsidRPr="00000000">
        <w:rPr>
          <w:rtl w:val="0"/>
        </w:rPr>
        <w:t xml:space="preserve">Factibilidad Operativa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992.1259842519685" w:firstLine="720.000000000000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DevFlow se diseñó con el objetivo de ser una plataforma integral, escalable y de fácil adopción para estudiantes, docentes y equipos profesionales. Su implementación en un entorno en la nube, mediante AWS y contenedores Docker, asegura portabilidad, flexibilidad y bajo costo de mantenimiento. Además, los equipos técnicos cuentan con experiencia en Next.js, Nest.js, PostgreSQL y Docker, lo que garantiza una integración ágil y una puesta en marcha sin fricciones.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0" w:before="0" w:line="240" w:lineRule="auto"/>
        <w:ind w:left="1077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xfx06zp4r366" w:id="26"/>
      <w:bookmarkEnd w:id="26"/>
      <w:sdt>
        <w:sdtPr>
          <w:id w:val="-125913984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2"/>
              <w:szCs w:val="22"/>
              <w:rtl w:val="0"/>
            </w:rPr>
            <w:t xml:space="preserve">✔ Beneficios operativos:</w:t>
            <w:br w:type="textWrapping"/>
          </w:r>
        </w:sdtContent>
      </w:sdt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Reducción del tiempo invertido en la configuración inicial de entornos y herramientas de desarrollo.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Disminución de errores e inconsistencias gracias a la estandarización de procesos y pipelines.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Mejora de la colaboración al contar con un marco unificado que integra tableros, repositorios y monitoreo.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Incremento en la eficiencia de los equipos al disponer de una plataforma lista para iniciar proyectos sin retrasos.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0" w:before="0" w:line="240" w:lineRule="auto"/>
        <w:ind w:left="1077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3vxgeuju8u1u" w:id="27"/>
      <w:bookmarkEnd w:id="27"/>
      <w:sdt>
        <w:sdtPr>
          <w:id w:val="1087199885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2"/>
              <w:szCs w:val="22"/>
              <w:rtl w:val="0"/>
            </w:rPr>
            <w:t xml:space="preserve">✔ Lista de interesados:</w:t>
            <w:br w:type="textWrapping"/>
          </w:r>
        </w:sdtContent>
      </w:sdt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Estudiantes y docentes que requieren un entorno práctico para proyectos académicos con enfoque realista.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Startups tecnológicas que buscan reducir tiempos de arranque y enfocarse en la innovación.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Empresas que deseen estandarizar sus procesos de desarrollo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Áreas de innovación y desarrollo que busquen metodologías integradas y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fn5j95ndmuz" w:id="28"/>
      <w:bookmarkEnd w:id="28"/>
      <w:r w:rsidDel="00000000" w:rsidR="00000000" w:rsidRPr="00000000">
        <w:rPr>
          <w:rtl w:val="0"/>
        </w:rPr>
        <w:t xml:space="preserve">Factibilidad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992.1259842519685" w:firstLine="447.874015748031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 ha revisado el cumplimiento del proyecto con respecto a las normas legales locales e internacionales: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0" w:before="0" w:line="360" w:lineRule="auto"/>
        <w:ind w:left="1077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v1nwcr3trr3v" w:id="29"/>
      <w:bookmarkEnd w:id="29"/>
      <w:sdt>
        <w:sdtPr>
          <w:id w:val="1439185478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2"/>
              <w:szCs w:val="22"/>
              <w:rtl w:val="0"/>
            </w:rPr>
            <w:t xml:space="preserve">✔ Puntos cubiertos:</w:t>
          </w:r>
        </w:sdtContent>
      </w:sdt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información manejada proviene de los propios usuarios y de repositorios generados dentro de DevFlow, por lo que no se comprometen datos personales sensibles externos.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plataforma cumple con regulaciones básicas de protección de datos (GDPR/LPDP), al registrar únicamente la información esencial y permitir su eliminación si es requerida.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Todas las tecnologías empleadas (PostgreSQL, Next.js, Nest.js, Docker) son de licencia libre o cuentan con uso comercial permitido dentro del marco del proyecto.</w:t>
      </w:r>
    </w:p>
    <w:p w:rsidR="00000000" w:rsidDel="00000000" w:rsidP="00000000" w:rsidRDefault="00000000" w:rsidRPr="00000000" w14:paraId="00000114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7zcw4kuoqx5" w:id="30"/>
      <w:bookmarkEnd w:id="30"/>
      <w:r w:rsidDel="00000000" w:rsidR="00000000" w:rsidRPr="00000000">
        <w:rPr>
          <w:rtl w:val="0"/>
        </w:rPr>
        <w:t xml:space="preserve">Factibilidad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992.1259842519685" w:firstLine="447.874015748031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Desde el punto de vista social y organizacional, DevFlow representa un aporte clave al brindar un marco de desarrollo realista, accesible y estandarizado.</w:t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spacing w:after="0" w:before="0" w:line="360" w:lineRule="auto"/>
        <w:ind w:left="1080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cakcdc8mcfsl" w:id="31"/>
      <w:bookmarkEnd w:id="31"/>
      <w:sdt>
        <w:sdtPr>
          <w:id w:val="-1230186720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2"/>
              <w:szCs w:val="22"/>
              <w:rtl w:val="0"/>
            </w:rPr>
            <w:t xml:space="preserve">✔ Aspectos sociales evaluados:</w:t>
          </w:r>
        </w:sdtContent>
      </w:sdt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Aceptación interna: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 prevé alta aceptación tanto en el ámbito académico como en el profesional, ya que responde directamente a la necesidad de contar con entornos integrados y funcionales.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Capacitación mínima: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plataforma contará con una interfaz amigable y procesos automatizados, lo que reduce la curva de aprendizaje.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Impacto en la cultura de trabajo: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Fomenta la adopción de metodologías modernas, colaboración efectiva y un enfoque práctico que conecta academia e industria.</w:t>
      </w:r>
    </w:p>
    <w:p w:rsidR="00000000" w:rsidDel="00000000" w:rsidP="00000000" w:rsidRDefault="00000000" w:rsidRPr="00000000" w14:paraId="0000011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tp9j4x1yze6" w:id="32"/>
      <w:bookmarkEnd w:id="32"/>
      <w:r w:rsidDel="00000000" w:rsidR="00000000" w:rsidRPr="00000000">
        <w:rPr>
          <w:rtl w:val="0"/>
        </w:rPr>
        <w:t xml:space="preserve">Factibilidad Ambiental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360" w:lineRule="auto"/>
        <w:ind w:left="992.1259842519685" w:firstLine="447.874015748031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DevFlow requiere un entorno tecnológico confiable para garantizar la estabilidad y disponibilidad de los servicios. La decisión de desplegarlo en la nube (AWS) mediante Docker permite optimizar el uso de recursos, garantizar la escalabilidad y reducir la necesidad de infraestructura física, lo que contribuye a un impacto ambiental reducido.</w:t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mn1coj8yt3s" w:id="33"/>
      <w:bookmarkEnd w:id="33"/>
      <w:sdt>
        <w:sdtPr>
          <w:id w:val="-6650187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2"/>
              <w:szCs w:val="22"/>
              <w:rtl w:val="0"/>
            </w:rPr>
            <w:t xml:space="preserve">✔ Requerimientos técnicos mínimos:</w:t>
          </w:r>
        </w:sdtContent>
      </w:sdt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Dominio web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Necesario para acceder a la plataforma DevFlow desde cualquier lugar.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Servidor FTP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Donde se desplegarán los servicios integrados de DevFlow (tableros, repositorios, pipelines y monitoreo).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PostgreSQL en la nube para gestionar usuarios, proyectos, pipelines y métricas de uso.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Capacidad de almacenamiento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Al menos 100 GB disponibles, escalables según la demanda de los equipos y proyectos.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Integración: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Compatibilidad con sistemas de control de versiones (ej. GitHub/GitLab) y con herramientas de CI/CD ya usadas en la industria.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keepNext w:val="1"/>
        <w:keepLines w:val="1"/>
        <w:numPr>
          <w:ilvl w:val="0"/>
          <w:numId w:val="14"/>
        </w:numPr>
        <w:spacing w:after="0" w:before="120" w:line="240" w:lineRule="auto"/>
        <w:ind w:left="360" w:hanging="360"/>
        <w:jc w:val="both"/>
        <w:rPr/>
      </w:pPr>
      <w:bookmarkStart w:colFirst="0" w:colLast="0" w:name="_heading=h.cmr1ta2wmsi" w:id="34"/>
      <w:bookmarkEnd w:id="34"/>
      <w:r w:rsidDel="00000000" w:rsidR="00000000" w:rsidRPr="00000000">
        <w:rPr>
          <w:rtl w:val="0"/>
        </w:rPr>
        <w:t xml:space="preserve">Análisis Financiero</w:t>
        <w:br w:type="textWrapping"/>
      </w:r>
    </w:p>
    <w:p w:rsidR="00000000" w:rsidDel="00000000" w:rsidP="00000000" w:rsidRDefault="00000000" w:rsidRPr="00000000" w14:paraId="00000127">
      <w:pPr>
        <w:spacing w:after="240" w:before="240" w:line="360" w:lineRule="auto"/>
        <w:ind w:left="425.19685039370086" w:firstLine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garantizar la viabilidad del sistema DevFlow, se elaboró un análisis financiero con un horizonte de 12 meses, considerando la inversión inicial y los ingresos/egresos proyectados.</w:t>
      </w:r>
    </w:p>
    <w:p w:rsidR="00000000" w:rsidDel="00000000" w:rsidP="00000000" w:rsidRDefault="00000000" w:rsidRPr="00000000" w14:paraId="00000128">
      <w:pPr>
        <w:spacing w:after="240" w:before="24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análisis financiero determina la factibilidad económica a través de tres indicadores principales: Relación Beneficio/Costo (B/C), Valor Actual Neto (VAN) y Tasa Interna de Retorno (TIR).</w:t>
        <w:br w:type="textWrapping"/>
      </w:r>
    </w:p>
    <w:p w:rsidR="00000000" w:rsidDel="00000000" w:rsidP="00000000" w:rsidRDefault="00000000" w:rsidRPr="00000000" w14:paraId="00000129">
      <w:pPr>
        <w:spacing w:after="240" w:before="24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 financieros básicos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Horizonte de evaluación: 12 meses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Inversión inicial del proyecto: S/. 1,297.00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Tasa de descuento (COK): 6.5% anual (equivalente a 0.526% mensual)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Ingresos mensuales estimados: S/. 11,800.00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Egresos mensuales estimados: S/. 9,600.00</w:t>
      </w:r>
    </w:p>
    <w:p w:rsidR="00000000" w:rsidDel="00000000" w:rsidP="00000000" w:rsidRDefault="00000000" w:rsidRPr="00000000" w14:paraId="0000012F">
      <w:pPr>
        <w:spacing w:after="240" w:before="24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otro lado, los ingresos proyectados están directamente relacionados con los beneficios que obtendremos mediante el uso del sistema. Entre estos beneficios se encuentran: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de hasta un 60% del tiempo invertido en la configuración inicial de entornos y herramientas de desarrollo.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Disminución de errores y pérdida de trazabilidad al estandarizar tableros, repositorios y pipelines.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ágil de entornos y reportes estandarizados (ej. métricas de proyectos en dashboards internos) con mínima intervención manual.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Incremento en la productividad y eficiencia general de estudiantes, startups y equipos profesionales al iniciar proyectos sin retrasos.</w:t>
      </w:r>
    </w:p>
    <w:p w:rsidR="00000000" w:rsidDel="00000000" w:rsidP="00000000" w:rsidRDefault="00000000" w:rsidRPr="00000000" w14:paraId="00000134">
      <w:pPr>
        <w:pStyle w:val="Heading2"/>
        <w:spacing w:line="240" w:lineRule="auto"/>
        <w:ind w:left="0" w:firstLine="0"/>
        <w:rPr/>
      </w:pPr>
      <w:bookmarkStart w:colFirst="0" w:colLast="0" w:name="_heading=h.hpgc3buvxcz6" w:id="35"/>
      <w:bookmarkEnd w:id="35"/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numPr>
          <w:ilvl w:val="1"/>
          <w:numId w:val="14"/>
        </w:num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dn9mvpmev5c" w:id="36"/>
      <w:bookmarkEnd w:id="36"/>
      <w:r w:rsidDel="00000000" w:rsidR="00000000" w:rsidRPr="00000000">
        <w:rPr>
          <w:rtl w:val="0"/>
        </w:rPr>
        <w:t xml:space="preserve">Justificación de la Inversión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numPr>
          <w:ilvl w:val="2"/>
          <w:numId w:val="14"/>
        </w:numPr>
        <w:spacing w:before="1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xo8xp19pv6qf" w:id="37"/>
      <w:bookmarkEnd w:id="37"/>
      <w:r w:rsidDel="00000000" w:rsidR="00000000" w:rsidRPr="00000000">
        <w:rPr>
          <w:rtl w:val="0"/>
        </w:rPr>
        <w:t xml:space="preserve">Beneficios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1700.787401574803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DevFlow representa una inversión estratégica que busca optimizar la gestión de flujos de desarrollo y despliegue en proyectos de software. El sistema proporcionará una plataforma centralizada y escalable para automatizar procesos clave, reduciendo costos operativos, mejorando la productividad de los equipos y acelerando la entrega de valor al cliente.</w:t>
      </w:r>
    </w:p>
    <w:p w:rsidR="00000000" w:rsidDel="00000000" w:rsidP="00000000" w:rsidRDefault="00000000" w:rsidRPr="00000000" w14:paraId="00000138">
      <w:pPr>
        <w:pStyle w:val="Heading3"/>
        <w:numPr>
          <w:ilvl w:val="0"/>
          <w:numId w:val="3"/>
        </w:numPr>
        <w:spacing w:before="12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4yzisnoabbz" w:id="38"/>
      <w:bookmarkEnd w:id="38"/>
      <w:r w:rsidDel="00000000" w:rsidR="00000000" w:rsidRPr="00000000">
        <w:rPr>
          <w:rtl w:val="0"/>
        </w:rPr>
        <w:t xml:space="preserve">Beneficios Tangibles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de tiempos en el ciclo de desarrollo y despliegue gracias a la automatización de pipelines con Docker y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 recursos humanos, permitiendo que desarrolladores y DevOps enfoquen su trabajo en innovación en lugar de tareas repetitivas.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Disminución de fallos en despliegues mediante entornos consistentes en Docker y Nest.js.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Incremento en la productividad de los equipos de desarrollo, mejorando la entrega de proyectos en menor tiempo.</w:t>
      </w:r>
    </w:p>
    <w:p w:rsidR="00000000" w:rsidDel="00000000" w:rsidP="00000000" w:rsidRDefault="00000000" w:rsidRPr="00000000" w14:paraId="0000013D">
      <w:pPr>
        <w:spacing w:line="36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numPr>
          <w:ilvl w:val="0"/>
          <w:numId w:val="3"/>
        </w:numPr>
        <w:spacing w:before="12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psi8kyzx1nt" w:id="39"/>
      <w:bookmarkEnd w:id="39"/>
      <w:r w:rsidDel="00000000" w:rsidR="00000000" w:rsidRPr="00000000">
        <w:rPr>
          <w:rtl w:val="0"/>
        </w:rPr>
        <w:t xml:space="preserve">Beneficios Intangibles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en la eficiencia y calidad del desarrollo de software mediante flujos de trabajo estandarizados.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confiabilidad y estabilidad en los servicios gracias al monitoreo y la integración de buenas prácticas en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de información en tiempo real sobre el estado de builds, despliegues y métricas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Aumento en la satisfacción del cliente y del equipo técnico, al contar con un sistema más ágil y transparente.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Fortalecimiento de la cultura DevOps, promoviendo la colaboración, automatización y mejora continua.</w:t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 competitiva sostenible, al permitir que la organización entregue software más rápido, seguro y con menor riesgo.</w:t>
      </w:r>
    </w:p>
    <w:p w:rsidR="00000000" w:rsidDel="00000000" w:rsidP="00000000" w:rsidRDefault="00000000" w:rsidRPr="00000000" w14:paraId="00000145">
      <w:pPr>
        <w:pStyle w:val="Heading3"/>
        <w:numPr>
          <w:ilvl w:val="2"/>
          <w:numId w:val="14"/>
        </w:numPr>
        <w:spacing w:before="1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de242yrwzc9" w:id="40"/>
      <w:bookmarkEnd w:id="40"/>
      <w:r w:rsidDel="00000000" w:rsidR="00000000" w:rsidRPr="00000000">
        <w:rPr>
          <w:rtl w:val="0"/>
        </w:rPr>
        <w:t xml:space="preserve">Criterios de Inversión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360" w:lineRule="auto"/>
        <w:ind w:left="1712.1259842519685" w:firstLine="447.8740157480314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97914176"/>
        <w:tag w:val="goog_rdk_9"/>
      </w:sdtPr>
      <w:sdtContent>
        <w:tbl>
          <w:tblPr>
            <w:tblStyle w:val="Table6"/>
            <w:tblpPr w:leftFromText="180" w:rightFromText="180" w:topFromText="180" w:bottomFromText="180" w:vertAnchor="text" w:horzAnchor="text" w:tblpX="1164.0000000000005" w:tblpY="0"/>
            <w:tblW w:w="747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110"/>
            <w:gridCol w:w="2085"/>
            <w:gridCol w:w="2160"/>
            <w:gridCol w:w="2115"/>
            <w:tblGridChange w:id="0">
              <w:tblGrid>
                <w:gridCol w:w="1110"/>
                <w:gridCol w:w="2085"/>
                <w:gridCol w:w="2160"/>
                <w:gridCol w:w="211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MES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Ingresos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Egresos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FCN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D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-S/.1,300.00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-S/.1,300.00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2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S/.2,065.73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S/.1,939.65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S/.1,821.27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S/.1,710.11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S/.1,605.74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S/.1,507.74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S/.1,415.71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S/.1,329.31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S/.1,248.18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S/.1,172.00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A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S/.1,100.47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B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C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S/.11,800.00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D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S/.9,600.00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S/.1,033.30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Total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S/.17,949.20</w:t>
                </w:r>
              </w:p>
            </w:tc>
          </w:tr>
        </w:tbl>
      </w:sdtContent>
    </w:sdt>
    <w:p w:rsidR="00000000" w:rsidDel="00000000" w:rsidP="00000000" w:rsidRDefault="00000000" w:rsidRPr="00000000" w14:paraId="00000183">
      <w:pPr>
        <w:spacing w:after="0" w:line="360" w:lineRule="auto"/>
        <w:ind w:left="1712.1259842519685" w:firstLine="447.874015748031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siguientes indicadores financieros permiten evaluar la factibilidad del proyecto en términos económicos, tomando en cuenta la inversión inicial, los flujos de caja proyectados y los beneficios netos esperados.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numPr>
          <w:ilvl w:val="3"/>
          <w:numId w:val="14"/>
        </w:numPr>
        <w:spacing w:after="0" w:before="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tb328m5xz6a6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Relación Beneficio/Costo (B/C)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2409.4488188976375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indicador mide el valor de los beneficios obtenidos por cada unidad monetaria invertida. Para 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GDI-IA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obtuvo una relación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B/C = 13.81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indica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cada sol invertido se generan 13.81 soles en beneficios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cual supera ampliamente el umbral mínimo de viabilidad (B/C &gt; 1).</w:t>
        <w:br w:type="textWrapping"/>
      </w:r>
    </w:p>
    <w:p w:rsidR="00000000" w:rsidDel="00000000" w:rsidP="00000000" w:rsidRDefault="00000000" w:rsidRPr="00000000" w14:paraId="00000186">
      <w:pPr>
        <w:ind w:left="2409.4488188976375" w:hanging="285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Fórmula:</w:t>
      </w:r>
    </w:p>
    <w:p w:rsidR="00000000" w:rsidDel="00000000" w:rsidP="00000000" w:rsidRDefault="00000000" w:rsidRPr="00000000" w14:paraId="00000187">
      <w:pPr>
        <w:ind w:left="2409.4488188976375" w:hanging="285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shd w:fill="38761d" w:val="clear"/>
          <w:rtl w:val="0"/>
        </w:rPr>
        <w:t xml:space="preserve">B/C = Valor Actual de los Beneficios / Valor Actual de los Costos</w:t>
      </w:r>
    </w:p>
    <w:p w:rsidR="00000000" w:rsidDel="00000000" w:rsidP="00000000" w:rsidRDefault="00000000" w:rsidRPr="00000000" w14:paraId="00000188">
      <w:pPr>
        <w:ind w:left="2409.4488188976375" w:hanging="285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88101121"/>
        <w:tag w:val="goog_rdk_10"/>
      </w:sdtPr>
      <w:sdtContent>
        <w:tbl>
          <w:tblPr>
            <w:tblStyle w:val="Table7"/>
            <w:tblpPr w:leftFromText="180" w:rightFromText="180" w:topFromText="180" w:bottomFromText="180" w:vertAnchor="text" w:horzAnchor="text" w:tblpX="2949.0000000000005" w:tblpY="0"/>
            <w:tblW w:w="42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85"/>
            <w:gridCol w:w="2160"/>
            <w:tblGridChange w:id="0">
              <w:tblGrid>
                <w:gridCol w:w="2085"/>
                <w:gridCol w:w="216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00ff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B/C=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76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S/.13.81</w:t>
                </w:r>
              </w:p>
            </w:tc>
          </w:tr>
        </w:tbl>
      </w:sdtContent>
    </w:sdt>
    <w:p w:rsidR="00000000" w:rsidDel="00000000" w:rsidP="00000000" w:rsidRDefault="00000000" w:rsidRPr="00000000" w14:paraId="0000018B">
      <w:pPr>
        <w:pStyle w:val="Heading4"/>
        <w:spacing w:after="0" w:before="0" w:line="360" w:lineRule="auto"/>
        <w:ind w:left="1700.7874015748032" w:firstLine="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heading=h.yjveclshn2eg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spacing w:after="0" w:before="0" w:line="360" w:lineRule="auto"/>
        <w:ind w:left="1700.7874015748032" w:firstLine="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heading=h.wb3xpz2ymwoe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numPr>
          <w:ilvl w:val="3"/>
          <w:numId w:val="14"/>
        </w:numPr>
        <w:spacing w:after="0" w:before="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1mai5x1s092n" w:id="44"/>
      <w:bookmarkEnd w:id="44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Valor Actual Neto (VAN)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2420.7874015748034" w:firstLine="459.2125984251964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VAN representa el valor presente de los beneficios netos del proyecto, descontados a una tasa correspondiente al costo de oportunidad del capital. Para este caso,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 obtenido es S/.16,568.85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cual indica que los ingresos generados superan ampliamente los costos y que la inversión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 valor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empresa.</w:t>
        <w:br w:type="textWrapping"/>
      </w:r>
    </w:p>
    <w:p w:rsidR="00000000" w:rsidDel="00000000" w:rsidP="00000000" w:rsidRDefault="00000000" w:rsidRPr="00000000" w14:paraId="0000018F">
      <w:pPr>
        <w:ind w:left="2409.4488188976375" w:hanging="285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Fórmula:</w:t>
      </w:r>
    </w:p>
    <w:p w:rsidR="00000000" w:rsidDel="00000000" w:rsidP="00000000" w:rsidRDefault="00000000" w:rsidRPr="00000000" w14:paraId="00000190">
      <w:pPr>
        <w:ind w:left="2409.4488188976375" w:hanging="285"/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</w:rPr>
      </w:pPr>
      <w:sdt>
        <w:sdtPr>
          <w:id w:val="607866184"/>
          <w:tag w:val="goog_rdk_11"/>
        </w:sdtPr>
        <w:sdtContent>
          <w:r w:rsidDel="00000000" w:rsidR="00000000" w:rsidRPr="00000000">
            <w:rPr>
              <w:rFonts w:ascii="Caudex" w:cs="Caudex" w:eastAsia="Caudex" w:hAnsi="Caudex"/>
              <w:b w:val="1"/>
              <w:sz w:val="24"/>
              <w:szCs w:val="24"/>
              <w:shd w:fill="f1c232" w:val="clear"/>
              <w:rtl w:val="0"/>
            </w:rPr>
            <w:t xml:space="preserve">VAN = ∑ [ FCₜ / (1 + r)ᵗ ] - Inversión Inicial</w:t>
          </w:r>
        </w:sdtContent>
      </w:sdt>
    </w:p>
    <w:p w:rsidR="00000000" w:rsidDel="00000000" w:rsidP="00000000" w:rsidRDefault="00000000" w:rsidRPr="00000000" w14:paraId="00000191">
      <w:pPr>
        <w:ind w:left="2409.4488188976375" w:hanging="285"/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  <w:rtl w:val="0"/>
        </w:rPr>
        <w:t xml:space="preserve">Donde:</w:t>
      </w:r>
    </w:p>
    <w:p w:rsidR="00000000" w:rsidDel="00000000" w:rsidP="00000000" w:rsidRDefault="00000000" w:rsidRPr="00000000" w14:paraId="00000192">
      <w:pPr>
        <w:ind w:left="2409.4488188976375" w:hanging="285"/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  <w:rtl w:val="0"/>
        </w:rPr>
        <w:t xml:space="preserve">FCₜ = Flujo de Caja en el periodo t</w:t>
      </w:r>
    </w:p>
    <w:p w:rsidR="00000000" w:rsidDel="00000000" w:rsidP="00000000" w:rsidRDefault="00000000" w:rsidRPr="00000000" w14:paraId="00000193">
      <w:pPr>
        <w:ind w:left="2409.4488188976375" w:hanging="285"/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  <w:rtl w:val="0"/>
        </w:rPr>
        <w:t xml:space="preserve">r = Tasa de descuento (Costo de Oportunidad de Capital)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shd w:fill="f1c232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35748109"/>
        <w:tag w:val="goog_rdk_12"/>
      </w:sdtPr>
      <w:sdtContent>
        <w:tbl>
          <w:tblPr>
            <w:tblStyle w:val="Table8"/>
            <w:tblpPr w:leftFromText="180" w:rightFromText="180" w:topFromText="180" w:bottomFromText="180" w:vertAnchor="text" w:horzAnchor="text" w:tblpX="2694.0000000000005" w:tblpY="530.8271484375109"/>
            <w:tblW w:w="42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85"/>
            <w:gridCol w:w="2160"/>
            <w:tblGridChange w:id="0">
              <w:tblGrid>
                <w:gridCol w:w="2085"/>
                <w:gridCol w:w="216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ffff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VAN=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276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S/.16,568.85</w:t>
                </w:r>
              </w:p>
            </w:tc>
          </w:tr>
        </w:tbl>
      </w:sdtContent>
    </w:sdt>
    <w:p w:rsidR="00000000" w:rsidDel="00000000" w:rsidP="00000000" w:rsidRDefault="00000000" w:rsidRPr="00000000" w14:paraId="00000197">
      <w:pPr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1c232" w:val="clear"/>
          <w:rtl w:val="0"/>
        </w:rPr>
        <w:t xml:space="preserve">t = Número del periodo</w:t>
      </w:r>
    </w:p>
    <w:p w:rsidR="00000000" w:rsidDel="00000000" w:rsidP="00000000" w:rsidRDefault="00000000" w:rsidRPr="00000000" w14:paraId="00000198">
      <w:pPr>
        <w:pStyle w:val="Heading4"/>
        <w:spacing w:after="0" w:before="0" w:line="360" w:lineRule="auto"/>
        <w:ind w:left="1700.7874015748032" w:firstLine="0"/>
        <w:jc w:val="both"/>
        <w:rPr>
          <w:rFonts w:ascii="Times New Roman" w:cs="Times New Roman" w:eastAsia="Times New Roman" w:hAnsi="Times New Roman"/>
          <w:i w:val="1"/>
          <w:color w:val="ffffff"/>
          <w:shd w:fill="f1c232" w:val="clear"/>
        </w:rPr>
      </w:pPr>
      <w:bookmarkStart w:colFirst="0" w:colLast="0" w:name="_heading=h.o40lb58gn3o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numPr>
          <w:ilvl w:val="3"/>
          <w:numId w:val="14"/>
        </w:numPr>
        <w:spacing w:after="0" w:before="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semrjahjy5bs" w:id="46"/>
      <w:bookmarkEnd w:id="46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Tasa Interna de Retorno (TIR)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60" w:lineRule="auto"/>
        <w:ind w:left="2509" w:firstLine="37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TIR del proyecto fue estimada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1.53 mensual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 decir, representa la rentabilidad efectiva del capital invertido. Dado que esta tasa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supera al costo de oportunidad de capital (COK)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cual es el rendimiento que se habría obtenido de haberse destinado los recursos a otra alternativa de inversión, el proyecto resulta financieramente atractivo.</w:t>
      </w:r>
    </w:p>
    <w:p w:rsidR="00000000" w:rsidDel="00000000" w:rsidP="00000000" w:rsidRDefault="00000000" w:rsidRPr="00000000" w14:paraId="0000019B">
      <w:pPr>
        <w:spacing w:after="0" w:line="240" w:lineRule="auto"/>
        <w:ind w:left="2124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2409.4488188976375" w:hanging="285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Fórmula:</w:t>
      </w:r>
    </w:p>
    <w:p w:rsidR="00000000" w:rsidDel="00000000" w:rsidP="00000000" w:rsidRDefault="00000000" w:rsidRPr="00000000" w14:paraId="0000019D">
      <w:pPr>
        <w:ind w:left="2409.4488188976375" w:hanging="285"/>
        <w:rPr>
          <w:rFonts w:ascii="Times New Roman" w:cs="Times New Roman" w:eastAsia="Times New Roman" w:hAnsi="Times New Roman"/>
          <w:b w:val="1"/>
          <w:sz w:val="24"/>
          <w:szCs w:val="24"/>
          <w:shd w:fill="5b9bd5" w:val="clear"/>
        </w:rPr>
      </w:pPr>
      <w:sdt>
        <w:sdtPr>
          <w:id w:val="-931421588"/>
          <w:tag w:val="goog_rdk_13"/>
        </w:sdtPr>
        <w:sdtContent>
          <w:r w:rsidDel="00000000" w:rsidR="00000000" w:rsidRPr="00000000">
            <w:rPr>
              <w:rFonts w:ascii="Caudex" w:cs="Caudex" w:eastAsia="Caudex" w:hAnsi="Caudex"/>
              <w:b w:val="1"/>
              <w:sz w:val="24"/>
              <w:szCs w:val="24"/>
              <w:shd w:fill="5b9bd5" w:val="clear"/>
              <w:rtl w:val="0"/>
            </w:rPr>
            <w:t xml:space="preserve">0 = ∑ [ FCₜ / (1 + TIR)ᵗ ] - Inversión Inicial</w:t>
          </w:r>
        </w:sdtContent>
      </w:sdt>
    </w:p>
    <w:p w:rsidR="00000000" w:rsidDel="00000000" w:rsidP="00000000" w:rsidRDefault="00000000" w:rsidRPr="00000000" w14:paraId="0000019E">
      <w:pPr>
        <w:ind w:left="2409.4488188976375" w:hanging="285"/>
        <w:rPr>
          <w:rFonts w:ascii="Times New Roman" w:cs="Times New Roman" w:eastAsia="Times New Roman" w:hAnsi="Times New Roman"/>
          <w:b w:val="1"/>
          <w:sz w:val="24"/>
          <w:szCs w:val="24"/>
          <w:shd w:fill="5b9bd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20603223"/>
        <w:tag w:val="goog_rdk_14"/>
      </w:sdtPr>
      <w:sdtContent>
        <w:tbl>
          <w:tblPr>
            <w:tblStyle w:val="Table9"/>
            <w:tblpPr w:leftFromText="180" w:rightFromText="180" w:topFromText="180" w:bottomFromText="180" w:vertAnchor="text" w:horzAnchor="text" w:tblpX="3114.0000000000005" w:tblpY="737.8657226562427"/>
            <w:tblW w:w="42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85"/>
            <w:gridCol w:w="2160"/>
            <w:tblGridChange w:id="0">
              <w:tblGrid>
                <w:gridCol w:w="2085"/>
                <w:gridCol w:w="216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shd w:fill="00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TIR=</w:t>
                </w:r>
              </w:p>
            </w:tc>
            <w:tc>
              <w:tcPr>
                <w:tcBorders>
                  <w:top w:color="cccccc" w:space="0" w:sz="8" w:val="single"/>
                  <w:left w:color="cccccc" w:space="0" w:sz="8" w:val="single"/>
                  <w:bottom w:color="cccccc" w:space="0" w:sz="8" w:val="single"/>
                  <w:right w:color="cccccc" w:space="0" w:sz="8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76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S/.1.53</w:t>
                </w:r>
              </w:p>
            </w:tc>
          </w:tr>
        </w:tbl>
      </w:sdtContent>
    </w:sdt>
    <w:p w:rsidR="00000000" w:rsidDel="00000000" w:rsidP="00000000" w:rsidRDefault="00000000" w:rsidRPr="00000000" w14:paraId="000001A1">
      <w:pPr>
        <w:ind w:left="2409.4488188976375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5b9bd5" w:val="clear"/>
          <w:rtl w:val="0"/>
        </w:rPr>
        <w:t xml:space="preserve">La TIR es la tasa que hace que el VAN sea igual a 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keepNext w:val="1"/>
        <w:keepLines w:val="1"/>
        <w:numPr>
          <w:ilvl w:val="0"/>
          <w:numId w:val="6"/>
        </w:numPr>
        <w:spacing w:after="0" w:before="120" w:line="360" w:lineRule="auto"/>
        <w:ind w:left="720" w:hanging="360"/>
        <w:jc w:val="both"/>
        <w:rPr>
          <w:u w:val="none"/>
        </w:rPr>
      </w:pPr>
      <w:bookmarkStart w:colFirst="0" w:colLast="0" w:name="_heading=h.dyzjm1dg4031" w:id="47"/>
      <w:bookmarkEnd w:id="47"/>
      <w:r w:rsidDel="00000000" w:rsidR="00000000" w:rsidRPr="00000000">
        <w:rPr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de desarrollar el presente estudio de factibilidad para el proyecto DevFlow, concluyo que su implementación resulta viable en los aspectos técnico, económico, operativo, legal, social y ambiental. El análisis efectuado confirma que la plataforma aportará beneficios significativos a los equipos de desarrollo de software y a las organizaciones que buscan optimizar sus procesos de entrega continua.</w:t>
      </w:r>
    </w:p>
    <w:p w:rsidR="00000000" w:rsidDel="00000000" w:rsidP="00000000" w:rsidRDefault="00000000" w:rsidRPr="00000000" w14:paraId="000001A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la perspectiva técnica, DevFlow cuenta con los recursos, tecnologías y arquitectura necesarios para garantizar un entorno estable y escalable. La combinación de Nest.js, Next.js, PostgreSQL y la virtualización mediante Docker asegura un marco robusto para la integración, reduciendo riesgos de fallas y facilitando la portabilidad entre entornos.</w:t>
      </w:r>
    </w:p>
    <w:p w:rsidR="00000000" w:rsidDel="00000000" w:rsidP="00000000" w:rsidRDefault="00000000" w:rsidRPr="00000000" w14:paraId="000001A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la factibilidad económica, la inversión inicial resulta razonable frente a los ahorros generados en infraestructura, tiempos de despliegue y productividad. Los indicadores financieros proyectados demuestran rentabilidad y un retorno de inversión en un plazo aceptable, sustentado en la reducción de costos operativos y en la mayor eficiencia de los equipos de desarrollo.</w:t>
      </w:r>
    </w:p>
    <w:p w:rsidR="00000000" w:rsidDel="00000000" w:rsidP="00000000" w:rsidRDefault="00000000" w:rsidRPr="00000000" w14:paraId="000001A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factibilidad operativa es positiva, dado que el sistema se adapta al flujo de trabajo de los usuarios, proporcionando un entorno intuitivo con pipelines automatizados y dashboards que facilitan la gestión, monitoreo y control de cada etapa del ciclo de vida del software.</w:t>
      </w:r>
    </w:p>
    <w:p w:rsidR="00000000" w:rsidDel="00000000" w:rsidP="00000000" w:rsidRDefault="00000000" w:rsidRPr="00000000" w14:paraId="000001A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aspecto legal, no se han identificado limitaciones, ya que DevFlow opera bajo licencias abiertas y estándares de seguridad, garantizando el cumplimiento normativo en cuanto a privacidad, confidencialidad y trazabilidad de los datos.</w:t>
      </w:r>
    </w:p>
    <w:p w:rsidR="00000000" w:rsidDel="00000000" w:rsidP="00000000" w:rsidRDefault="00000000" w:rsidRPr="00000000" w14:paraId="000001A8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ámbito social, el proyecto contribuye a fortalecer la cultura DevOps, impulsando la colaboración entre equipos técnicos y fomentando la innovación continua. Al facilitar entregas de software más rápidas y confiables, se beneficia tanto a empresas como a usuarios finales, mejorando la competitividad en el sector tecnológico.</w:t>
      </w:r>
    </w:p>
    <w:p w:rsidR="00000000" w:rsidDel="00000000" w:rsidP="00000000" w:rsidRDefault="00000000" w:rsidRPr="00000000" w14:paraId="000001A9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desde la dimensión ambiental, DevFlow genera un impacto positivo al promover la digitalización y el uso de infraestructura en la nube, reduciendo la dependencia de servidores físicos y minimizando la huella de recursos en instalaciones locales.</w:t>
      </w:r>
    </w:p>
    <w:p w:rsidR="00000000" w:rsidDel="00000000" w:rsidP="00000000" w:rsidRDefault="00000000" w:rsidRPr="00000000" w14:paraId="000001A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todo lo expuesto, concluyo que DevFlow no solo es factible, sino que se proyecta como una herramienta estratégica que permitirá optimizar procesos de integración y despliegue de software, brindando valor tangible e intangible a organizaciones, desarrolladores y al ecosistema tecnológico en general.</w:t>
      </w:r>
    </w:p>
    <w:p w:rsidR="00000000" w:rsidDel="00000000" w:rsidP="00000000" w:rsidRDefault="00000000" w:rsidRPr="00000000" w14:paraId="000001A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Arial Unicode MS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360" w:lineRule="auto"/>
      <w:ind w:left="36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360" w:hanging="76.00000000000001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  <w:ind w:left="720" w:hanging="11.338582677165334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4C3A4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4C3A42"/>
    <w:pPr>
      <w:outlineLvl w:val="9"/>
    </w:pPr>
    <w:rPr>
      <w:lang w:eastAsia="es-ES"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C3A42"/>
    <w:pPr>
      <w:spacing w:after="100"/>
      <w:ind w:left="220"/>
    </w:pPr>
  </w:style>
  <w:style w:type="character" w:styleId="PuestoCar" w:customStyle="1">
    <w:name w:val="Puesto Car"/>
    <w:basedOn w:val="Fuentedeprrafopredeter"/>
    <w:link w:val="Puesto"/>
    <w:rsid w:val="00085923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65A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OalU7s4bObFA5kdi+pUMgrZOvA==">CgMxLjAaHwoBMBIaChgICVIUChJ0YWJsZS5nZWI0b3NxbnZoaGQaHwoBMRIaChgICVIUChJ0YWJsZS5nbm9sdWQ1andyZXEaHwoBMhIaChgICVIUChJ0YWJsZS5zaG52ODRwd2JoOTUaHwoBMxIaChgICVIUChJ0YWJsZS5xNHlhMG91ZGp6NjE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2020-10-07T16:24:00Z</dcterms:created>
  <dc:creator>USUARIO</dc:creator>
</cp:coreProperties>
</file>