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image/jpeg" Extension="jpeg"/>
  <Default ContentType="image/jpeg" Extension="jpg"/>
  <Default ContentType="image/bmp" Extension="bmp"/>
  <Default ContentType="image/gif" Extension="gif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01C3F6" w14:textId="77777777" w:rsidR="001E6B2F" w:rsidRDefault="001E6B2F" w:rsidP="00600CDB">
      <w:pPr>
        <w:pStyle w:val="tableCaption"/>
      </w:pPr>
      <w:r>
        <w:rPr>
          <w:rFonts w:hint="eastAsia"/>
        </w:rPr>
        <w:t xml:space="preserve"/>
      </w:r>
      <w:r>
        <w:t xml:space="preserve">&lt;b&gt;INDICE GENERAL&lt;/b&gt;</w:t>
      </w:r>
      <w:r>
        <w:t xml:space="preserve"/>
      </w:r>
      <w:r>
        <w:t xml:space="preserve"/>
      </w:r>
    </w:p>
    <w:p w14:paraId="112F4D16" w14:textId="77777777" w:rsidR="00551A6A" w:rsidRPr="00567786" w:rsidRDefault="00551A6A" w:rsidP="007964F2"/>
    <w:p>
      <w:pPr>
        <w:pStyle w:val="picture1"/>
      </w:pPr>
      <w:r>
        <w:drawing>
          <wp:inline distT="0" distB="0" distL="0" distR="0">
            <wp:extent cx="2238375" cy="2857500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mediamediaimage1png" w:id="1"/>
      <w:r>
        <w:t xml:space="preserve">Fig. </w:t>
      </w:r>
      <w:fldSimple w:instr=" SEQ DOCXFIG \* ARABIC  "/>
      <w:bookmarkEnd w:id="1"/>
      <w:r>
        <w:t xml:space="preserve"> ./media/media/image1.png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UNIVERSIDAD PRIVADA DE TACNA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FACULTAD DE INGENIERIA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Escuela Profesional de Ingeniería de Sistemas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Proyecto Red Social UPT</w:t>
      </w:r>
      <w:r>
        <w:rPr>
          <w:b w:val="false"/>
          <w:bCs w:val="false"/>
          <w:i w:val="false"/>
          <w:iCs w:val="false"/>
          <w:strike w:val="false"/>
        </w:rPr>
        <w:t xml:space="preserve">*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Curso: </w:t>
      </w:r>
      <w:r>
        <w:rPr>
          <w:b w:val="false"/>
          <w:bCs w:val="false"/>
          <w:i/>
          <w:iCs/>
          <w:strike w:val="false"/>
        </w:rPr>
        <w:t xml:space="preserve">Patrones de Software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Docente: </w:t>
      </w:r>
      <w:r>
        <w:rPr>
          <w:b w:val="false"/>
          <w:bCs w:val="false"/>
          <w:i/>
          <w:iCs/>
          <w:strike w:val="false"/>
        </w:rPr>
        <w:t xml:space="preserve">Mag. Ing. Patricio Cuadros Quiroga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Integrantes:</w:t>
      </w:r>
    </w:p>
    <w:p>
      <w:pPr>
        <w:pStyle w:val="body1"/>
      </w:pPr>
      <w:r>
        <w:rPr>
          <w:b/>
          <w:bCs/>
          <w:i/>
          <w:iCs/>
          <w:strike w:val="false"/>
        </w:rPr>
        <w:t xml:space="preserve">Cutipa Gutierrez, Ricardo (2021069827)</w:t>
      </w:r>
    </w:p>
    <w:p>
      <w:pPr>
        <w:pStyle w:val="body1"/>
      </w:pPr>
      <w:r>
        <w:rPr>
          <w:b/>
          <w:bCs/>
          <w:i/>
          <w:iCs/>
          <w:strike w:val="false"/>
        </w:rPr>
        <w:t xml:space="preserve">Malaga Espinoza, Ivan (2021071086)</w:t>
      </w:r>
    </w:p>
    <w:p>
      <w:pPr>
        <w:pStyle w:val="body1"/>
      </w:pPr>
      <w:r>
        <w:rPr>
          <w:b/>
          <w:bCs/>
          <w:i/>
          <w:iCs/>
          <w:strike w:val="false"/>
        </w:rPr>
        <w:t xml:space="preserve">Chino Rivera, Angel (2021069830)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Tacna – Perú</w:t>
      </w:r>
    </w:p>
    <w:p>
      <w:pPr>
        <w:pStyle w:val="body1"/>
      </w:pPr>
      <w:r>
        <w:rPr>
          <w:b/>
          <w:bCs/>
          <w:i/>
          <w:iCs/>
          <w:strike w:val="false"/>
        </w:rPr>
        <w:t xml:space="preserve">2026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**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**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Sistema </w:t>
      </w:r>
      <w:r>
        <w:rPr>
          <w:b w:val="false"/>
          <w:bCs w:val="false"/>
          <w:i/>
          <w:iCs/>
          <w:strike w:val="false"/>
        </w:rPr>
        <w:t xml:space="preserve">Red Social UPT – Plataforma Social Universitaria basada en Microservicios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Informe de Factibilidad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Versión </w:t>
      </w:r>
      <w:r>
        <w:rPr>
          <w:b w:val="false"/>
          <w:bCs w:val="false"/>
          <w:i/>
          <w:iCs/>
          <w:strike w:val="false"/>
        </w:rPr>
        <w:t xml:space="preserve">{1.0}</w:t>
      </w:r>
    </w:p>
    <w:tbl>
      <w:tblPr>
        <w:tblStyle w:val="styleN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CONTROL DE VERSIONES</w:t>
            </w:r>
          </w:p>
        </w:tc>
        <w:tc>
          <w:tcPr>
            <w:tcW w:type="pct" w:w="15%"/>
            <w:gridSpan w:val="1"/>
          </w:tcPr>
          <w:p/>
        </w:tc>
        <w:tc>
          <w:tcPr>
            <w:tcW w:type="pct" w:w="15%"/>
            <w:gridSpan w:val="1"/>
          </w:tcPr>
          <w:p/>
        </w:tc>
        <w:tc>
          <w:tcPr>
            <w:tcW w:type="pct" w:w="15%"/>
            <w:gridSpan w:val="1"/>
          </w:tcPr>
          <w:p/>
        </w:tc>
        <w:tc>
          <w:tcPr>
            <w:tcW w:type="pct" w:w="15%"/>
            <w:gridSpan w:val="1"/>
          </w:tcPr>
          <w:p/>
        </w:tc>
        <w:tc>
          <w:tcPr>
            <w:tcW w:type="pct" w:w="20%"/>
            <w:gridSpan w:val="1"/>
          </w:tcPr>
          <w:p/>
        </w:tc>
      </w:tr>
      <w:tr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Versión</w:t>
            </w:r>
          </w:p>
        </w:tc>
        <w:tc>
          <w:tcPr>
            <w:tcW w:type="pct" w:w="1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Hecha por</w:t>
            </w:r>
          </w:p>
        </w:tc>
        <w:tc>
          <w:tcPr>
            <w:tcW w:type="pct" w:w="1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Revisada por</w:t>
            </w:r>
          </w:p>
        </w:tc>
        <w:tc>
          <w:tcPr>
            <w:tcW w:type="pct" w:w="1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Aprobada por</w:t>
            </w:r>
          </w:p>
        </w:tc>
        <w:tc>
          <w:tcPr>
            <w:tcW w:type="pct" w:w="1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Fecha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Motivo</w:t>
            </w:r>
          </w:p>
        </w:tc>
      </w:tr>
      <w:tr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1.0</w:t>
            </w:r>
          </w:p>
        </w:tc>
        <w:tc>
          <w:tcPr>
            <w:tcW w:type="pct" w:w="1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RCG</w:t>
            </w:r>
          </w:p>
        </w:tc>
        <w:tc>
          <w:tcPr>
            <w:tcW w:type="pct" w:w="1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IME</w:t>
            </w:r>
          </w:p>
        </w:tc>
        <w:tc>
          <w:tcPr>
            <w:tcW w:type="pct" w:w="1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ACR</w:t>
            </w:r>
          </w:p>
        </w:tc>
        <w:tc>
          <w:tcPr>
            <w:tcW w:type="pct" w:w="1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06/04/2026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Versión Original</w:t>
            </w:r>
          </w:p>
        </w:tc>
      </w:tr>
    </w:tbl>
    <w:p>
      <w:r>
        <w:t xml:space="preserve"> 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46 \w \h "/>
      <w:r>
        <w:t xml:space="preserve"> </w:t>
      </w:r>
      <w:fldSimple w:instr=" REF toc52661346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46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47 \w \h "/>
      <w:r>
        <w:t xml:space="preserve"> </w:t>
      </w:r>
      <w:fldSimple w:instr=" REF toc52661347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47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48 \w \h "/>
      <w:r>
        <w:t xml:space="preserve"> </w:t>
      </w:r>
      <w:fldSimple w:instr=" REF toc52661348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48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49 \w \h "/>
      <w:r>
        <w:t xml:space="preserve"> </w:t>
      </w:r>
      <w:fldSimple w:instr=" REF toc52661349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49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50 \w \h "/>
      <w:r>
        <w:t xml:space="preserve"> </w:t>
      </w:r>
      <w:fldSimple w:instr=" REF toc52661350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50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51 \w \h "/>
      <w:r>
        <w:t xml:space="preserve"> </w:t>
      </w:r>
      <w:fldSimple w:instr=" REF toc52661351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51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52 \w \h "/>
      <w:r>
        <w:t xml:space="preserve"> </w:t>
      </w:r>
      <w:fldSimple w:instr=" REF toc52661352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52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53 \w \h "/>
      <w:r>
        <w:t xml:space="preserve"> </w:t>
      </w:r>
      <w:fldSimple w:instr=" REF toc52661353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53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54 \w \h "/>
      <w:r>
        <w:t xml:space="preserve"> </w:t>
      </w:r>
      <w:fldSimple w:instr=" REF toc52661354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54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55 \w \h "/>
      <w:r>
        <w:t xml:space="preserve"> </w:t>
      </w:r>
      <w:fldSimple w:instr=" REF toc52661355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55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56 \w \h "/>
      <w:r>
        <w:t xml:space="preserve"> </w:t>
      </w:r>
      <w:fldSimple w:instr=" REF toc52661356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56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t xml:space="preserve">[</w:t>
      </w:r>
      <w:r>
        <w:t xml:space="preserve">[</w:t>
      </w:r>
      <w:fldSimple w:instr=" REF toc52661357 \w \h "/>
      <w:r>
        <w:t xml:space="preserve"> </w:t>
      </w:r>
      <w:fldSimple w:instr=" REF toc52661357 \h "/>
      <w:r>
        <w:t xml:space="preserve"> </w:t>
      </w:r>
      <w:r>
        <w:t xml:space="preserve">(</w:t>
      </w:r>
      <w:r>
        <w:t xml:space="preserve">p</w:t>
      </w:r>
      <w:r>
        <w:t xml:space="preserve">.</w:t>
      </w:r>
      <w:fldSimple w:instr=" PAGEREF toc52661357 \h "/>
      <w:r>
        <w:t xml:space="preserve">)</w:t>
      </w:r>
      <w:r>
        <w:t xml:space="preserve">]</w:t>
      </w:r>
      <w:r>
        <w:t xml:space="preserve">]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Informe de Factibilidad</w:t>
      </w:r>
    </w:p>
    <w:p>
      <w:pPr>
        <w:pStyle w:val="numList1"/>
      </w:pPr>
      <w:r>
        <w:rPr>
          <w:b/>
          <w:bCs/>
          <w:i w:val="false"/>
          <w:iCs w:val="false"/>
          <w:strike w:val="false"/>
        </w:rPr>
        <w:t xml:space="preserve">Descripción del Proyecto</w:t>
      </w:r>
    </w:p>
    <w:p>
      <w:r>
        <w:t xml:space="preserve"> </w:t>
      </w:r>
    </w:p>
    <w:p>
      <w:pPr>
        <w:pStyle w:val="hh2"/>
      </w:pPr>
      <w:bookmarkStart w:name="nombre-del-proyecto" w:id="1"/>
      <w:r>
        <w:rPr>
          <w:b w:val="false"/>
          <w:bCs w:val="false"/>
          <w:i w:val="false"/>
          <w:iCs w:val="false"/>
          <w:strike w:val="false"/>
        </w:rPr>
        <w:t xml:space="preserve">1.1 Nombre del Proyecto</w:t>
      </w:r>
      <w:bookmarkEnd w:id="1"/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Red Social UPT – Plataforma Social Universitaria basada en Microservicios</w:t>
      </w:r>
    </w:p>
    <w:p>
      <w:pPr>
        <w:pStyle w:val="hh2"/>
      </w:pPr>
      <w:bookmarkStart w:name="duración-del-proyecto" w:id="1"/>
      <w:r>
        <w:rPr>
          <w:b w:val="false"/>
          <w:bCs w:val="false"/>
          <w:i w:val="false"/>
          <w:iCs w:val="false"/>
          <w:strike w:val="false"/>
        </w:rPr>
        <w:t xml:space="preserve">1.2 Duración del Proyecto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proyecto tiene una duración estimada de </w:t>
      </w:r>
      <w:r>
        <w:rPr>
          <w:b/>
          <w:bCs/>
          <w:i w:val="false"/>
          <w:iCs w:val="false"/>
          <w:strike w:val="false"/>
        </w:rPr>
        <w:t xml:space="preserve">4 meses (16 semanas)</w:t>
      </w:r>
      <w:r>
        <w:rPr>
          <w:b w:val="false"/>
          <w:bCs w:val="false"/>
          <w:i w:val="false"/>
          <w:iCs w:val="false"/>
          <w:strike w:val="false"/>
        </w:rPr>
        <w:t xml:space="preserve">, correspondiente al semestre académico </w:t>
      </w:r>
      <w:r>
        <w:rPr>
          <w:b/>
          <w:bCs/>
          <w:i w:val="false"/>
          <w:iCs w:val="false"/>
          <w:strike w:val="false"/>
        </w:rPr>
        <w:t xml:space="preserve">2026-I</w:t>
      </w:r>
      <w:r>
        <w:rPr>
          <w:b w:val="false"/>
          <w:bCs w:val="false"/>
          <w:i w:val="false"/>
          <w:iCs w:val="false"/>
          <w:strike w:val="false"/>
        </w:rPr>
        <w:t xml:space="preserve">, comprendido entre los meses de </w:t>
      </w:r>
      <w:r>
        <w:rPr>
          <w:b/>
          <w:bCs/>
          <w:i w:val="false"/>
          <w:iCs w:val="false"/>
          <w:strike w:val="false"/>
        </w:rPr>
        <w:t xml:space="preserve">abril y julio de 2026</w:t>
      </w:r>
      <w:r>
        <w:rPr>
          <w:b w:val="false"/>
          <w:bCs w:val="false"/>
          <w:i w:val="false"/>
          <w:iCs w:val="false"/>
          <w:strike w:val="false"/>
        </w:rPr>
        <w:t xml:space="preserve">.</w:t>
      </w:r>
    </w:p>
    <w:p>
      <w:pPr>
        <w:pStyle w:val="hh2"/>
      </w:pPr>
      <w:bookmarkStart w:name="descripción" w:id="1"/>
      <w:r>
        <w:rPr>
          <w:b w:val="false"/>
          <w:bCs w:val="false"/>
          <w:i w:val="false"/>
          <w:iCs w:val="false"/>
          <w:strike w:val="false"/>
        </w:rPr>
        <w:t xml:space="preserve">1.3 Descripción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La </w:t>
      </w:r>
      <w:r>
        <w:rPr>
          <w:b/>
          <w:bCs/>
          <w:i w:val="false"/>
          <w:iCs w:val="false"/>
          <w:strike w:val="false"/>
        </w:rPr>
        <w:t xml:space="preserve">Red Social UPT</w:t>
      </w:r>
      <w:r>
        <w:rPr>
          <w:b w:val="false"/>
          <w:bCs w:val="false"/>
          <w:i w:val="false"/>
          <w:iCs w:val="false"/>
          <w:strike w:val="false"/>
        </w:rPr>
        <w:t xml:space="preserve"> es una plataforma digital orientada a la comunidad estudiantil de la Universidad Privada de Tacna, diseñada para facilitar la comunicación e interacción académica y social dentro de un entorno institucional seguro.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sistema consiste en el desarrollo de una aplicación web basada en arquitectura de microservicios, que permite a los estudiantes autenticarse mediante su cuenta institucional </w:t>
      </w:r>
      <w:r>
        <w:rPr>
          <w:b w:val="false"/>
          <w:bCs w:val="false"/>
          <w:i w:val="false"/>
          <w:iCs w:val="false"/>
          <w:strike w:val="false"/>
          <w:rStyle w:val="codespan"/>
        </w:rPr>
        <w:t xml:space="preserve">\@virtual.upt.pe</w:t>
      </w:r>
      <w:r>
        <w:rPr>
          <w:b w:val="false"/>
          <w:bCs w:val="false"/>
          <w:i w:val="false"/>
          <w:iCs w:val="false"/>
          <w:strike w:val="false"/>
        </w:rPr>
        <w:t xml:space="preserve">, crear publicaciones, generar historias, interactuar con otros usuarios y organizarse según su facultad y escuela profesional.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Actualmente, los estudiantes recurren a plataformas externas como Facebook o WhatsApp para coordinar actividades académicas, lo cual genera limitaciones en términos de privacidad, control institucional y organización de la información. Esta propuesta plantea una solución centralizada que responde directamente a dichas problemáticas.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sistema se implementa utilizando tecnologías modernas orientadas a escalabilidad, despliegue en la nube y buenas prácticas de desarrollo: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PHP / Lumen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MySQL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Docker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Terraform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GitHub Actions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SonarQube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VPS con sistema operativo Debian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La solución propuesta permite consolidar un entorno digital propio de la universidad, garantizando seguridad en el acceso, organización de la información académica y una experiencia de usuario alineada al contexto universitario.</w:t>
      </w:r>
    </w:p>
    <w:p>
      <w:pPr>
        <w:pStyle w:val="hh1"/>
      </w:pPr>
      <w:bookmarkStart w:name="objetivos" w:id="1"/>
      <w:r>
        <w:rPr>
          <w:b w:val="false"/>
          <w:bCs w:val="false"/>
          <w:i w:val="false"/>
          <w:iCs w:val="false"/>
          <w:strike w:val="false"/>
        </w:rPr>
        <w:t xml:space="preserve">1.4 Objetivos</w:t>
      </w:r>
      <w:bookmarkEnd w:id="1"/>
    </w:p>
    <w:p>
      <w:pPr>
        <w:pStyle w:val="hh2"/>
      </w:pPr>
      <w:bookmarkStart w:name="objetivo-general" w:id="1"/>
      <w:r>
        <w:rPr>
          <w:b w:val="false"/>
          <w:bCs w:val="false"/>
          <w:i w:val="false"/>
          <w:iCs w:val="false"/>
          <w:strike w:val="false"/>
        </w:rPr>
        <w:t xml:space="preserve">1.4.1 Objetivo General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Desarrollar una plataforma web de red social universitaria basada en arquitectura de microservicios que permita a los estudiantes de la Universidad Privada de Tacna interactuar, compartir contenido académico y social, y comunicarse de forma segura mediante el uso exclusivo de cuentas institucionales con dominio </w:t>
      </w:r>
      <w:r>
        <w:rPr>
          <w:b w:val="false"/>
          <w:bCs w:val="false"/>
          <w:i w:val="false"/>
          <w:iCs w:val="false"/>
          <w:strike w:val="false"/>
          <w:rStyle w:val="codespan"/>
        </w:rPr>
        <w:t xml:space="preserve">\@virtual.upt.pe</w:t>
      </w:r>
      <w:r>
        <w:rPr>
          <w:b w:val="false"/>
          <w:bCs w:val="false"/>
          <w:i w:val="false"/>
          <w:iCs w:val="false"/>
          <w:strike w:val="false"/>
        </w:rPr>
        <w:t xml:space="preserve">, garantizando un entorno digital controlado, escalable y orientado a la comunidad universitaria.</w:t>
      </w:r>
    </w:p>
    <w:p>
      <w:pPr>
        <w:pStyle w:val="hh2"/>
      </w:pPr>
      <w:bookmarkStart w:name="objetivos-específicos" w:id="1"/>
      <w:r>
        <w:rPr>
          <w:b w:val="false"/>
          <w:bCs w:val="false"/>
          <w:i w:val="false"/>
          <w:iCs w:val="false"/>
          <w:strike w:val="false"/>
        </w:rPr>
        <w:t xml:space="preserve">1.4.2 Objetivos Específicos</w:t>
      </w:r>
      <w:bookmarkEnd w:id="1"/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OE1: Diseño de la arquitectura de microservicios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Definir la estructura del sistema mediante la separación en microservicios independientes (autenticación, publicaciones e interacciones sociales), estableciendo su comunicación a través de APIs REST y asegurando escalabilidad, modularidad y mantenibilidad del sistema.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OE2: Implementación del sistema de autenticación institucional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Habilitar el registro e inicio de sesión exclusivo mediante cuentas con dominio </w:t>
      </w:r>
      <w:r>
        <w:rPr>
          <w:b w:val="false"/>
          <w:bCs w:val="false"/>
          <w:i w:val="false"/>
          <w:iCs w:val="false"/>
          <w:strike w:val="false"/>
          <w:rStyle w:val="codespan"/>
        </w:rPr>
        <w:t xml:space="preserve">\@virtual.upt.pe</w:t>
      </w:r>
      <w:r>
        <w:rPr>
          <w:b w:val="false"/>
          <w:bCs w:val="false"/>
          <w:i w:val="false"/>
          <w:iCs w:val="false"/>
          <w:strike w:val="false"/>
        </w:rPr>
        <w:t xml:space="preserve">, integrando Google OAuth y generación de tokens JWT para garantizar autenticación segura y validación de identidad institucional.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OE3: Desarrollo del módulo de publicaciones e historias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Permitir a los usuarios crear publicaciones con texto e imágenes, así como historias efímeras con expiración automática, asegurando su correcta visualización en el feed en tiempo real.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OE4: Implementación del módulo de perfiles e interacciones sociales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Desarrollar funcionalidades que permitan la gestión de perfiles de usuario, así como la interacción mediante likes, comentarios y segmentación por facultad y carrera, fortaleciendo la comunicación dentro de la comunidad universitaria.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OE5: Despliegue del sistema en infraestructura en la nube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Implementar el sistema en una VPS con sistema operativo Debian utilizando contenedores Docker y orquestación con Docker Compose, gestionando la infraestructura mediante Terraform para garantizar reproducibilidad y automatización.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OE6: Integración de control de calidad y seguridad del software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Incorporar herramientas de análisis estático y seguridad como SonarQube, Snyk o Semgrep dentro de un pipeline de CI/CD con GitHub Actions, asegurando código limpio, seguro y alineado a buenas prácticas de desarrollo.</w:t>
      </w:r>
    </w:p>
    <w:p>
      <w:pPr>
        <w:pStyle w:val="hh1"/>
      </w:pPr>
      <w:bookmarkStart w:name="riesgos" w:id="1"/>
      <w:r>
        <w:rPr>
          <w:b w:val="false"/>
          <w:bCs w:val="false"/>
          <w:i w:val="false"/>
          <w:iCs w:val="false"/>
          <w:strike w:val="false"/>
        </w:rPr>
        <w:t xml:space="preserve">2. Riesgos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Los principales riesgos que podrían afectar el éxito del proyecto son:</w:t>
      </w:r>
    </w:p>
    <w:tbl>
      <w:tblPr>
        <w:tblStyle w:val="styleN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Riesgo</w:t>
            </w:r>
          </w:p>
        </w:tc>
        <w:tc>
          <w:tcPr>
            <w:tcW w:type="pct" w:w="36.3636363636363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Descripción</w:t>
            </w:r>
          </w:p>
        </w:tc>
        <w:tc>
          <w:tcPr>
            <w:tcW w:type="pct" w:w="11.36363636363636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Impacto</w:t>
            </w:r>
          </w:p>
        </w:tc>
        <w:tc>
          <w:tcPr>
            <w:tcW w:type="pct" w:w="27.272727272727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Mitigación</w:t>
            </w:r>
          </w:p>
        </w:tc>
      </w:tr>
      <w:tr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Falta de tiempo</w:t>
            </w:r>
          </w:p>
        </w:tc>
        <w:tc>
          <w:tcPr>
            <w:tcW w:type="pct" w:w="36.3636363636363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Retraso en el desarrollo por carga académica</w:t>
            </w:r>
          </w:p>
        </w:tc>
        <w:tc>
          <w:tcPr>
            <w:tcW w:type="pct" w:w="11.36363636363636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Alto</w:t>
            </w:r>
          </w:p>
        </w:tc>
        <w:tc>
          <w:tcPr>
            <w:tcW w:type="pct" w:w="27.272727272727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Planificación semanal</w:t>
            </w:r>
          </w:p>
        </w:tc>
      </w:tr>
      <w:tr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Fallas en VPS</w:t>
            </w:r>
          </w:p>
        </w:tc>
        <w:tc>
          <w:tcPr>
            <w:tcW w:type="pct" w:w="36.3636363636363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Problemas en el servidor</w:t>
            </w:r>
          </w:p>
        </w:tc>
        <w:tc>
          <w:tcPr>
            <w:tcW w:type="pct" w:w="11.36363636363636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Medio</w:t>
            </w:r>
          </w:p>
        </w:tc>
        <w:tc>
          <w:tcPr>
            <w:tcW w:type="pct" w:w="27.272727272727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Backup y pruebas locales</w:t>
            </w:r>
          </w:p>
        </w:tc>
      </w:tr>
      <w:tr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Problemas en microservicios</w:t>
            </w:r>
          </w:p>
        </w:tc>
        <w:tc>
          <w:tcPr>
            <w:tcW w:type="pct" w:w="36.3636363636363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Errores en la integración</w:t>
            </w:r>
          </w:p>
        </w:tc>
        <w:tc>
          <w:tcPr>
            <w:tcW w:type="pct" w:w="11.36363636363636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Alto</w:t>
            </w:r>
          </w:p>
        </w:tc>
        <w:tc>
          <w:tcPr>
            <w:tcW w:type="pct" w:w="27.272727272727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Pruebas continuas</w:t>
            </w:r>
          </w:p>
        </w:tc>
      </w:tr>
      <w:tr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Fallas de seguridad</w:t>
            </w:r>
          </w:p>
        </w:tc>
        <w:tc>
          <w:tcPr>
            <w:tcW w:type="pct" w:w="36.3636363636363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Vulnerabilidades en PHP</w:t>
            </w:r>
          </w:p>
        </w:tc>
        <w:tc>
          <w:tcPr>
            <w:tcW w:type="pct" w:w="11.36363636363636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Alto</w:t>
            </w:r>
          </w:p>
        </w:tc>
        <w:tc>
          <w:tcPr>
            <w:tcW w:type="pct" w:w="27.272727272727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SonarQube y Snyk</w:t>
            </w:r>
          </w:p>
        </w:tc>
      </w:tr>
      <w:tr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Problemas en Docker</w:t>
            </w:r>
          </w:p>
        </w:tc>
        <w:tc>
          <w:tcPr>
            <w:tcW w:type="pct" w:w="36.3636363636363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Configuración incorrecta</w:t>
            </w:r>
          </w:p>
        </w:tc>
        <w:tc>
          <w:tcPr>
            <w:tcW w:type="pct" w:w="11.36363636363636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Medio</w:t>
            </w:r>
          </w:p>
        </w:tc>
        <w:tc>
          <w:tcPr>
            <w:tcW w:type="pct" w:w="27.272727272727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Documentación y pruebas</w:t>
            </w:r>
          </w:p>
        </w:tc>
      </w:tr>
      <w:tr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Falta de coordinación</w:t>
            </w:r>
          </w:p>
        </w:tc>
        <w:tc>
          <w:tcPr>
            <w:tcW w:type="pct" w:w="36.3636363636363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Desorganización del equipo</w:t>
            </w:r>
          </w:p>
        </w:tc>
        <w:tc>
          <w:tcPr>
            <w:tcW w:type="pct" w:w="11.36363636363636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Alto</w:t>
            </w:r>
          </w:p>
        </w:tc>
        <w:tc>
          <w:tcPr>
            <w:tcW w:type="pct" w:w="27.272727272727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Reuniones semanales</w:t>
            </w:r>
          </w:p>
        </w:tc>
      </w:tr>
    </w:tbl>
    <w:p>
      <w:r>
        <w:t xml:space="preserve"> </w:t>
      </w:r>
    </w:p>
    <w:p>
      <w:pPr>
        <w:pStyle w:val="hh1"/>
      </w:pPr>
      <w:bookmarkStart w:name="análisis-de-la-situación-actual" w:id="1"/>
      <w:r>
        <w:rPr>
          <w:b w:val="false"/>
          <w:bCs w:val="false"/>
          <w:i w:val="false"/>
          <w:iCs w:val="false"/>
          <w:strike w:val="false"/>
        </w:rPr>
        <w:t xml:space="preserve">3. Análisis de la Situación Actual</w:t>
      </w:r>
      <w:bookmarkEnd w:id="1"/>
    </w:p>
    <w:p>
      <w:pPr>
        <w:pStyle w:val="hh2"/>
      </w:pPr>
      <w:bookmarkStart w:name="planteamiento-del-problema" w:id="1"/>
      <w:r>
        <w:rPr>
          <w:b w:val="false"/>
          <w:bCs w:val="false"/>
          <w:i w:val="false"/>
          <w:iCs w:val="false"/>
          <w:strike w:val="false"/>
        </w:rPr>
        <w:t xml:space="preserve">3.1 Planteamiento del Problema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Actualmente, los estudiantes de la Universidad Privada de Tacna no cuentan con una plataforma digital institucional que centralice la comunicación académica y social.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La comunicación se realiza mediante redes sociales externas como Facebook, WhatsApp e Instagram, lo que genera problemas como: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Falta de privacidad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Información dispersa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Ausencia de control institucional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Falta de segmentación por carrera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Riesgo de cuentas falsas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Dependencia de plataformas externas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Esto genera la necesidad de una red social universitaria propia que permita la comunicación segura y organizada dentro de la institución.</w:t>
      </w:r>
    </w:p>
    <w:p>
      <w:pPr>
        <w:pStyle w:val="hh2"/>
      </w:pPr>
      <w:bookmarkStart w:name="consideraciones-de-hardware-y-software" w:id="1"/>
      <w:r>
        <w:rPr>
          <w:b w:val="false"/>
          <w:bCs w:val="false"/>
          <w:i w:val="false"/>
          <w:iCs w:val="false"/>
          <w:strike w:val="false"/>
        </w:rPr>
        <w:t xml:space="preserve">3.2 Consideraciones de Hardware y Software</w:t>
      </w:r>
      <w:bookmarkEnd w:id="1"/>
    </w:p>
    <w:p>
      <w:pPr>
        <w:pStyle w:val="hh3"/>
      </w:pPr>
      <w:bookmarkStart w:name="hardware" w:id="1"/>
      <w:r>
        <w:rPr>
          <w:b w:val="false"/>
          <w:bCs w:val="false"/>
          <w:i w:val="false"/>
          <w:iCs w:val="false"/>
          <w:strike w:val="false"/>
        </w:rPr>
        <w:t xml:space="preserve">Hardware</w:t>
      </w:r>
      <w:bookmarkEnd w:id="1"/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Computadoras del equipo de desarrollo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VPS Debian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Conexión a Internet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Servidor virtual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Almacenamiento SSD</w:t>
      </w:r>
    </w:p>
    <w:p>
      <w:r>
        <w:t xml:space="preserve"> </w:t>
      </w:r>
    </w:p>
    <w:p>
      <w:pPr>
        <w:pStyle w:val="hh3"/>
      </w:pPr>
      <w:bookmarkStart w:name="software" w:id="1"/>
      <w:r>
        <w:rPr>
          <w:b w:val="false"/>
          <w:bCs w:val="false"/>
          <w:i w:val="false"/>
          <w:iCs w:val="false"/>
          <w:strike w:val="false"/>
        </w:rPr>
        <w:t xml:space="preserve">Software</w:t>
      </w:r>
      <w:bookmarkEnd w:id="1"/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PHP 8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Lumen Framework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MySQL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Docker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Terraform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GitHub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SonarQube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Snyk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Semgrep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Visual Studio Code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Navegadores web</w:t>
      </w:r>
    </w:p>
    <w:p>
      <w:r>
        <w:t xml:space="preserve"> </w:t>
      </w:r>
    </w:p>
    <w:p>
      <w:pPr>
        <w:pStyle w:val="hh1"/>
      </w:pPr>
      <w:bookmarkStart w:name="estudio-de-factibilidad" w:id="1"/>
      <w:r>
        <w:rPr>
          <w:b w:val="false"/>
          <w:bCs w:val="false"/>
          <w:i w:val="false"/>
          <w:iCs w:val="false"/>
          <w:strike w:val="false"/>
        </w:rPr>
        <w:t xml:space="preserve">4. Estudio de Factibilidad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estudio de factibilidad permite evaluar la viabilidad del proyecto en términos técnicos y económicos, considerando los recursos disponibles, las tecnologías seleccionadas y los costos asociados al desarrollo e implementación del sistema.</w:t>
      </w:r>
    </w:p>
    <w:p>
      <w:pPr>
        <w:pStyle w:val="hh2"/>
      </w:pPr>
      <w:bookmarkStart w:name="factibilidad-técnica" w:id="1"/>
      <w:r>
        <w:rPr>
          <w:b w:val="false"/>
          <w:bCs w:val="false"/>
          <w:i w:val="false"/>
          <w:iCs w:val="false"/>
          <w:strike w:val="false"/>
        </w:rPr>
        <w:t xml:space="preserve">4.1 Factibilidad Técnica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proyecto </w:t>
      </w:r>
      <w:r>
        <w:rPr>
          <w:b/>
          <w:bCs/>
          <w:i w:val="false"/>
          <w:iCs w:val="false"/>
          <w:strike w:val="false"/>
        </w:rPr>
        <w:t xml:space="preserve">Red Social UPT</w:t>
      </w:r>
      <w:r>
        <w:rPr>
          <w:b w:val="false"/>
          <w:bCs w:val="false"/>
          <w:i w:val="false"/>
          <w:iCs w:val="false"/>
          <w:strike w:val="false"/>
        </w:rPr>
        <w:t xml:space="preserve"> es técnicamente viable, ya que se basa en tecnologías modernas, de código abierto y ampliamente utilizadas en el desarrollo de sistemas web escalables.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sistema se implementa mediante una arquitectura de microservicios, compuesta por tres servicios principales: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Autenticación institucional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Publicaciones e historias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Perfiles e interacciones sociales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Estos servicios se comunican mediante API REST y utilizan tokens JWT para garantizar la seguridad en la comunicación.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La plataforma será accesible desde navegadores web en computadoras y dispositivos móviles, asegurando compatibilidad y usabilidad mediante pruebas de rendimiento y validación en distintos entornos.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microservicio de autenticación valida cuentas institucionales con dominio </w:t>
      </w:r>
      <w:r>
        <w:rPr>
          <w:b w:val="false"/>
          <w:bCs w:val="false"/>
          <w:i w:val="false"/>
          <w:iCs w:val="false"/>
          <w:strike w:val="false"/>
          <w:rStyle w:val="codespan"/>
        </w:rPr>
        <w:t xml:space="preserve">\@virtual.upt.pe</w:t>
      </w:r>
      <w:r>
        <w:rPr>
          <w:b w:val="false"/>
          <w:bCs w:val="false"/>
          <w:i w:val="false"/>
          <w:iCs w:val="false"/>
          <w:strike w:val="false"/>
        </w:rPr>
        <w:t xml:space="preserve">, restringiendo el acceso únicamente a miembros de la universidad.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sistema permite: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Publicación de contenido en tiempo real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Gestión de historias efímeras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Interacciones sociales (likes, comentarios)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Organización por facultad y carrera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despliegue se realiza en una VPS con sistema operativo Debian, utilizando Docker para la contenerización y Terraform para la automatización de la infraestructura.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Además, se integran herramientas de calidad y seguridad como: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SonarQube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Snyk / Semgrep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GitHub Actions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Estas herramientas garantizan código limpio, seguro y mantenible.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A pesar de desafíos como la integración de microservicios y el despliegue en la nube, el uso de tecnologías consolidadas permite afirmar que el proyecto es técnicamente viable.</w:t>
      </w:r>
    </w:p>
    <w:p>
      <w:pPr>
        <w:pStyle w:val="hh2"/>
      </w:pPr>
      <w:bookmarkStart w:name="factibilidad-económica" w:id="1"/>
      <w:r>
        <w:rPr>
          <w:b w:val="false"/>
          <w:bCs w:val="false"/>
          <w:i w:val="false"/>
          <w:iCs w:val="false"/>
          <w:strike w:val="false"/>
        </w:rPr>
        <w:t xml:space="preserve">4.2 Factibilidad Económica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análisis económico evalúa los costos necesarios para el desarrollo e implementación del sistema en relación con los beneficios obtenidos.</w:t>
      </w:r>
    </w:p>
    <w:p>
      <w:pPr>
        <w:pStyle w:val="hh3"/>
      </w:pPr>
      <w:bookmarkStart w:name="costos-generales" w:id="1"/>
      <w:r>
        <w:rPr>
          <w:b w:val="false"/>
          <w:bCs w:val="false"/>
          <w:i w:val="false"/>
          <w:iCs w:val="false"/>
          <w:strike w:val="false"/>
        </w:rPr>
        <w:t xml:space="preserve">4.2.1 Costos Generales</w:t>
      </w:r>
      <w:bookmarkEnd w:id="1"/>
    </w:p>
    <w:tbl>
      <w:tblPr>
        <w:tblStyle w:val="styleN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.57142857142857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Ítem</w:t>
            </w:r>
          </w:p>
        </w:tc>
        <w:tc>
          <w:tcPr>
            <w:tcW w:type="pct" w:w="22.8571428571428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Descripción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u.m.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Costo Unitario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Cantidad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Costo Total</w:t>
            </w:r>
          </w:p>
        </w:tc>
      </w:tr>
      <w:tr>
        <w:tc>
          <w:tcPr>
            <w:tcW w:type="pct" w:w="8.57142857142857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</w:t>
            </w:r>
          </w:p>
        </w:tc>
        <w:tc>
          <w:tcPr>
            <w:tcW w:type="pct" w:w="22.8571428571428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Papel Bond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Millar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20.00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2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40.00</w:t>
            </w:r>
          </w:p>
        </w:tc>
      </w:tr>
      <w:tr>
        <w:tc>
          <w:tcPr>
            <w:tcW w:type="pct" w:w="8.57142857142857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2</w:t>
            </w:r>
          </w:p>
        </w:tc>
        <w:tc>
          <w:tcPr>
            <w:tcW w:type="pct" w:w="22.8571428571428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Lapiceros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Caja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10.00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10.00</w:t>
            </w:r>
          </w:p>
        </w:tc>
      </w:tr>
      <w:tr>
        <w:tc>
          <w:tcPr>
            <w:tcW w:type="pct" w:w="8.57142857142857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3</w:t>
            </w:r>
          </w:p>
        </w:tc>
        <w:tc>
          <w:tcPr>
            <w:tcW w:type="pct" w:w="22.8571428571428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Folder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Unidad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1.00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10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10.00</w:t>
            </w:r>
          </w:p>
        </w:tc>
      </w:tr>
      <w:tr>
        <w:tc>
          <w:tcPr>
            <w:tcW w:type="pct" w:w="8.57142857142857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4</w:t>
            </w:r>
          </w:p>
        </w:tc>
        <w:tc>
          <w:tcPr>
            <w:tcW w:type="pct" w:w="22.8571428571428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Recarga impresora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Unidad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35.00</w:t>
            </w:r>
          </w:p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35.00</w:t>
            </w:r>
          </w:p>
        </w:tc>
      </w:tr>
      <w:tr>
        <w:tc>
          <w:tcPr>
            <w:tcW w:type="pct" w:w="8.571428571428571%"/>
            <w:gridSpan w:val="1"/>
          </w:tcPr>
          <w:p/>
        </w:tc>
        <w:tc>
          <w:tcPr>
            <w:tcW w:type="pct" w:w="22.857142857142858%"/>
            <w:gridSpan w:val="1"/>
          </w:tcPr>
          <w:p/>
        </w:tc>
        <w:tc>
          <w:tcPr>
            <w:tcW w:type="pct" w:w="14.285714285714285%"/>
            <w:gridSpan w:val="1"/>
          </w:tcPr>
          <w:p/>
        </w:tc>
        <w:tc>
          <w:tcPr>
            <w:tcW w:type="pct" w:w="20%"/>
            <w:gridSpan w:val="1"/>
          </w:tcPr>
          <w:p/>
        </w:tc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Total</w:t>
            </w:r>
          </w:p>
        </w:tc>
        <w:tc>
          <w:tcPr>
            <w:tcW w:type="pct" w:w="20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S/ 95.00</w:t>
            </w:r>
          </w:p>
        </w:tc>
      </w:tr>
    </w:tbl>
    <w:p>
      <w:r>
        <w:t xml:space="preserve"> </w:t>
      </w:r>
    </w:p>
    <w:p>
      <w:pPr>
        <w:pStyle w:val="hh3"/>
      </w:pPr>
      <w:bookmarkStart w:name="costos-operativos" w:id="1"/>
      <w:r>
        <w:rPr>
          <w:b w:val="false"/>
          <w:bCs w:val="false"/>
          <w:i w:val="false"/>
          <w:iCs w:val="false"/>
          <w:strike w:val="false"/>
        </w:rPr>
        <w:t xml:space="preserve">4.2.2 Costos Operativos</w:t>
      </w:r>
      <w:bookmarkEnd w:id="1"/>
    </w:p>
    <w:tbl>
      <w:tblPr>
        <w:tblStyle w:val="styleN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Ítem</w:t>
            </w:r>
          </w:p>
        </w:tc>
        <w:tc>
          <w:tcPr>
            <w:tcW w:type="pct" w:w="21.4285714285714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Descripción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Costo Unitario</w:t>
            </w:r>
          </w:p>
        </w:tc>
        <w:tc>
          <w:tcPr>
            <w:tcW w:type="pct" w:w="17.8571428571428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Meses</w:t>
            </w:r>
          </w:p>
        </w:tc>
        <w:tc>
          <w:tcPr>
            <w:tcW w:type="pct" w:w="21.4285714285714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Total</w:t>
            </w:r>
          </w:p>
        </w:tc>
      </w:tr>
      <w:tr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</w:t>
            </w:r>
          </w:p>
        </w:tc>
        <w:tc>
          <w:tcPr>
            <w:tcW w:type="pct" w:w="21.4285714285714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Internet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100</w:t>
            </w:r>
          </w:p>
        </w:tc>
        <w:tc>
          <w:tcPr>
            <w:tcW w:type="pct" w:w="17.8571428571428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4</w:t>
            </w:r>
          </w:p>
        </w:tc>
        <w:tc>
          <w:tcPr>
            <w:tcW w:type="pct" w:w="21.4285714285714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400</w:t>
            </w:r>
          </w:p>
        </w:tc>
      </w:tr>
      <w:tr>
        <w:tc>
          <w:tcPr>
            <w:tcW w:type="pct" w:w="14.28571428571428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2</w:t>
            </w:r>
          </w:p>
        </w:tc>
        <w:tc>
          <w:tcPr>
            <w:tcW w:type="pct" w:w="21.4285714285714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Luz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80</w:t>
            </w:r>
          </w:p>
        </w:tc>
        <w:tc>
          <w:tcPr>
            <w:tcW w:type="pct" w:w="17.8571428571428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4</w:t>
            </w:r>
          </w:p>
        </w:tc>
        <w:tc>
          <w:tcPr>
            <w:tcW w:type="pct" w:w="21.42857142857142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320</w:t>
            </w:r>
          </w:p>
        </w:tc>
      </w:tr>
      <w:tr>
        <w:tc>
          <w:tcPr>
            <w:tcW w:type="pct" w:w="14.285714285714285%"/>
            <w:gridSpan w:val="1"/>
          </w:tcPr>
          <w:p/>
        </w:tc>
        <w:tc>
          <w:tcPr>
            <w:tcW w:type="pct" w:w="21.428571428571427%"/>
            <w:gridSpan w:val="1"/>
          </w:tcPr>
          <w:p/>
        </w:tc>
        <w:tc>
          <w:tcPr>
            <w:tcW w:type="pct" w:w="25%"/>
            <w:gridSpan w:val="1"/>
          </w:tcPr>
          <w:p/>
        </w:tc>
        <w:tc>
          <w:tcPr>
            <w:tcW w:type="pct" w:w="17.857142857142858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Total</w:t>
            </w:r>
          </w:p>
        </w:tc>
        <w:tc>
          <w:tcPr>
            <w:tcW w:type="pct" w:w="21.428571428571427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S/ 720</w:t>
            </w:r>
          </w:p>
        </w:tc>
      </w:tr>
    </w:tbl>
    <w:p>
      <w:r>
        <w:t xml:space="preserve"> </w:t>
      </w:r>
    </w:p>
    <w:p>
      <w:pPr>
        <w:pStyle w:val="hh3"/>
      </w:pPr>
      <w:bookmarkStart w:name="costos-de-infraestructura-vps---hetzner" w:id="1"/>
      <w:r>
        <w:rPr>
          <w:b w:val="false"/>
          <w:bCs w:val="false"/>
          <w:i w:val="false"/>
          <w:iCs w:val="false"/>
          <w:strike w:val="false"/>
        </w:rPr>
        <w:t xml:space="preserve">4.2.3 Costos de Infraestructura (VPS - Hetzner)</w:t>
      </w:r>
      <w:bookmarkEnd w:id="1"/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Resumen de infraestructura: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Proveedor: Hetzner Cloud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1 servidor VPS (cx22: 2 vCPU, 4 GB RAM, 40 GB SSD)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1 volumen adicional de 20 GB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Firewall configurado (SSH, HTTP, HTTPS)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Uso continuo (24/7 – 730 horas/mes)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Costos estimados mensuales:</w:t>
      </w:r>
    </w:p>
    <w:tbl>
      <w:tblPr>
        <w:tblStyle w:val="styleN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33.3333333333333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Recurso</w:t>
            </w:r>
          </w:p>
        </w:tc>
        <w:tc>
          <w:tcPr>
            <w:tcW w:type="pct" w:w="41.6666666666666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Especificación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Costo</w:t>
            </w:r>
          </w:p>
        </w:tc>
      </w:tr>
      <w:tr>
        <w:tc>
          <w:tcPr>
            <w:tcW w:type="pct" w:w="33.3333333333333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VPS cx22</w:t>
            </w:r>
          </w:p>
        </w:tc>
        <w:tc>
          <w:tcPr>
            <w:tcW w:type="pct" w:w="41.6666666666666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2 vCPU, 4 GB RAM, 40 GB SSD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4.75</w:t>
            </w:r>
          </w:p>
        </w:tc>
      </w:tr>
      <w:tr>
        <w:tc>
          <w:tcPr>
            <w:tcW w:type="pct" w:w="33.3333333333333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Volumen 20 GB</w:t>
            </w:r>
          </w:p>
        </w:tc>
        <w:tc>
          <w:tcPr>
            <w:tcW w:type="pct" w:w="41.6666666666666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Almacenamiento MySQL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0.96</w:t>
            </w:r>
          </w:p>
        </w:tc>
      </w:tr>
      <w:tr>
        <w:tc>
          <w:tcPr>
            <w:tcW w:type="pct" w:w="33.3333333333333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Firewall</w:t>
            </w:r>
          </w:p>
        </w:tc>
        <w:tc>
          <w:tcPr>
            <w:tcW w:type="pct" w:w="41.6666666666666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Incluido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0.00</w:t>
            </w:r>
          </w:p>
        </w:tc>
      </w:tr>
      <w:tr>
        <w:tc>
          <w:tcPr>
            <w:tcW w:type="pct" w:w="33.3333333333333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IPv4 pública</w:t>
            </w:r>
          </w:p>
        </w:tc>
        <w:tc>
          <w:tcPr>
            <w:tcW w:type="pct" w:w="41.6666666666666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Incluida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0.00</w:t>
            </w:r>
          </w:p>
        </w:tc>
      </w:tr>
      <w:tr>
        <w:tc>
          <w:tcPr>
            <w:tcW w:type="pct" w:w="33.33333333333333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Tráfico</w:t>
            </w:r>
          </w:p>
        </w:tc>
        <w:tc>
          <w:tcPr>
            <w:tcW w:type="pct" w:w="41.66666666666667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20 TB incluidos</w:t>
            </w:r>
          </w:p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0.00</w:t>
            </w:r>
          </w:p>
        </w:tc>
      </w:tr>
      <w:tr>
        <w:tc>
          <w:tcPr>
            <w:tcW w:type="pct" w:w="33.33333333333333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TOTAL MENSUAL</w:t>
            </w:r>
          </w:p>
        </w:tc>
        <w:tc>
          <w:tcPr>
            <w:tcW w:type="pct" w:w="41.66666666666667%"/>
            <w:gridSpan w:val="1"/>
          </w:tcPr>
          <w:p/>
        </w:tc>
        <w:tc>
          <w:tcPr>
            <w:tcW w:type="pct" w:w="25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$5.71</w:t>
            </w:r>
          </w:p>
        </w:tc>
      </w:tr>
    </w:tbl>
    <w:p>
      <w:r>
        <w:t xml:space="preserve"> 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Costo anual estimado:</w:t>
      </w:r>
      <w:r>
        <w:rPr>
          <w:b w:val="false"/>
          <w:bCs w:val="false"/>
          <w:i w:val="false"/>
          <w:iCs w:val="false"/>
          <w:strike w:val="false"/>
        </w:rPr>
        <w:t xml:space="preserve"> ~</w:t>
      </w:r>
      <w:r>
        <w:rPr>
          <w:b w:val="false"/>
          <w:bCs w:val="false"/>
          <w:i w:val="false"/>
          <w:iCs w:val="false"/>
          <w:strike w:val="false"/>
        </w:rPr>
        <w:t xml:space="preserve">68.52 USD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Notas: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Infraestructura suficiente para ejecutar todos los microservicios mediante Docker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Basado en configuración real con Terraform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Costos pueden aumentar si el sistema escala (más servidores o servicios)</w:t>
      </w:r>
    </w:p>
    <w:p>
      <w:r>
        <w:t xml:space="preserve"> </w:t>
      </w:r>
    </w:p>
    <w:p>
      <w:pPr>
        <w:pStyle w:val="hh3"/>
      </w:pPr>
      <w:bookmarkStart w:name="costos-de-personal" w:id="1"/>
      <w:r>
        <w:rPr>
          <w:b w:val="false"/>
          <w:bCs w:val="false"/>
          <w:i w:val="false"/>
          <w:iCs w:val="false"/>
          <w:strike w:val="false"/>
        </w:rPr>
        <w:t xml:space="preserve">4.2.4 Costos de Personal</w:t>
      </w:r>
      <w:bookmarkEnd w:id="1"/>
    </w:p>
    <w:tbl>
      <w:tblPr>
        <w:tblStyle w:val="styleN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7.586206896551722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Rol</w:t>
            </w:r>
          </w:p>
        </w:tc>
        <w:tc>
          <w:tcPr>
            <w:tcW w:type="pct" w:w="13.79310344827586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Cantidad</w:t>
            </w:r>
          </w:p>
        </w:tc>
        <w:tc>
          <w:tcPr>
            <w:tcW w:type="pct" w:w="20.68965517241379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Pago/Hora</w:t>
            </w:r>
          </w:p>
        </w:tc>
        <w:tc>
          <w:tcPr>
            <w:tcW w:type="pct" w:w="13.79310344827586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Horas</w:t>
            </w:r>
          </w:p>
        </w:tc>
        <w:tc>
          <w:tcPr>
            <w:tcW w:type="pct" w:w="24.1379310344827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Total</w:t>
            </w:r>
          </w:p>
        </w:tc>
      </w:tr>
      <w:tr>
        <w:tc>
          <w:tcPr>
            <w:tcW w:type="pct" w:w="27.586206896551722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Backend</w:t>
            </w:r>
          </w:p>
        </w:tc>
        <w:tc>
          <w:tcPr>
            <w:tcW w:type="pct" w:w="13.79310344827586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</w:t>
            </w:r>
          </w:p>
        </w:tc>
        <w:tc>
          <w:tcPr>
            <w:tcW w:type="pct" w:w="20.68965517241379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20</w:t>
            </w:r>
          </w:p>
        </w:tc>
        <w:tc>
          <w:tcPr>
            <w:tcW w:type="pct" w:w="13.79310344827586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60</w:t>
            </w:r>
          </w:p>
        </w:tc>
        <w:tc>
          <w:tcPr>
            <w:tcW w:type="pct" w:w="24.1379310344827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1200</w:t>
            </w:r>
          </w:p>
        </w:tc>
      </w:tr>
      <w:tr>
        <w:tc>
          <w:tcPr>
            <w:tcW w:type="pct" w:w="27.586206896551722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Microservicios</w:t>
            </w:r>
          </w:p>
        </w:tc>
        <w:tc>
          <w:tcPr>
            <w:tcW w:type="pct" w:w="13.79310344827586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</w:t>
            </w:r>
          </w:p>
        </w:tc>
        <w:tc>
          <w:tcPr>
            <w:tcW w:type="pct" w:w="20.68965517241379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20</w:t>
            </w:r>
          </w:p>
        </w:tc>
        <w:tc>
          <w:tcPr>
            <w:tcW w:type="pct" w:w="13.79310344827586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60</w:t>
            </w:r>
          </w:p>
        </w:tc>
        <w:tc>
          <w:tcPr>
            <w:tcW w:type="pct" w:w="24.1379310344827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1200</w:t>
            </w:r>
          </w:p>
        </w:tc>
      </w:tr>
      <w:tr>
        <w:tc>
          <w:tcPr>
            <w:tcW w:type="pct" w:w="27.586206896551722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DevOps y Documentación</w:t>
            </w:r>
          </w:p>
        </w:tc>
        <w:tc>
          <w:tcPr>
            <w:tcW w:type="pct" w:w="13.79310344827586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1</w:t>
            </w:r>
          </w:p>
        </w:tc>
        <w:tc>
          <w:tcPr>
            <w:tcW w:type="pct" w:w="20.68965517241379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20</w:t>
            </w:r>
          </w:p>
        </w:tc>
        <w:tc>
          <w:tcPr>
            <w:tcW w:type="pct" w:w="13.793103448275861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60</w:t>
            </w:r>
          </w:p>
        </w:tc>
        <w:tc>
          <w:tcPr>
            <w:tcW w:type="pct" w:w="24.137931034482758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1200</w:t>
            </w:r>
          </w:p>
        </w:tc>
      </w:tr>
      <w:tr>
        <w:tc>
          <w:tcPr>
            <w:tcW w:type="pct" w:w="27.586206896551722%"/>
            <w:gridSpan w:val="1"/>
          </w:tcPr>
          <w:p/>
        </w:tc>
        <w:tc>
          <w:tcPr>
            <w:tcW w:type="pct" w:w="13.793103448275861%"/>
            <w:gridSpan w:val="1"/>
          </w:tcPr>
          <w:p/>
        </w:tc>
        <w:tc>
          <w:tcPr>
            <w:tcW w:type="pct" w:w="20.689655172413794%"/>
            <w:gridSpan w:val="1"/>
          </w:tcPr>
          <w:p/>
        </w:tc>
        <w:tc>
          <w:tcPr>
            <w:tcW w:type="pct" w:w="13.793103448275861%"/>
            <w:gridSpan w:val="1"/>
          </w:tcPr>
          <w:p/>
        </w:tc>
        <w:tc>
          <w:tcPr>
            <w:tcW w:type="pct" w:w="24.137931034482758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S/ 3600</w:t>
            </w:r>
          </w:p>
        </w:tc>
      </w:tr>
    </w:tbl>
    <w:p>
      <w:r>
        <w:t xml:space="preserve"> </w:t>
      </w:r>
    </w:p>
    <w:p>
      <w:pPr>
        <w:pStyle w:val="hh3"/>
      </w:pPr>
      <w:bookmarkStart w:name="costo-total-del-proyecto" w:id="1"/>
      <w:r>
        <w:rPr>
          <w:b w:val="false"/>
          <w:bCs w:val="false"/>
          <w:i w:val="false"/>
          <w:iCs w:val="false"/>
          <w:strike w:val="false"/>
        </w:rPr>
        <w:t xml:space="preserve">4.2.5 Costo Total del Proyecto</w:t>
      </w:r>
      <w:bookmarkEnd w:id="1"/>
    </w:p>
    <w:tbl>
      <w:tblPr>
        <w:tblStyle w:val="styleN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5.55555555555556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Categoría</w:t>
            </w:r>
          </w:p>
        </w:tc>
        <w:tc>
          <w:tcPr>
            <w:tcW w:type="pct" w:w="44.4444444444444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Costo</w:t>
            </w:r>
          </w:p>
        </w:tc>
      </w:tr>
      <w:tr>
        <w:tc>
          <w:tcPr>
            <w:tcW w:type="pct" w:w="55.55555555555556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Costos Generales</w:t>
            </w:r>
          </w:p>
        </w:tc>
        <w:tc>
          <w:tcPr>
            <w:tcW w:type="pct" w:w="44.4444444444444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95</w:t>
            </w:r>
          </w:p>
        </w:tc>
      </w:tr>
      <w:tr>
        <w:tc>
          <w:tcPr>
            <w:tcW w:type="pct" w:w="55.55555555555556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Costos Operativos</w:t>
            </w:r>
          </w:p>
        </w:tc>
        <w:tc>
          <w:tcPr>
            <w:tcW w:type="pct" w:w="44.4444444444444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720</w:t>
            </w:r>
          </w:p>
        </w:tc>
      </w:tr>
      <w:tr>
        <w:tc>
          <w:tcPr>
            <w:tcW w:type="pct" w:w="55.55555555555556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Costos de Personal</w:t>
            </w:r>
          </w:p>
        </w:tc>
        <w:tc>
          <w:tcPr>
            <w:tcW w:type="pct" w:w="44.4444444444444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S/ 3600</w:t>
            </w:r>
          </w:p>
        </w:tc>
      </w:tr>
      <w:tr>
        <w:tc>
          <w:tcPr>
            <w:tcW w:type="pct" w:w="55.55555555555556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Infraestructura VPS</w:t>
            </w:r>
          </w:p>
        </w:tc>
        <w:tc>
          <w:tcPr>
            <w:tcW w:type="pct" w:w="44.44444444444444%"/>
            <w:gridSpan w:val="1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~</w:t>
            </w:r>
            <w:r>
              <w:rPr>
                <w:b w:val="false"/>
                <w:bCs w:val="false"/>
                <w:i w:val="false"/>
                <w:iCs w:val="false"/>
                <w:strike w:val="false"/>
              </w:rPr>
              <w:t xml:space="preserve">5.71 USD/mes</w:t>
            </w:r>
          </w:p>
        </w:tc>
      </w:tr>
      <w:tr>
        <w:tc>
          <w:tcPr>
            <w:tcW w:type="pct" w:w="55.55555555555556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TOTAL</w:t>
            </w:r>
          </w:p>
        </w:tc>
        <w:tc>
          <w:tcPr>
            <w:tcW w:type="pct" w:w="44.44444444444444%"/>
            <w:gridSpan w:val="1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trike w:val="false"/>
              </w:rPr>
              <w:t xml:space="preserve">S/ 4415 + costo VPS</w:t>
            </w:r>
          </w:p>
        </w:tc>
      </w:tr>
    </w:tbl>
    <w:p>
      <w:r>
        <w:t xml:space="preserve"> </w:t>
      </w:r>
    </w:p>
    <w:p>
      <w:pPr>
        <w:pStyle w:val="hh2"/>
      </w:pPr>
      <w:bookmarkStart w:name="factibilidad-operativa" w:id="1"/>
      <w:r>
        <w:rPr>
          <w:b w:val="false"/>
          <w:bCs w:val="false"/>
          <w:i w:val="false"/>
          <w:iCs w:val="false"/>
          <w:strike w:val="false"/>
        </w:rPr>
        <w:t xml:space="preserve">4.3 Factibilidad Operativa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proyecto es operativamente viable, ya que la plataforma permitirá a los estudiantes de la Universidad Privada de Tacna interactuar, comunicarse y compartir contenido de manera rápida y eficiente dentro de un entorno digital institucional.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sistema contará con una interfaz web intuitiva y fácil de usar, permitiendo a los usuarios: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Iniciar sesión con su cuenta institucional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Publicar contenido e interactuar en el feed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Gestionar su perfil académico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Comunicarse con otros estudiantes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Además, el sistema reducirá la dependencia de plataformas externas como redes sociales genéricas, mejorando el control institucional de la información.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Se contempla capacitación básica para los usuarios y documentación del sistema, asegurando su correcto uso y mantenimiento.</w:t>
      </w:r>
    </w:p>
    <w:p>
      <w:pPr>
        <w:pStyle w:val="hh2"/>
      </w:pPr>
      <w:bookmarkStart w:name="factibilidad-legal" w:id="1"/>
      <w:r>
        <w:rPr>
          <w:b w:val="false"/>
          <w:bCs w:val="false"/>
          <w:i w:val="false"/>
          <w:iCs w:val="false"/>
          <w:strike w:val="false"/>
        </w:rPr>
        <w:t xml:space="preserve">4.4 Factibilidad Legal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proyecto cumple con la normativa legal vigente en el Perú, especialmente en lo relacionado con la protección de datos personales.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Se garantizará: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Protección de datos de los usuarios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Uso seguro de la información académica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Acceso restringido mediante cuentas institucionales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sistema respetará la Ley de Protección de Datos Personales y el uso adecuado de tecnologías, evitando vulneraciones legales durante su implementación.</w:t>
      </w:r>
    </w:p>
    <w:p>
      <w:pPr>
        <w:pStyle w:val="hh2"/>
      </w:pPr>
      <w:bookmarkStart w:name="factibilidad-social" w:id="1"/>
      <w:r>
        <w:rPr>
          <w:b w:val="false"/>
          <w:bCs w:val="false"/>
          <w:i w:val="false"/>
          <w:iCs w:val="false"/>
          <w:strike w:val="false"/>
        </w:rPr>
        <w:t xml:space="preserve">4.5 Factibilidad Social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proyecto tendrá un impacto positivo en la comunidad universitaria, ya que mejora la comunicación y organización entre los estudiantes.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Los beneficios incluyen: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Mayor integración entre estudiantes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Mejor acceso a información académica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Espacio digital institucional seguro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Fomento de la interacción académica y social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Además, impulsa la digitalización dentro de la universidad, promoviendo el uso de tecnología en el entorno educativo.</w:t>
      </w:r>
    </w:p>
    <w:p>
      <w:pPr>
        <w:pStyle w:val="hh2"/>
      </w:pPr>
      <w:bookmarkStart w:name="factibilidad-ambiental" w:id="1"/>
      <w:r>
        <w:rPr>
          <w:b w:val="false"/>
          <w:bCs w:val="false"/>
          <w:i w:val="false"/>
          <w:iCs w:val="false"/>
          <w:strike w:val="false"/>
        </w:rPr>
        <w:t xml:space="preserve">4.6 Factibilidad Ambiental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proyecto no genera un impacto ambiental significativo, ya que está basado en tecnología digital.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Contribuye a: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Reducción del uso de papel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Disminución de procesos físicos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Uso eficiente de recursos tecnológicos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Se promueve el uso responsable de la infraestructura digital y equipos informáticos.</w:t>
      </w:r>
    </w:p>
    <w:p>
      <w:pPr>
        <w:pStyle w:val="hh1"/>
      </w:pPr>
      <w:bookmarkStart w:name="análisis-financiero" w:id="1"/>
      <w:r>
        <w:rPr>
          <w:b w:val="false"/>
          <w:bCs w:val="false"/>
          <w:i w:val="false"/>
          <w:iCs w:val="false"/>
          <w:strike w:val="false"/>
        </w:rPr>
        <w:t xml:space="preserve">5. Análisis Financiero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análisis financiero evalúa la rentabilidad del proyecto considerando los costos de desarrollo frente a los beneficios obtenidos.</w:t>
      </w:r>
    </w:p>
    <w:p>
      <w:pPr>
        <w:pStyle w:val="hh2"/>
      </w:pPr>
      <w:bookmarkStart w:name="justificación-de-la-inversión" w:id="1"/>
      <w:r>
        <w:rPr>
          <w:b w:val="false"/>
          <w:bCs w:val="false"/>
          <w:i w:val="false"/>
          <w:iCs w:val="false"/>
          <w:strike w:val="false"/>
        </w:rPr>
        <w:t xml:space="preserve">5.1 Justificación de la Inversión</w:t>
      </w:r>
      <w:bookmarkEnd w:id="1"/>
    </w:p>
    <w:p>
      <w:pPr>
        <w:pStyle w:val="hh3"/>
      </w:pPr>
      <w:bookmarkStart w:name="beneficios-del-proyecto" w:id="1"/>
      <w:r>
        <w:rPr>
          <w:b w:val="false"/>
          <w:bCs w:val="false"/>
          <w:i w:val="false"/>
          <w:iCs w:val="false"/>
          <w:strike w:val="false"/>
        </w:rPr>
        <w:t xml:space="preserve">5.1.1 Beneficios del Proyecto</w:t>
      </w:r>
      <w:bookmarkEnd w:id="1"/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Beneficios Tangibles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Reducción del uso de herramientas externas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Optimización de la comunicación estudiantil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Centralización de la información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Ahorro en recursos administrativos digitales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Beneficios Intangibles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Mejora de la organización universitaria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Mayor seguridad en la comunicación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Fortalecimiento de la identidad institucional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Modernización tecnológica de la universidad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Mejora en la experiencia del usuario</w:t>
      </w:r>
    </w:p>
    <w:p>
      <w:r>
        <w:t xml:space="preserve"> </w:t>
      </w:r>
    </w:p>
    <w:p>
      <w:pPr>
        <w:pStyle w:val="hh3"/>
      </w:pPr>
      <w:bookmarkStart w:name="criterios-de-inversión" w:id="1"/>
      <w:r>
        <w:rPr>
          <w:b w:val="false"/>
          <w:bCs w:val="false"/>
          <w:i w:val="false"/>
          <w:iCs w:val="false"/>
          <w:strike w:val="false"/>
        </w:rPr>
        <w:t xml:space="preserve">5.1.2 Criterios de Inversión</w:t>
      </w:r>
      <w:bookmarkEnd w:id="1"/>
    </w:p>
    <w:p>
      <w:pPr>
        <w:pStyle w:val="hh4"/>
      </w:pPr>
      <w:bookmarkStart w:name="relación-beneficiocosto-bc" w:id="1"/>
      <w:r>
        <w:rPr>
          <w:b w:val="false"/>
          <w:bCs w:val="false"/>
          <w:i w:val="false"/>
          <w:iCs w:val="false"/>
          <w:strike w:val="false"/>
        </w:rPr>
        <w:t xml:space="preserve">5.1.2.1 Relación Beneficio/Costo (B/C)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La relación beneficio/costo permite evaluar si los beneficios superan los costos del proyecto.</w:t>
      </w:r>
    </w:p>
    <w:p>
      <w:pPr>
        <w:pStyle w:val="picture1"/>
      </w:pPr>
      <w:r>
        <w:drawing>
          <wp:inline distT="0" distB="0" distL="0" distR="0">
            <wp:extent cx="4762500" cy="2186646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6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bc" w:id="1"/>
      <w:r>
        <w:t xml:space="preserve">Fig. </w:t>
      </w:r>
      <w:fldSimple w:instr=" SEQ DOCXFIG \* ARABIC  "/>
      <w:bookmarkEnd w:id="1"/>
      <w:r>
        <w:t xml:space="preserve"> B/C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B/C = 1.72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Esto indica que el proyecto es rentable, ya que los beneficios son mayores que los costos.</w:t>
      </w:r>
    </w:p>
    <w:p>
      <w:pPr>
        <w:pStyle w:val="hh4"/>
      </w:pPr>
      <w:bookmarkStart w:name="valor-actual-neto-van" w:id="1"/>
      <w:r>
        <w:rPr>
          <w:b w:val="false"/>
          <w:bCs w:val="false"/>
          <w:i w:val="false"/>
          <w:iCs w:val="false"/>
          <w:strike w:val="false"/>
        </w:rPr>
        <w:t xml:space="preserve">5.1.2.2 Valor Actual Neto (VAN)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VAN representa el valor actual de los beneficios futuros del proyecto.</w:t>
      </w:r>
    </w:p>
    <w:p>
      <w:pPr>
        <w:pStyle w:val="picture1"/>
      </w:pPr>
      <w:r>
        <w:drawing>
          <wp:inline distT="0" distB="0" distL="0" distR="0">
            <wp:extent cx="4762500" cy="1881047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81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van" w:id="1"/>
      <w:r>
        <w:t xml:space="preserve">Fig. </w:t>
      </w:r>
      <w:fldSimple w:instr=" SEQ DOCXFIG \* ARABIC  "/>
      <w:bookmarkEnd w:id="1"/>
      <w:r>
        <w:t xml:space="preserve"> VAN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VAN = S/ 4,081.11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i = 13%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resultado positivo indica que el proyecto es económicamente viable.</w:t>
      </w:r>
    </w:p>
    <w:p>
      <w:pPr>
        <w:pStyle w:val="hh4"/>
      </w:pPr>
      <w:bookmarkStart w:name="tasa-interna-de-retorno-tir" w:id="1"/>
      <w:r>
        <w:rPr>
          <w:b w:val="false"/>
          <w:bCs w:val="false"/>
          <w:i w:val="false"/>
          <w:iCs w:val="false"/>
          <w:strike w:val="false"/>
        </w:rPr>
        <w:t xml:space="preserve">5.1.2.3 Tasa Interna de Retorno (TIR)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La TIR mide la rentabilidad del proyecto en porcentaje.</w:t>
      </w:r>
    </w:p>
    <w:p>
      <w:pPr>
        <w:pStyle w:val="picture1"/>
      </w:pPr>
      <w:r>
        <w:drawing>
          <wp:inline distT="0" distB="0" distL="0" distR="0">
            <wp:extent cx="4762500" cy="2037016"/>
            <wp:effectExtent b="0" l="0" r="0" t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37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name="fig-tir" w:id="1"/>
      <w:r>
        <w:t xml:space="preserve">Fig. </w:t>
      </w:r>
      <w:fldSimple w:instr=" SEQ DOCXFIG \* ARABIC  "/>
      <w:bookmarkEnd w:id="1"/>
      <w:r>
        <w:t xml:space="preserve"> TIR</w:t>
      </w:r>
    </w:p>
    <w:p>
      <w:pPr>
        <w:pStyle w:val="body1"/>
      </w:pPr>
      <w:r>
        <w:rPr>
          <w:b/>
          <w:bCs/>
          <w:i w:val="false"/>
          <w:iCs w:val="false"/>
          <w:strike w:val="false"/>
        </w:rPr>
        <w:t xml:space="preserve">TIR = 43%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Este valor supera el costo de oportunidad (13%), indicando alta rentabilidad.</w:t>
      </w:r>
    </w:p>
    <w:p>
      <w:pPr>
        <w:pStyle w:val="hh1"/>
      </w:pPr>
      <w:bookmarkStart w:name="conclusiones" w:id="1"/>
      <w:r>
        <w:rPr>
          <w:b w:val="false"/>
          <w:bCs w:val="false"/>
          <w:i w:val="false"/>
          <w:iCs w:val="false"/>
          <w:strike w:val="false"/>
        </w:rPr>
        <w:t xml:space="preserve">6. Conclusiones</w:t>
      </w:r>
      <w:bookmarkEnd w:id="1"/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El análisis de factibilidad demuestra que el proyecto </w:t>
      </w:r>
      <w:r>
        <w:rPr>
          <w:b/>
          <w:bCs/>
          <w:i w:val="false"/>
          <w:iCs w:val="false"/>
          <w:strike w:val="false"/>
        </w:rPr>
        <w:t xml:space="preserve">Red Social UPT</w:t>
      </w:r>
      <w:r>
        <w:rPr>
          <w:b w:val="false"/>
          <w:bCs w:val="false"/>
          <w:i w:val="false"/>
          <w:iCs w:val="false"/>
          <w:strike w:val="false"/>
        </w:rPr>
        <w:t xml:space="preserve"> es viable desde los puntos de vista técnico, económico, operativo, legal, social y ambiental.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Los indicadores financieros reflejan: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VAN positivo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TIR superior al costo de oportunidad</w:t>
      </w:r>
    </w:p>
    <w:p>
      <w:pPr>
        <w:pStyle w:val="nList1"/>
      </w:pPr>
      <w:r>
        <w:rPr>
          <w:b w:val="false"/>
          <w:bCs w:val="false"/>
          <w:i w:val="false"/>
          <w:iCs w:val="false"/>
          <w:strike w:val="false"/>
        </w:rPr>
        <w:t xml:space="preserve">Relación beneficio/costo mayor a 1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Esto confirma que el proyecto es rentable y sostenible.</w:t>
      </w:r>
    </w:p>
    <w:p>
      <w:pPr>
        <w:pStyle w:val="body1"/>
      </w:pPr>
      <w:r>
        <w:rPr>
          <w:b w:val="false"/>
          <w:bCs w:val="false"/>
          <w:i w:val="false"/>
          <w:iCs w:val="false"/>
          <w:strike w:val="false"/>
        </w:rPr>
        <w:t xml:space="preserve">La implementación del sistema permitirá mejorar la comunicación universitaria, centralizar la información, optimizar procesos digitales y ofrecer una plataforma segura y moderna para la comunidad estudiantil.</w:t>
      </w:r>
    </w:p>
    <w:sectPr w:rsidR="005169DB" w:rsidSect="00A71EB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76" w:right="1133" w:bottom="709" w:left="1134" w:header="426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3EF6E" w14:textId="77777777" w:rsidR="005843EE" w:rsidRDefault="005843EE" w:rsidP="00D41B14">
      <w:r>
        <w:separator/>
      </w:r>
    </w:p>
  </w:endnote>
  <w:endnote w:type="continuationSeparator" w:id="0">
    <w:p w14:paraId="1BE5F60B" w14:textId="77777777" w:rsidR="005843EE" w:rsidRDefault="005843EE" w:rsidP="00D41B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 Light">
    <w:panose1 w:val="020B0609020000020004"/>
    <w:charset w:val="00"/>
    <w:family w:val="modern"/>
    <w:pitch w:val="fixed"/>
    <w:sig w:usb0="A1002AFF" w:usb1="C000F9FB" w:usb2="00040020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7F8C88" w14:textId="77777777" w:rsidR="001E6B2F" w:rsidRDefault="001E6B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8437306"/>
      <w:docPartObj>
        <w:docPartGallery w:val="Page Numbers (Bottom of Page)"/>
        <w:docPartUnique/>
      </w:docPartObj>
    </w:sdtPr>
    <w:sdtContent>
      <w:p w14:paraId="60E9D2F9" w14:textId="77777777" w:rsidR="00A47DAE" w:rsidRDefault="00A47DA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054F8E9A" w14:textId="77777777" w:rsidR="00CD7F50" w:rsidRDefault="00CD7F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4A970" w14:textId="77777777" w:rsidR="001E6B2F" w:rsidRDefault="001E6B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DBAE0" w14:textId="77777777" w:rsidR="005843EE" w:rsidRDefault="005843EE" w:rsidP="00D41B14">
      <w:r>
        <w:separator/>
      </w:r>
    </w:p>
  </w:footnote>
  <w:footnote w:type="continuationSeparator" w:id="0">
    <w:p w14:paraId="719A083A" w14:textId="77777777" w:rsidR="005843EE" w:rsidRDefault="005843EE" w:rsidP="00D41B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23044" w14:textId="77777777" w:rsidR="001E6B2F" w:rsidRDefault="001E6B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639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36"/>
      <w:gridCol w:w="851"/>
      <w:gridCol w:w="4252"/>
    </w:tblGrid>
    <w:tr w:rsidR="009E6A1D" w14:paraId="34682FC1" w14:textId="77777777" w:rsidTr="009E6A1D">
      <w:trPr>
        <w:trHeight w:val="558"/>
      </w:trPr>
      <w:tc>
        <w:tcPr>
          <w:tcW w:w="4536" w:type="dxa"/>
        </w:tcPr>
        <w:p w14:paraId="78F82D71" w14:textId="77777777" w:rsidR="009E6A1D" w:rsidRDefault="00567786">
          <w:pPr>
            <w:pStyle w:val="Header"/>
          </w:pPr>
          <w:r>
            <w:rPr>
              <w:rFonts w:hint="eastAsia"/>
            </w:rPr>
            <w:t xml:space="preserve"/>
          </w:r>
          <w:r>
            <w:t xml:space="preserve">&lt;b&gt;INDICE GENERAL&lt;/b&gt;</w:t>
          </w:r>
          <w:r>
            <w:t xml:space="preserve"/>
          </w:r>
          <w:r>
            <w:t xml:space="preserve"/>
          </w:r>
        </w:p>
      </w:tc>
      <w:tc>
        <w:tcPr>
          <w:tcW w:w="851" w:type="dxa"/>
        </w:tcPr>
        <w:p w14:paraId="63F439CA" w14:textId="77777777" w:rsidR="009E6A1D" w:rsidRDefault="009E6A1D">
          <w:pPr>
            <w:pStyle w:val="Header"/>
          </w:pPr>
        </w:p>
      </w:tc>
      <w:tc>
        <w:tcPr>
          <w:tcW w:w="4252" w:type="dxa"/>
        </w:tcPr>
        <w:p w14:paraId="2B59F065" w14:textId="5FF4E6EE" w:rsidR="009E6A1D" w:rsidRDefault="009E6A1D" w:rsidP="00C64D25">
          <w:pPr>
            <w:pStyle w:val="Header"/>
            <w:jc w:val="right"/>
          </w:pPr>
        </w:p>
      </w:tc>
    </w:tr>
  </w:tbl>
  <w:p w14:paraId="1BFCC985" w14:textId="77777777" w:rsidR="009E6A1D" w:rsidRDefault="009E6A1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F86BE" w14:textId="77777777" w:rsidR="001E6B2F" w:rsidRDefault="001E6B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2" type="#_x0000_t75" style="width:54.6pt;height:19.2pt" o:bullet="t">
        <v:imagedata r:id="rId1" o:title="note"/>
      </v:shape>
    </w:pict>
  </w:numPicBullet>
  <w:numPicBullet w:numPicBulletId="1">
    <w:pict>
      <v:shape id="_x0000_i1063" type="#_x0000_t75" style="width:73.8pt;height:25.8pt" o:bullet="t">
        <v:imagedata r:id="rId2" o:title="note"/>
      </v:shape>
    </w:pict>
  </w:numPicBullet>
  <w:numPicBullet w:numPicBulletId="2">
    <w:pict>
      <v:shape id="_x0000_i1064" type="#_x0000_t75" style="width:78pt;height:34.2pt" o:bullet="t">
        <v:imagedata r:id="rId3" o:title="warn"/>
      </v:shape>
    </w:pict>
  </w:numPicBullet>
  <w:numPicBullet w:numPicBulletId="3">
    <w:pict>
      <v:shape id="_x0000_i1065" type="#_x0000_t75" style="width:253.8pt;height:139.2pt" o:bullet="t">
        <v:imagedata r:id="rId4" o:title="warn"/>
      </v:shape>
    </w:pict>
  </w:numPicBullet>
  <w:abstractNum w:abstractNumId="0" w15:restartNumberingAfterBreak="0">
    <w:nsid w:val="FFFFFF7C"/>
    <w:multiLevelType w:val="singleLevel"/>
    <w:tmpl w:val="BDB2DF50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83B8AB78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76285C54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6C580BA8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24866EE2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70CA83A0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C932218C"/>
    <w:lvl w:ilvl="0">
      <w:start w:val="1"/>
      <w:numFmt w:val="bullet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B42D02C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505C53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B2D05E92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E7A0693"/>
    <w:multiLevelType w:val="hybridMultilevel"/>
    <w:tmpl w:val="67E2D798"/>
    <w:lvl w:ilvl="0" w:tplc="DD083F14">
      <w:start w:val="1"/>
      <w:numFmt w:val="decimal"/>
      <w:lvlText w:val="Warn%1"/>
      <w:lvlJc w:val="left"/>
      <w:pPr>
        <w:ind w:left="1054" w:hanging="420"/>
      </w:pPr>
      <w:rPr>
        <w:rFonts w:hint="eastAsia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15785EF6"/>
    <w:multiLevelType w:val="multilevel"/>
    <w:tmpl w:val="0220042A"/>
    <w:lvl w:ilvl="0">
      <w:start w:val="1"/>
      <w:numFmt w:val="decimal"/>
      <w:lvlText w:val="%1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284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701" w:hanging="1134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134" w:hanging="283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871"/>
        </w:tabs>
        <w:ind w:left="1418" w:hanging="28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842"/>
      </w:pPr>
      <w:rPr>
        <w:rFonts w:hint="eastAsia"/>
      </w:rPr>
    </w:lvl>
    <w:lvl w:ilvl="6">
      <w:start w:val="1"/>
      <w:numFmt w:val="decimal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lvlText w:val="%9"/>
      <w:lvlJc w:val="left"/>
      <w:pPr>
        <w:ind w:left="1985" w:hanging="284"/>
      </w:pPr>
      <w:rPr>
        <w:rFonts w:hint="eastAsia"/>
      </w:rPr>
    </w:lvl>
  </w:abstractNum>
  <w:abstractNum w:abstractNumId="12" w15:restartNumberingAfterBreak="0">
    <w:nsid w:val="1F4713DA"/>
    <w:multiLevelType w:val="hybridMultilevel"/>
    <w:tmpl w:val="910C00FC"/>
    <w:lvl w:ilvl="0" w:tplc="58B0E7EA">
      <w:start w:val="1"/>
      <w:numFmt w:val="bullet"/>
      <w:pStyle w:val="nList1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13EEBD4">
      <w:start w:val="1"/>
      <w:numFmt w:val="bullet"/>
      <w:pStyle w:val="nList2"/>
      <w:lvlText w:val=""/>
      <w:lvlJc w:val="left"/>
      <w:pPr>
        <w:ind w:left="840" w:hanging="420"/>
      </w:pPr>
      <w:rPr>
        <w:rFonts w:ascii="Wingdings" w:hAnsi="Wingdings" w:hint="default"/>
      </w:rPr>
    </w:lvl>
    <w:lvl w:ilvl="2" w:tplc="206E6D3E">
      <w:start w:val="1"/>
      <w:numFmt w:val="bullet"/>
      <w:pStyle w:val="nList3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BBF3FA2"/>
    <w:multiLevelType w:val="multilevel"/>
    <w:tmpl w:val="6EA40516"/>
    <w:lvl w:ilvl="0">
      <w:start w:val="1"/>
      <w:numFmt w:val="decimal"/>
      <w:lvlText w:val="%1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871"/>
        </w:tabs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lvlText w:val="%9"/>
      <w:lvlJc w:val="left"/>
      <w:pPr>
        <w:ind w:left="1985" w:hanging="284"/>
      </w:pPr>
      <w:rPr>
        <w:rFonts w:hint="eastAsia"/>
      </w:rPr>
    </w:lvl>
  </w:abstractNum>
  <w:abstractNum w:abstractNumId="14" w15:restartNumberingAfterBreak="0">
    <w:nsid w:val="4B2750B9"/>
    <w:multiLevelType w:val="multilevel"/>
    <w:tmpl w:val="983A67E2"/>
    <w:lvl w:ilvl="0">
      <w:start w:val="1"/>
      <w:numFmt w:val="none"/>
      <w:pStyle w:val="note1"/>
      <w:lvlText w:val="NOTE"/>
      <w:lvlJc w:val="left"/>
      <w:pPr>
        <w:ind w:left="851" w:hanging="114"/>
      </w:pPr>
      <w:rPr>
        <w:rFonts w:asciiTheme="majorHAnsi" w:hAnsiTheme="majorHAnsi" w:hint="default"/>
        <w:b/>
        <w:i w:val="0"/>
        <w:sz w:val="24"/>
      </w:rPr>
    </w:lvl>
    <w:lvl w:ilvl="1">
      <w:start w:val="1"/>
      <w:numFmt w:val="japaneseCounting"/>
      <w:lvlText w:val="第%2節"/>
      <w:lvlJc w:val="left"/>
      <w:pPr>
        <w:ind w:left="851" w:hanging="426"/>
      </w:pPr>
      <w:rPr>
        <w:rFonts w:hint="eastAsia"/>
      </w:rPr>
    </w:lvl>
    <w:lvl w:ilvl="2">
      <w:start w:val="1"/>
      <w:numFmt w:val="japaneseCounting"/>
      <w:lvlText w:val="第%3項"/>
      <w:lvlJc w:val="left"/>
      <w:pPr>
        <w:ind w:left="1276" w:hanging="425"/>
      </w:pPr>
      <w:rPr>
        <w:rFonts w:hint="eastAsia"/>
      </w:rPr>
    </w:lvl>
    <w:lvl w:ilvl="3">
      <w:start w:val="1"/>
      <w:numFmt w:val="none"/>
      <w:suff w:val="nothing"/>
      <w:lvlText w:val=""/>
      <w:lvlJc w:val="left"/>
      <w:pPr>
        <w:ind w:left="1701" w:hanging="425"/>
      </w:pPr>
      <w:rPr>
        <w:rFonts w:hint="eastAsia"/>
      </w:rPr>
    </w:lvl>
    <w:lvl w:ilvl="4">
      <w:start w:val="1"/>
      <w:numFmt w:val="none"/>
      <w:suff w:val="nothing"/>
      <w:lvlText w:val=""/>
      <w:lvlJc w:val="left"/>
      <w:pPr>
        <w:ind w:left="2126" w:hanging="425"/>
      </w:pPr>
      <w:rPr>
        <w:rFonts w:hint="eastAsia"/>
      </w:rPr>
    </w:lvl>
    <w:lvl w:ilvl="5">
      <w:start w:val="1"/>
      <w:numFmt w:val="none"/>
      <w:suff w:val="nothing"/>
      <w:lvlText w:val=""/>
      <w:lvlJc w:val="left"/>
      <w:pPr>
        <w:ind w:left="2551" w:hanging="425"/>
      </w:pPr>
      <w:rPr>
        <w:rFonts w:hint="eastAsia"/>
      </w:rPr>
    </w:lvl>
    <w:lvl w:ilvl="6">
      <w:start w:val="1"/>
      <w:numFmt w:val="none"/>
      <w:suff w:val="nothing"/>
      <w:lvlText w:val=""/>
      <w:lvlJc w:val="left"/>
      <w:pPr>
        <w:ind w:left="2976" w:hanging="425"/>
      </w:pPr>
      <w:rPr>
        <w:rFonts w:hint="eastAsia"/>
      </w:rPr>
    </w:lvl>
    <w:lvl w:ilvl="7">
      <w:start w:val="1"/>
      <w:numFmt w:val="none"/>
      <w:suff w:val="nothing"/>
      <w:lvlText w:val=""/>
      <w:lvlJc w:val="left"/>
      <w:pPr>
        <w:ind w:left="3402" w:hanging="426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3827" w:hanging="425"/>
      </w:pPr>
      <w:rPr>
        <w:rFonts w:hint="eastAsia"/>
      </w:rPr>
    </w:lvl>
  </w:abstractNum>
  <w:abstractNum w:abstractNumId="15" w15:restartNumberingAfterBreak="0">
    <w:nsid w:val="617353A0"/>
    <w:multiLevelType w:val="multilevel"/>
    <w:tmpl w:val="7D36E266"/>
    <w:lvl w:ilvl="0">
      <w:start w:val="1"/>
      <w:numFmt w:val="none"/>
      <w:pStyle w:val="warn1"/>
      <w:lvlText w:val="WARN"/>
      <w:lvlJc w:val="left"/>
      <w:pPr>
        <w:ind w:left="851" w:hanging="114"/>
      </w:pPr>
      <w:rPr>
        <w:rFonts w:asciiTheme="majorHAnsi" w:eastAsia="ＭＳ 明朝" w:hAnsiTheme="majorHAnsi" w:hint="default"/>
        <w:b/>
        <w:i w:val="0"/>
        <w:color w:val="000000" w:themeColor="text1"/>
        <w:sz w:val="24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C862FF5"/>
    <w:multiLevelType w:val="hybridMultilevel"/>
    <w:tmpl w:val="A260E5A8"/>
    <w:lvl w:ilvl="0" w:tplc="DEB455FE">
      <w:start w:val="1"/>
      <w:numFmt w:val="bullet"/>
      <w:lvlText w:val=""/>
      <w:lvlPicBulletId w:val="1"/>
      <w:lvlJc w:val="left"/>
      <w:pPr>
        <w:ind w:left="844" w:hanging="42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6CA25B84"/>
    <w:multiLevelType w:val="multilevel"/>
    <w:tmpl w:val="CCECF462"/>
    <w:lvl w:ilvl="0">
      <w:start w:val="1"/>
      <w:numFmt w:val="decimal"/>
      <w:lvlText w:val="%1"/>
      <w:lvlJc w:val="left"/>
      <w:pPr>
        <w:tabs>
          <w:tab w:val="num" w:pos="567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851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851" w:hanging="284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134" w:hanging="283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871"/>
        </w:tabs>
        <w:ind w:left="1418" w:hanging="28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842"/>
      </w:pPr>
      <w:rPr>
        <w:rFonts w:hint="eastAsia"/>
      </w:rPr>
    </w:lvl>
    <w:lvl w:ilvl="6">
      <w:start w:val="1"/>
      <w:numFmt w:val="decimal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lvlText w:val="%9"/>
      <w:lvlJc w:val="left"/>
      <w:pPr>
        <w:ind w:left="1985" w:hanging="284"/>
      </w:pPr>
      <w:rPr>
        <w:rFonts w:hint="eastAsia"/>
      </w:rPr>
    </w:lvl>
  </w:abstractNum>
  <w:abstractNum w:abstractNumId="18" w15:restartNumberingAfterBreak="0">
    <w:nsid w:val="70B475F6"/>
    <w:multiLevelType w:val="multilevel"/>
    <w:tmpl w:val="CCECF462"/>
    <w:lvl w:ilvl="0">
      <w:start w:val="1"/>
      <w:numFmt w:val="decimal"/>
      <w:lvlText w:val="%1"/>
      <w:lvlJc w:val="left"/>
      <w:pPr>
        <w:tabs>
          <w:tab w:val="num" w:pos="567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851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851" w:hanging="284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134" w:hanging="283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871"/>
        </w:tabs>
        <w:ind w:left="1418" w:hanging="284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842"/>
      </w:pPr>
      <w:rPr>
        <w:rFonts w:hint="eastAsia"/>
      </w:rPr>
    </w:lvl>
    <w:lvl w:ilvl="6">
      <w:start w:val="1"/>
      <w:numFmt w:val="decimal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lvlText w:val="%9"/>
      <w:lvlJc w:val="left"/>
      <w:pPr>
        <w:ind w:left="1985" w:hanging="284"/>
      </w:pPr>
      <w:rPr>
        <w:rFonts w:hint="eastAsia"/>
      </w:rPr>
    </w:lvl>
  </w:abstractNum>
  <w:abstractNum w:abstractNumId="19" w15:restartNumberingAfterBreak="0">
    <w:nsid w:val="7CDA7CCA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7E7177A6"/>
    <w:multiLevelType w:val="multilevel"/>
    <w:tmpl w:val="D92CED24"/>
    <w:lvl w:ilvl="0">
      <w:start w:val="1"/>
      <w:numFmt w:val="decimal"/>
      <w:pStyle w:val="Heading1"/>
      <w:lvlText w:val="%1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Heading3"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pStyle w:val="Heading4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none"/>
      <w:pStyle w:val="Heading5"/>
      <w:lvlText w:val=""/>
      <w:lvlJc w:val="left"/>
      <w:pPr>
        <w:tabs>
          <w:tab w:val="num" w:pos="1871"/>
        </w:tabs>
        <w:ind w:left="0" w:firstLine="0"/>
      </w:pPr>
      <w:rPr>
        <w:rFonts w:hint="eastAsia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numList1"/>
      <w:lvlText w:val="%7"/>
      <w:lvlJc w:val="left"/>
      <w:pPr>
        <w:ind w:left="1418" w:hanging="284"/>
      </w:pPr>
      <w:rPr>
        <w:rFonts w:hint="eastAsia"/>
      </w:rPr>
    </w:lvl>
    <w:lvl w:ilvl="7">
      <w:start w:val="1"/>
      <w:numFmt w:val="decimal"/>
      <w:pStyle w:val="numList2"/>
      <w:lvlText w:val="%8"/>
      <w:lvlJc w:val="left"/>
      <w:pPr>
        <w:ind w:left="1701" w:hanging="283"/>
      </w:pPr>
      <w:rPr>
        <w:rFonts w:hint="eastAsia"/>
      </w:rPr>
    </w:lvl>
    <w:lvl w:ilvl="8">
      <w:start w:val="1"/>
      <w:numFmt w:val="decimal"/>
      <w:pStyle w:val="numList3"/>
      <w:lvlText w:val="%9"/>
      <w:lvlJc w:val="left"/>
      <w:pPr>
        <w:ind w:left="1985" w:hanging="284"/>
      </w:pPr>
      <w:rPr>
        <w:rFonts w:hint="eastAsia"/>
      </w:rPr>
    </w:lvl>
  </w:abstractNum>
  <w:num w:numId="1" w16cid:durableId="606959716">
    <w:abstractNumId w:val="20"/>
  </w:num>
  <w:num w:numId="2" w16cid:durableId="1374505219">
    <w:abstractNumId w:val="12"/>
  </w:num>
  <w:num w:numId="3" w16cid:durableId="1200436217">
    <w:abstractNumId w:val="16"/>
  </w:num>
  <w:num w:numId="4" w16cid:durableId="1813060354">
    <w:abstractNumId w:val="9"/>
  </w:num>
  <w:num w:numId="5" w16cid:durableId="813449695">
    <w:abstractNumId w:val="7"/>
  </w:num>
  <w:num w:numId="6" w16cid:durableId="1742486336">
    <w:abstractNumId w:val="6"/>
  </w:num>
  <w:num w:numId="7" w16cid:durableId="1609460011">
    <w:abstractNumId w:val="5"/>
  </w:num>
  <w:num w:numId="8" w16cid:durableId="1798453170">
    <w:abstractNumId w:val="4"/>
  </w:num>
  <w:num w:numId="9" w16cid:durableId="812677237">
    <w:abstractNumId w:val="8"/>
  </w:num>
  <w:num w:numId="10" w16cid:durableId="1470826188">
    <w:abstractNumId w:val="3"/>
  </w:num>
  <w:num w:numId="11" w16cid:durableId="1013187789">
    <w:abstractNumId w:val="2"/>
  </w:num>
  <w:num w:numId="12" w16cid:durableId="623344796">
    <w:abstractNumId w:val="1"/>
  </w:num>
  <w:num w:numId="13" w16cid:durableId="336737433">
    <w:abstractNumId w:val="0"/>
  </w:num>
  <w:num w:numId="14" w16cid:durableId="980037494">
    <w:abstractNumId w:val="10"/>
  </w:num>
  <w:num w:numId="15" w16cid:durableId="1521241798">
    <w:abstractNumId w:val="10"/>
    <w:lvlOverride w:ilvl="0">
      <w:startOverride w:val="1"/>
    </w:lvlOverride>
  </w:num>
  <w:num w:numId="16" w16cid:durableId="1981575358">
    <w:abstractNumId w:val="15"/>
  </w:num>
  <w:num w:numId="17" w16cid:durableId="2051105084">
    <w:abstractNumId w:val="19"/>
  </w:num>
  <w:num w:numId="18" w16cid:durableId="1825900460">
    <w:abstractNumId w:val="14"/>
  </w:num>
  <w:num w:numId="19" w16cid:durableId="4090961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969076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9327418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54427188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660821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3"/>
    </w:lvlOverride>
    <w:lvlOverride w:ilvl="6">
      <w:startOverride w:val="77"/>
    </w:lvlOverride>
    <w:lvlOverride w:ilvl="7">
      <w:startOverride w:val="1"/>
    </w:lvlOverride>
    <w:lvlOverride w:ilvl="8">
      <w:startOverride w:val="1"/>
    </w:lvlOverride>
  </w:num>
  <w:num w:numId="24" w16cid:durableId="1454405779">
    <w:abstractNumId w:val="18"/>
  </w:num>
  <w:num w:numId="25" w16cid:durableId="2050648131">
    <w:abstractNumId w:val="17"/>
  </w:num>
  <w:num w:numId="26" w16cid:durableId="1271548003">
    <w:abstractNumId w:val="11"/>
  </w:num>
  <w:num w:numId="27" w16cid:durableId="46978407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69C"/>
    <w:rsid w:val="000014A3"/>
    <w:rsid w:val="00002589"/>
    <w:rsid w:val="0000396D"/>
    <w:rsid w:val="0002287F"/>
    <w:rsid w:val="0002506E"/>
    <w:rsid w:val="00032D59"/>
    <w:rsid w:val="000336EB"/>
    <w:rsid w:val="00034E1A"/>
    <w:rsid w:val="00043BA8"/>
    <w:rsid w:val="00061E57"/>
    <w:rsid w:val="00071E2C"/>
    <w:rsid w:val="000769A5"/>
    <w:rsid w:val="00081498"/>
    <w:rsid w:val="00083FB4"/>
    <w:rsid w:val="0009234F"/>
    <w:rsid w:val="00092E22"/>
    <w:rsid w:val="00097B17"/>
    <w:rsid w:val="000B54C0"/>
    <w:rsid w:val="000D06CD"/>
    <w:rsid w:val="000D3496"/>
    <w:rsid w:val="000D6556"/>
    <w:rsid w:val="000F0629"/>
    <w:rsid w:val="00112B05"/>
    <w:rsid w:val="00113DD2"/>
    <w:rsid w:val="00125043"/>
    <w:rsid w:val="00132596"/>
    <w:rsid w:val="00164171"/>
    <w:rsid w:val="001659E3"/>
    <w:rsid w:val="00165D00"/>
    <w:rsid w:val="001A5B42"/>
    <w:rsid w:val="001B12BD"/>
    <w:rsid w:val="001D092E"/>
    <w:rsid w:val="001E1230"/>
    <w:rsid w:val="001E6B2F"/>
    <w:rsid w:val="001F30F6"/>
    <w:rsid w:val="0021077C"/>
    <w:rsid w:val="0024744E"/>
    <w:rsid w:val="0025313E"/>
    <w:rsid w:val="0026220D"/>
    <w:rsid w:val="00282BDF"/>
    <w:rsid w:val="002877DB"/>
    <w:rsid w:val="002A2074"/>
    <w:rsid w:val="002B081F"/>
    <w:rsid w:val="002C0E7D"/>
    <w:rsid w:val="002D0479"/>
    <w:rsid w:val="002D3A48"/>
    <w:rsid w:val="00316A3F"/>
    <w:rsid w:val="003257C2"/>
    <w:rsid w:val="00346510"/>
    <w:rsid w:val="003703BD"/>
    <w:rsid w:val="0038118E"/>
    <w:rsid w:val="00381350"/>
    <w:rsid w:val="00383C25"/>
    <w:rsid w:val="00384599"/>
    <w:rsid w:val="00395E50"/>
    <w:rsid w:val="003B41EB"/>
    <w:rsid w:val="003C3162"/>
    <w:rsid w:val="003C446C"/>
    <w:rsid w:val="003D04CF"/>
    <w:rsid w:val="003D34F9"/>
    <w:rsid w:val="003F3DB2"/>
    <w:rsid w:val="003F5A7E"/>
    <w:rsid w:val="0040069C"/>
    <w:rsid w:val="004143B9"/>
    <w:rsid w:val="0042359F"/>
    <w:rsid w:val="00436F86"/>
    <w:rsid w:val="004771D7"/>
    <w:rsid w:val="0048074D"/>
    <w:rsid w:val="0048152E"/>
    <w:rsid w:val="00482DF5"/>
    <w:rsid w:val="00492CE7"/>
    <w:rsid w:val="004C18D2"/>
    <w:rsid w:val="004E725A"/>
    <w:rsid w:val="00502559"/>
    <w:rsid w:val="0051548A"/>
    <w:rsid w:val="005169DB"/>
    <w:rsid w:val="00525E12"/>
    <w:rsid w:val="005274DC"/>
    <w:rsid w:val="00532C99"/>
    <w:rsid w:val="005348A2"/>
    <w:rsid w:val="00551A6A"/>
    <w:rsid w:val="0056100C"/>
    <w:rsid w:val="00561475"/>
    <w:rsid w:val="00567786"/>
    <w:rsid w:val="00572ED8"/>
    <w:rsid w:val="005843EE"/>
    <w:rsid w:val="005B758F"/>
    <w:rsid w:val="005C1D18"/>
    <w:rsid w:val="005D2D98"/>
    <w:rsid w:val="005D5DBC"/>
    <w:rsid w:val="005D628E"/>
    <w:rsid w:val="005E5757"/>
    <w:rsid w:val="00600CDB"/>
    <w:rsid w:val="00602592"/>
    <w:rsid w:val="00604D68"/>
    <w:rsid w:val="006131F9"/>
    <w:rsid w:val="00631C34"/>
    <w:rsid w:val="00653A1A"/>
    <w:rsid w:val="006742E7"/>
    <w:rsid w:val="00693483"/>
    <w:rsid w:val="006970D4"/>
    <w:rsid w:val="006D1E6E"/>
    <w:rsid w:val="006F6ECE"/>
    <w:rsid w:val="007405AB"/>
    <w:rsid w:val="00742249"/>
    <w:rsid w:val="00743D94"/>
    <w:rsid w:val="007803CA"/>
    <w:rsid w:val="0079454B"/>
    <w:rsid w:val="007964F2"/>
    <w:rsid w:val="007977AD"/>
    <w:rsid w:val="007F28E2"/>
    <w:rsid w:val="007F4552"/>
    <w:rsid w:val="007F478E"/>
    <w:rsid w:val="0082661F"/>
    <w:rsid w:val="00832DFB"/>
    <w:rsid w:val="0083626B"/>
    <w:rsid w:val="00836DB8"/>
    <w:rsid w:val="0083785A"/>
    <w:rsid w:val="00855384"/>
    <w:rsid w:val="0086681D"/>
    <w:rsid w:val="00877961"/>
    <w:rsid w:val="00884BC6"/>
    <w:rsid w:val="00894958"/>
    <w:rsid w:val="008A28D4"/>
    <w:rsid w:val="008B158F"/>
    <w:rsid w:val="008C35A7"/>
    <w:rsid w:val="008C6908"/>
    <w:rsid w:val="008C718D"/>
    <w:rsid w:val="008E1744"/>
    <w:rsid w:val="00903DE9"/>
    <w:rsid w:val="009140A0"/>
    <w:rsid w:val="009262E0"/>
    <w:rsid w:val="00953064"/>
    <w:rsid w:val="00961D21"/>
    <w:rsid w:val="00986E83"/>
    <w:rsid w:val="00996A95"/>
    <w:rsid w:val="009A1827"/>
    <w:rsid w:val="009A1AE8"/>
    <w:rsid w:val="009A4D0B"/>
    <w:rsid w:val="009C0231"/>
    <w:rsid w:val="009D47BE"/>
    <w:rsid w:val="009D4888"/>
    <w:rsid w:val="009E383C"/>
    <w:rsid w:val="009E6A1D"/>
    <w:rsid w:val="009F470C"/>
    <w:rsid w:val="00A23E12"/>
    <w:rsid w:val="00A363EB"/>
    <w:rsid w:val="00A411D5"/>
    <w:rsid w:val="00A47DAE"/>
    <w:rsid w:val="00A64E0D"/>
    <w:rsid w:val="00A71EB1"/>
    <w:rsid w:val="00A81BCD"/>
    <w:rsid w:val="00A84277"/>
    <w:rsid w:val="00AA75A5"/>
    <w:rsid w:val="00AC0A60"/>
    <w:rsid w:val="00AD242C"/>
    <w:rsid w:val="00AE7665"/>
    <w:rsid w:val="00AF13FB"/>
    <w:rsid w:val="00AF3CD1"/>
    <w:rsid w:val="00B21499"/>
    <w:rsid w:val="00B236C5"/>
    <w:rsid w:val="00B31AA8"/>
    <w:rsid w:val="00B37D07"/>
    <w:rsid w:val="00B40F24"/>
    <w:rsid w:val="00B4305B"/>
    <w:rsid w:val="00B56D57"/>
    <w:rsid w:val="00B622C5"/>
    <w:rsid w:val="00B72AFD"/>
    <w:rsid w:val="00B82132"/>
    <w:rsid w:val="00B90025"/>
    <w:rsid w:val="00BB0946"/>
    <w:rsid w:val="00BB0AE8"/>
    <w:rsid w:val="00BB1281"/>
    <w:rsid w:val="00BD78E9"/>
    <w:rsid w:val="00BE29B9"/>
    <w:rsid w:val="00BE5515"/>
    <w:rsid w:val="00C037B5"/>
    <w:rsid w:val="00C04D48"/>
    <w:rsid w:val="00C13972"/>
    <w:rsid w:val="00C222D0"/>
    <w:rsid w:val="00C37B4D"/>
    <w:rsid w:val="00C52D34"/>
    <w:rsid w:val="00C537F2"/>
    <w:rsid w:val="00C53DE5"/>
    <w:rsid w:val="00C579DA"/>
    <w:rsid w:val="00C64D25"/>
    <w:rsid w:val="00C65094"/>
    <w:rsid w:val="00C65B3D"/>
    <w:rsid w:val="00C77DC2"/>
    <w:rsid w:val="00C872D0"/>
    <w:rsid w:val="00CA024C"/>
    <w:rsid w:val="00CC1260"/>
    <w:rsid w:val="00CC2997"/>
    <w:rsid w:val="00CD66D2"/>
    <w:rsid w:val="00CD7F50"/>
    <w:rsid w:val="00D10CF2"/>
    <w:rsid w:val="00D2499B"/>
    <w:rsid w:val="00D26BE2"/>
    <w:rsid w:val="00D26DAE"/>
    <w:rsid w:val="00D41B14"/>
    <w:rsid w:val="00D46D1E"/>
    <w:rsid w:val="00D52227"/>
    <w:rsid w:val="00D53254"/>
    <w:rsid w:val="00D57F9C"/>
    <w:rsid w:val="00D70FE4"/>
    <w:rsid w:val="00D8667B"/>
    <w:rsid w:val="00DC6A0A"/>
    <w:rsid w:val="00DC76D2"/>
    <w:rsid w:val="00DE0098"/>
    <w:rsid w:val="00DE7C69"/>
    <w:rsid w:val="00DF1714"/>
    <w:rsid w:val="00E14ADD"/>
    <w:rsid w:val="00E2098A"/>
    <w:rsid w:val="00E212A3"/>
    <w:rsid w:val="00E55E54"/>
    <w:rsid w:val="00E65AAF"/>
    <w:rsid w:val="00E7330A"/>
    <w:rsid w:val="00E738B2"/>
    <w:rsid w:val="00E74F23"/>
    <w:rsid w:val="00E760E9"/>
    <w:rsid w:val="00E807B5"/>
    <w:rsid w:val="00E921B1"/>
    <w:rsid w:val="00E95B31"/>
    <w:rsid w:val="00ED0462"/>
    <w:rsid w:val="00EE4B3E"/>
    <w:rsid w:val="00EF54C8"/>
    <w:rsid w:val="00F13A8E"/>
    <w:rsid w:val="00F1634D"/>
    <w:rsid w:val="00F20E67"/>
    <w:rsid w:val="00F34A77"/>
    <w:rsid w:val="00F3598A"/>
    <w:rsid w:val="00F35AD3"/>
    <w:rsid w:val="00F5390E"/>
    <w:rsid w:val="00F607FB"/>
    <w:rsid w:val="00F60D51"/>
    <w:rsid w:val="00F660FA"/>
    <w:rsid w:val="00F7106B"/>
    <w:rsid w:val="00F8115E"/>
    <w:rsid w:val="00FD4482"/>
    <w:rsid w:val="00FE0E2A"/>
    <w:rsid w:val="00FF5CA2"/>
    <w:rsid w:val="00FF6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4041F4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83C"/>
    <w:pPr>
      <w:widowControl w:val="0"/>
      <w:jc w:val="both"/>
    </w:pPr>
  </w:style>
  <w:style w:type="paragraph" w:styleId="Heading1">
    <w:name w:val="heading 1"/>
    <w:basedOn w:val="BodyTitle"/>
    <w:next w:val="Normal"/>
    <w:link w:val="Heading1Char"/>
    <w:uiPriority w:val="9"/>
    <w:qFormat/>
    <w:rsid w:val="005169DB"/>
    <w:pPr>
      <w:keepNext/>
      <w:numPr>
        <w:numId w:val="1"/>
      </w:numPr>
      <w:pBdr>
        <w:bottom w:val="single" w:sz="4" w:space="1" w:color="auto"/>
      </w:pBdr>
      <w:spacing w:beforeLines="50" w:before="180" w:afterLines="50" w:after="180"/>
      <w:outlineLvl w:val="0"/>
    </w:pPr>
    <w:rPr>
      <w:sz w:val="28"/>
    </w:rPr>
  </w:style>
  <w:style w:type="paragraph" w:styleId="Heading2">
    <w:name w:val="heading 2"/>
    <w:basedOn w:val="BodyTitle"/>
    <w:next w:val="Normal"/>
    <w:link w:val="Heading2Char"/>
    <w:uiPriority w:val="9"/>
    <w:unhideWhenUsed/>
    <w:qFormat/>
    <w:rsid w:val="0083626B"/>
    <w:pPr>
      <w:keepNext/>
      <w:numPr>
        <w:ilvl w:val="1"/>
        <w:numId w:val="1"/>
      </w:numPr>
      <w:outlineLvl w:val="1"/>
    </w:pPr>
    <w:rPr>
      <w:sz w:val="24"/>
    </w:rPr>
  </w:style>
  <w:style w:type="paragraph" w:styleId="Heading3">
    <w:name w:val="heading 3"/>
    <w:basedOn w:val="BodyTitle"/>
    <w:next w:val="Normal"/>
    <w:link w:val="Heading3Char"/>
    <w:uiPriority w:val="9"/>
    <w:unhideWhenUsed/>
    <w:qFormat/>
    <w:rsid w:val="0083626B"/>
    <w:pPr>
      <w:keepNext/>
      <w:numPr>
        <w:ilvl w:val="2"/>
        <w:numId w:val="1"/>
      </w:numPr>
      <w:outlineLvl w:val="2"/>
    </w:pPr>
    <w:rPr>
      <w:sz w:val="22"/>
    </w:rPr>
  </w:style>
  <w:style w:type="paragraph" w:styleId="Heading4">
    <w:name w:val="heading 4"/>
    <w:basedOn w:val="BodyTitle"/>
    <w:next w:val="Normal"/>
    <w:link w:val="Heading4Char"/>
    <w:uiPriority w:val="9"/>
    <w:unhideWhenUsed/>
    <w:qFormat/>
    <w:rsid w:val="0083626B"/>
    <w:pPr>
      <w:keepNext/>
      <w:numPr>
        <w:ilvl w:val="3"/>
        <w:numId w:val="1"/>
      </w:numPr>
      <w:outlineLvl w:val="3"/>
    </w:pPr>
    <w:rPr>
      <w:sz w:val="22"/>
    </w:rPr>
  </w:style>
  <w:style w:type="paragraph" w:styleId="Heading5">
    <w:name w:val="heading 5"/>
    <w:basedOn w:val="BodyTitle"/>
    <w:next w:val="Normal"/>
    <w:link w:val="Heading5Char"/>
    <w:uiPriority w:val="9"/>
    <w:unhideWhenUsed/>
    <w:qFormat/>
    <w:rsid w:val="005169DB"/>
    <w:pPr>
      <w:keepNext/>
      <w:numPr>
        <w:ilvl w:val="4"/>
        <w:numId w:val="1"/>
      </w:numPr>
      <w:tabs>
        <w:tab w:val="clear" w:pos="1871"/>
      </w:tabs>
      <w:ind w:leftChars="405" w:left="850"/>
      <w:outlineLvl w:val="4"/>
    </w:p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F607FB"/>
    <w:pPr>
      <w:numPr>
        <w:ilvl w:val="5"/>
      </w:numPr>
      <w:ind w:left="850"/>
      <w:outlineLvl w:val="5"/>
    </w:pPr>
  </w:style>
  <w:style w:type="paragraph" w:styleId="Heading7">
    <w:name w:val="heading 7"/>
    <w:basedOn w:val="Normal"/>
    <w:link w:val="Heading7Char"/>
    <w:uiPriority w:val="9"/>
    <w:unhideWhenUsed/>
    <w:qFormat/>
    <w:rsid w:val="000F0629"/>
    <w:pPr>
      <w:keepNext/>
      <w:outlineLvl w:val="6"/>
    </w:pPr>
  </w:style>
  <w:style w:type="paragraph" w:styleId="Heading8">
    <w:name w:val="heading 8"/>
    <w:basedOn w:val="Normal"/>
    <w:link w:val="Heading8Char"/>
    <w:uiPriority w:val="9"/>
    <w:unhideWhenUsed/>
    <w:qFormat/>
    <w:rsid w:val="001F30F6"/>
    <w:pPr>
      <w:outlineLvl w:val="7"/>
    </w:p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36DB8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AAA">
    <w:name w:val="表スタイルAAA"/>
    <w:basedOn w:val="TableNormal"/>
    <w:uiPriority w:val="99"/>
    <w:rsid w:val="009A1AE8"/>
    <w:rPr>
      <w:kern w:val="0"/>
      <w:sz w:val="24"/>
      <w:szCs w:val="24"/>
      <w:lang w:eastAsia="en-US"/>
    </w:rPr>
    <w:tblPr/>
  </w:style>
  <w:style w:type="paragraph" w:styleId="ListParagraph">
    <w:name w:val="List Paragraph"/>
    <w:basedOn w:val="Normal"/>
    <w:uiPriority w:val="34"/>
    <w:qFormat/>
    <w:rsid w:val="0040069C"/>
    <w:pPr>
      <w:ind w:leftChars="400" w:left="840"/>
    </w:pPr>
  </w:style>
  <w:style w:type="character" w:customStyle="1" w:styleId="Heading1Char">
    <w:name w:val="Heading 1 Char"/>
    <w:basedOn w:val="DefaultParagraphFont"/>
    <w:link w:val="Heading1"/>
    <w:uiPriority w:val="9"/>
    <w:rsid w:val="005169DB"/>
    <w:rPr>
      <w:rFonts w:asciiTheme="majorHAnsi" w:eastAsiaTheme="majorEastAsia" w:hAnsiTheme="majorHAnsi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3626B"/>
    <w:rPr>
      <w:rFonts w:asciiTheme="majorHAnsi" w:eastAsiaTheme="majorEastAsia" w:hAnsiTheme="majorHAnsi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3626B"/>
    <w:rPr>
      <w:rFonts w:asciiTheme="majorHAnsi" w:eastAsiaTheme="majorEastAsia" w:hAnsiTheme="majorHAnsi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83626B"/>
    <w:rPr>
      <w:rFonts w:asciiTheme="majorHAnsi" w:eastAsiaTheme="majorEastAsia" w:hAnsiTheme="majorHAnsi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5169DB"/>
    <w:rPr>
      <w:rFonts w:asciiTheme="majorHAnsi" w:eastAsiaTheme="majorEastAsia" w:hAnsiTheme="majorHAnsi"/>
    </w:rPr>
  </w:style>
  <w:style w:type="character" w:customStyle="1" w:styleId="Heading6Char">
    <w:name w:val="Heading 6 Char"/>
    <w:basedOn w:val="DefaultParagraphFont"/>
    <w:link w:val="Heading6"/>
    <w:uiPriority w:val="9"/>
    <w:rsid w:val="00F607FB"/>
    <w:rPr>
      <w:rFonts w:asciiTheme="majorHAnsi" w:eastAsiaTheme="majorEastAsia" w:hAnsiTheme="majorHAnsi"/>
    </w:rPr>
  </w:style>
  <w:style w:type="character" w:customStyle="1" w:styleId="Heading7Char">
    <w:name w:val="Heading 7 Char"/>
    <w:basedOn w:val="DefaultParagraphFont"/>
    <w:link w:val="Heading7"/>
    <w:uiPriority w:val="9"/>
    <w:rsid w:val="000F0629"/>
  </w:style>
  <w:style w:type="character" w:customStyle="1" w:styleId="Heading8Char">
    <w:name w:val="Heading 8 Char"/>
    <w:basedOn w:val="DefaultParagraphFont"/>
    <w:link w:val="Heading8"/>
    <w:uiPriority w:val="9"/>
    <w:rsid w:val="001F30F6"/>
  </w:style>
  <w:style w:type="character" w:customStyle="1" w:styleId="Heading9Char">
    <w:name w:val="Heading 9 Char"/>
    <w:basedOn w:val="DefaultParagraphFont"/>
    <w:link w:val="Heading9"/>
    <w:uiPriority w:val="9"/>
    <w:rsid w:val="00836DB8"/>
  </w:style>
  <w:style w:type="character" w:styleId="Emphasis">
    <w:name w:val="Emphasis"/>
    <w:basedOn w:val="DefaultParagraphFont"/>
    <w:uiPriority w:val="20"/>
    <w:qFormat/>
    <w:rsid w:val="00884BC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84BC6"/>
    <w:rPr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/>
    <w:rsid w:val="00884BC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41B14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D41B14"/>
  </w:style>
  <w:style w:type="paragraph" w:styleId="Footer">
    <w:name w:val="footer"/>
    <w:basedOn w:val="Normal"/>
    <w:link w:val="FooterChar"/>
    <w:uiPriority w:val="99"/>
    <w:unhideWhenUsed/>
    <w:rsid w:val="00D41B14"/>
    <w:pPr>
      <w:tabs>
        <w:tab w:val="center" w:pos="4252"/>
        <w:tab w:val="right" w:pos="8504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D41B14"/>
  </w:style>
  <w:style w:type="paragraph" w:customStyle="1" w:styleId="body1">
    <w:name w:val="body1"/>
    <w:basedOn w:val="Normal"/>
    <w:qFormat/>
    <w:rsid w:val="00C579DA"/>
    <w:pPr>
      <w:spacing w:beforeLines="30" w:before="108" w:afterLines="20" w:after="72"/>
      <w:ind w:leftChars="405" w:left="850"/>
    </w:pPr>
  </w:style>
  <w:style w:type="table" w:customStyle="1" w:styleId="styleN">
    <w:name w:val="styleN"/>
    <w:basedOn w:val="TableNormal"/>
    <w:uiPriority w:val="99"/>
    <w:rsid w:val="00D52227"/>
    <w:tblPr>
      <w:tblInd w:w="85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2F2F2" w:themeFill="background1" w:themeFillShade="F2"/>
    </w:tcPr>
    <w:tblStylePr w:type="firstRow">
      <w:rPr>
        <w:rFonts w:asciiTheme="majorHAnsi" w:eastAsiaTheme="majorEastAsia" w:hAnsiTheme="majorHAnsi"/>
      </w:rPr>
      <w:tblPr/>
      <w:trPr>
        <w:tblHeader/>
      </w:trPr>
      <w:tcPr>
        <w:shd w:val="clear" w:color="auto" w:fill="AEAAAA" w:themeFill="background2" w:themeFillShade="BF"/>
      </w:tcPr>
    </w:tblStylePr>
  </w:style>
  <w:style w:type="table" w:styleId="TableGrid">
    <w:name w:val="Table Grid"/>
    <w:basedOn w:val="TableNormal"/>
    <w:uiPriority w:val="39"/>
    <w:rsid w:val="00C37B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C37B4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uiPriority w:val="47"/>
    <w:rsid w:val="00C37B4D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6970D4"/>
    <w:pPr>
      <w:spacing w:before="240" w:after="120"/>
      <w:jc w:val="center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6970D4"/>
    <w:rPr>
      <w:rFonts w:asciiTheme="majorHAnsi" w:eastAsiaTheme="majorEastAsia" w:hAnsiTheme="majorHAnsi" w:cstheme="majorBidi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0D4"/>
    <w:pPr>
      <w:jc w:val="center"/>
    </w:pPr>
    <w:rPr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970D4"/>
    <w:rPr>
      <w:sz w:val="24"/>
      <w:szCs w:val="24"/>
    </w:rPr>
  </w:style>
  <w:style w:type="paragraph" w:customStyle="1" w:styleId="nList1">
    <w:name w:val="nList1"/>
    <w:basedOn w:val="ListParagraph"/>
    <w:qFormat/>
    <w:rsid w:val="00A411D5"/>
    <w:pPr>
      <w:numPr>
        <w:numId w:val="2"/>
      </w:numPr>
      <w:ind w:leftChars="0" w:left="1418" w:hanging="278"/>
    </w:pPr>
  </w:style>
  <w:style w:type="paragraph" w:customStyle="1" w:styleId="nList2">
    <w:name w:val="nList2"/>
    <w:basedOn w:val="nList1"/>
    <w:qFormat/>
    <w:rsid w:val="00ED0462"/>
    <w:pPr>
      <w:numPr>
        <w:ilvl w:val="1"/>
      </w:numPr>
      <w:ind w:left="1843"/>
    </w:pPr>
  </w:style>
  <w:style w:type="paragraph" w:customStyle="1" w:styleId="note1">
    <w:name w:val="note1"/>
    <w:basedOn w:val="ListParagraph"/>
    <w:qFormat/>
    <w:rsid w:val="00C52D34"/>
    <w:pPr>
      <w:numPr>
        <w:numId w:val="18"/>
      </w:numPr>
      <w:shd w:val="pct10" w:color="auto" w:fill="auto"/>
      <w:tabs>
        <w:tab w:val="left" w:pos="1843"/>
      </w:tabs>
      <w:ind w:leftChars="418" w:left="992"/>
    </w:pPr>
  </w:style>
  <w:style w:type="paragraph" w:styleId="BlockText">
    <w:name w:val="Block Text"/>
    <w:basedOn w:val="Normal"/>
    <w:uiPriority w:val="99"/>
    <w:unhideWhenUsed/>
    <w:rsid w:val="009E383C"/>
    <w:pPr>
      <w:ind w:leftChars="700" w:left="1440" w:rightChars="700" w:right="1440"/>
    </w:pPr>
  </w:style>
  <w:style w:type="paragraph" w:customStyle="1" w:styleId="blockA">
    <w:name w:val="blockA"/>
    <w:basedOn w:val="BlockText"/>
    <w:qFormat/>
    <w:rsid w:val="009E383C"/>
    <w:pPr>
      <w:ind w:leftChars="405" w:left="850" w:rightChars="0" w:right="0"/>
    </w:pPr>
  </w:style>
  <w:style w:type="paragraph" w:customStyle="1" w:styleId="nList3">
    <w:name w:val="nList3"/>
    <w:basedOn w:val="nList2"/>
    <w:next w:val="body1"/>
    <w:qFormat/>
    <w:rsid w:val="0038118E"/>
    <w:pPr>
      <w:numPr>
        <w:ilvl w:val="2"/>
      </w:numPr>
      <w:ind w:left="1985" w:hanging="283"/>
    </w:pPr>
  </w:style>
  <w:style w:type="paragraph" w:styleId="Quote">
    <w:name w:val="Quote"/>
    <w:basedOn w:val="Normal"/>
    <w:next w:val="Normal"/>
    <w:link w:val="QuoteChar"/>
    <w:uiPriority w:val="29"/>
    <w:qFormat/>
    <w:rsid w:val="00F5390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90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90E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90E"/>
    <w:rPr>
      <w:i/>
      <w:iCs/>
      <w:color w:val="4472C4" w:themeColor="accent1"/>
    </w:rPr>
  </w:style>
  <w:style w:type="character" w:styleId="HTMLTypewriter">
    <w:name w:val="HTML Typewriter"/>
    <w:basedOn w:val="DefaultParagraphFont"/>
    <w:uiPriority w:val="99"/>
    <w:unhideWhenUsed/>
    <w:rsid w:val="00F5390E"/>
    <w:rPr>
      <w:rFonts w:ascii="Courier New" w:hAnsi="Courier New" w:cs="Courier New"/>
      <w:sz w:val="20"/>
      <w:szCs w:val="20"/>
    </w:rPr>
  </w:style>
  <w:style w:type="paragraph" w:styleId="MacroText">
    <w:name w:val="macro"/>
    <w:link w:val="MacroTextChar"/>
    <w:uiPriority w:val="99"/>
    <w:unhideWhenUsed/>
    <w:rsid w:val="00F5390E"/>
    <w:pPr>
      <w:widowControl w:val="0"/>
      <w:tabs>
        <w:tab w:val="left" w:pos="425"/>
        <w:tab w:val="left" w:pos="851"/>
        <w:tab w:val="left" w:pos="1276"/>
        <w:tab w:val="left" w:pos="1701"/>
        <w:tab w:val="left" w:pos="2126"/>
        <w:tab w:val="left" w:pos="2551"/>
        <w:tab w:val="left" w:pos="2976"/>
        <w:tab w:val="left" w:pos="3402"/>
        <w:tab w:val="left" w:pos="3827"/>
        <w:tab w:val="left" w:pos="4252"/>
        <w:tab w:val="left" w:pos="4677"/>
        <w:tab w:val="left" w:pos="5102"/>
      </w:tabs>
      <w:kinsoku w:val="0"/>
      <w:overflowPunct w:val="0"/>
      <w:autoSpaceDE w:val="0"/>
      <w:autoSpaceDN w:val="0"/>
      <w:snapToGrid w:val="0"/>
    </w:pPr>
    <w:rPr>
      <w:rFonts w:ascii="Courier New" w:eastAsia="ＭＳ 明朝" w:hAnsi="Courier New" w:cs="Courier New"/>
      <w:sz w:val="18"/>
      <w:szCs w:val="18"/>
    </w:rPr>
  </w:style>
  <w:style w:type="character" w:customStyle="1" w:styleId="MacroTextChar">
    <w:name w:val="Macro Text Char"/>
    <w:basedOn w:val="DefaultParagraphFont"/>
    <w:link w:val="MacroText"/>
    <w:uiPriority w:val="99"/>
    <w:rsid w:val="00F5390E"/>
    <w:rPr>
      <w:rFonts w:ascii="Courier New" w:eastAsia="ＭＳ 明朝" w:hAnsi="Courier New" w:cs="Courier New"/>
      <w:sz w:val="18"/>
      <w:szCs w:val="18"/>
    </w:rPr>
  </w:style>
  <w:style w:type="character" w:styleId="HTMLKeyboard">
    <w:name w:val="HTML Keyboard"/>
    <w:basedOn w:val="DefaultParagraphFont"/>
    <w:uiPriority w:val="99"/>
    <w:unhideWhenUsed/>
    <w:rsid w:val="00F5390E"/>
    <w:rPr>
      <w:rFonts w:ascii="Courier New" w:hAnsi="Courier New" w:cs="Courier New"/>
      <w:sz w:val="20"/>
      <w:szCs w:val="20"/>
    </w:rPr>
  </w:style>
  <w:style w:type="paragraph" w:customStyle="1" w:styleId="code">
    <w:name w:val="code"/>
    <w:basedOn w:val="Normal"/>
    <w:qFormat/>
    <w:rsid w:val="00EE4B3E"/>
    <w:pPr>
      <w:shd w:val="pct10" w:color="auto" w:fill="auto"/>
      <w:snapToGrid w:val="0"/>
      <w:ind w:leftChars="540" w:left="1134"/>
      <w:jc w:val="left"/>
    </w:pPr>
    <w:rPr>
      <w:rFonts w:ascii="Cascadia Mono Light" w:eastAsia="ＭＳ ゴシック" w:hAnsi="Cascadia Mono Light" w:cs="ＭＳ ゴシック"/>
      <w:snapToGrid w:val="0"/>
      <w:kern w:val="0"/>
      <w:sz w:val="20"/>
      <w14:numSpacing w14:val="tabular"/>
    </w:rPr>
  </w:style>
  <w:style w:type="paragraph" w:customStyle="1" w:styleId="warn1">
    <w:name w:val="warn1"/>
    <w:basedOn w:val="ListParagraph"/>
    <w:qFormat/>
    <w:rsid w:val="00C52D34"/>
    <w:pPr>
      <w:numPr>
        <w:numId w:val="16"/>
      </w:numPr>
      <w:shd w:val="pct10" w:color="auto" w:fill="auto"/>
      <w:tabs>
        <w:tab w:val="left" w:pos="1843"/>
      </w:tabs>
      <w:ind w:leftChars="418" w:left="992"/>
    </w:pPr>
  </w:style>
  <w:style w:type="paragraph" w:customStyle="1" w:styleId="body2">
    <w:name w:val="body2"/>
    <w:basedOn w:val="body1"/>
    <w:qFormat/>
    <w:rsid w:val="005C1D18"/>
    <w:pPr>
      <w:ind w:leftChars="607" w:left="1275"/>
    </w:pPr>
  </w:style>
  <w:style w:type="paragraph" w:customStyle="1" w:styleId="body3">
    <w:name w:val="body3"/>
    <w:basedOn w:val="body1"/>
    <w:qFormat/>
    <w:rsid w:val="005C1D18"/>
    <w:pPr>
      <w:ind w:leftChars="810" w:left="1701"/>
    </w:pPr>
  </w:style>
  <w:style w:type="paragraph" w:styleId="TOC1">
    <w:name w:val="toc 1"/>
    <w:basedOn w:val="Normal"/>
    <w:next w:val="Normal"/>
    <w:autoRedefine/>
    <w:uiPriority w:val="39"/>
    <w:unhideWhenUsed/>
    <w:rsid w:val="006970D4"/>
  </w:style>
  <w:style w:type="paragraph" w:styleId="TOC2">
    <w:name w:val="toc 2"/>
    <w:basedOn w:val="Normal"/>
    <w:next w:val="Normal"/>
    <w:autoRedefine/>
    <w:uiPriority w:val="39"/>
    <w:unhideWhenUsed/>
    <w:rsid w:val="006970D4"/>
    <w:pPr>
      <w:ind w:leftChars="100" w:left="210"/>
    </w:pPr>
  </w:style>
  <w:style w:type="paragraph" w:styleId="TOC3">
    <w:name w:val="toc 3"/>
    <w:basedOn w:val="Normal"/>
    <w:next w:val="Normal"/>
    <w:autoRedefine/>
    <w:uiPriority w:val="39"/>
    <w:unhideWhenUsed/>
    <w:rsid w:val="006970D4"/>
    <w:pPr>
      <w:ind w:leftChars="200" w:left="42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970D4"/>
    <w:pPr>
      <w:ind w:leftChars="300" w:left="63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970D4"/>
    <w:pPr>
      <w:ind w:leftChars="400" w:left="84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970D4"/>
    <w:pPr>
      <w:ind w:leftChars="500" w:left="105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970D4"/>
    <w:pPr>
      <w:ind w:leftChars="600" w:left="126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970D4"/>
    <w:pPr>
      <w:ind w:leftChars="700" w:left="147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970D4"/>
    <w:pPr>
      <w:ind w:leftChars="800" w:left="1680"/>
    </w:pPr>
  </w:style>
  <w:style w:type="paragraph" w:customStyle="1" w:styleId="BodyTitle">
    <w:name w:val="BodyTitle"/>
    <w:basedOn w:val="Normal"/>
    <w:qFormat/>
    <w:rsid w:val="00631C34"/>
    <w:rPr>
      <w:rFonts w:asciiTheme="majorHAnsi" w:eastAsiaTheme="majorEastAsia" w:hAnsiTheme="majorHAnsi"/>
    </w:rPr>
  </w:style>
  <w:style w:type="paragraph" w:customStyle="1" w:styleId="picture1">
    <w:name w:val="picture1"/>
    <w:basedOn w:val="body1"/>
    <w:next w:val="body1"/>
    <w:qFormat/>
    <w:rsid w:val="0051548A"/>
    <w:pPr>
      <w:keepNext/>
      <w:spacing w:before="30" w:after="20"/>
      <w:ind w:left="405"/>
      <w:jc w:val="center"/>
    </w:pPr>
    <w:rPr>
      <w:noProof/>
    </w:rPr>
  </w:style>
  <w:style w:type="character" w:customStyle="1" w:styleId="codespan">
    <w:name w:val="codespan"/>
    <w:basedOn w:val="DefaultParagraphFont"/>
    <w:uiPriority w:val="1"/>
    <w:qFormat/>
    <w:rsid w:val="00EE4B3E"/>
    <w:rPr>
      <w:rFonts w:ascii="Cascadia Mono Light" w:hAnsi="Cascadia Mono Light"/>
      <w:sz w:val="18"/>
      <w:shd w:val="clear" w:color="auto" w:fill="E7E6E6" w:themeFill="background2"/>
    </w:rPr>
  </w:style>
  <w:style w:type="paragraph" w:customStyle="1" w:styleId="numList1">
    <w:name w:val="numList1"/>
    <w:qFormat/>
    <w:rsid w:val="00D10CF2"/>
    <w:pPr>
      <w:numPr>
        <w:ilvl w:val="6"/>
        <w:numId w:val="1"/>
      </w:numPr>
    </w:pPr>
  </w:style>
  <w:style w:type="character" w:styleId="Hyperlink">
    <w:name w:val="Hyperlink"/>
    <w:basedOn w:val="DefaultParagraphFont"/>
    <w:uiPriority w:val="99"/>
    <w:unhideWhenUsed/>
    <w:rsid w:val="00D10CF2"/>
    <w:rPr>
      <w:color w:val="0563C1" w:themeColor="hyperlink"/>
      <w:u w:val="single"/>
    </w:rPr>
  </w:style>
  <w:style w:type="paragraph" w:customStyle="1" w:styleId="numList2">
    <w:name w:val="numList2"/>
    <w:basedOn w:val="Heading8"/>
    <w:qFormat/>
    <w:rsid w:val="00FD4482"/>
    <w:pPr>
      <w:numPr>
        <w:ilvl w:val="7"/>
        <w:numId w:val="1"/>
      </w:numPr>
    </w:pPr>
  </w:style>
  <w:style w:type="paragraph" w:customStyle="1" w:styleId="numList3">
    <w:name w:val="numList3"/>
    <w:qFormat/>
    <w:rsid w:val="00FD4482"/>
    <w:pPr>
      <w:numPr>
        <w:ilvl w:val="8"/>
        <w:numId w:val="1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034E1A"/>
    <w:rPr>
      <w:color w:val="605E5C"/>
      <w:shd w:val="clear" w:color="auto" w:fill="E1DFDD"/>
    </w:rPr>
  </w:style>
  <w:style w:type="paragraph" w:customStyle="1" w:styleId="wdHeading5">
    <w:name w:val="wdHeading5"/>
    <w:basedOn w:val="Normal"/>
    <w:qFormat/>
    <w:rsid w:val="00384599"/>
    <w:pPr>
      <w:ind w:leftChars="405" w:left="850"/>
    </w:pPr>
    <w:rPr>
      <w:rFonts w:asciiTheme="majorHAnsi" w:eastAsiaTheme="majorEastAsia" w:hAnsiTheme="majorHAnsi"/>
    </w:rPr>
  </w:style>
  <w:style w:type="paragraph" w:customStyle="1" w:styleId="division1">
    <w:name w:val="division1"/>
    <w:basedOn w:val="Normal"/>
    <w:qFormat/>
    <w:rsid w:val="00F3598A"/>
    <w:pPr>
      <w:jc w:val="right"/>
    </w:pPr>
  </w:style>
  <w:style w:type="paragraph" w:customStyle="1" w:styleId="date1">
    <w:name w:val="date1"/>
    <w:basedOn w:val="Normal"/>
    <w:qFormat/>
    <w:rsid w:val="00F3598A"/>
    <w:pPr>
      <w:jc w:val="right"/>
    </w:pPr>
  </w:style>
  <w:style w:type="paragraph" w:customStyle="1" w:styleId="author1">
    <w:name w:val="author1"/>
    <w:basedOn w:val="Normal"/>
    <w:qFormat/>
    <w:rsid w:val="00F3598A"/>
    <w:pPr>
      <w:jc w:val="right"/>
    </w:pPr>
  </w:style>
  <w:style w:type="character" w:styleId="PlaceholderText">
    <w:name w:val="Placeholder Text"/>
    <w:basedOn w:val="DefaultParagraphFont"/>
    <w:uiPriority w:val="99"/>
    <w:semiHidden/>
    <w:rsid w:val="009E6A1D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0D3496"/>
    <w:pPr>
      <w:keepLines/>
      <w:widowControl/>
      <w:numPr>
        <w:numId w:val="0"/>
      </w:numPr>
      <w:pBdr>
        <w:bottom w:val="none" w:sz="0" w:space="0" w:color="auto"/>
      </w:pBdr>
      <w:spacing w:beforeLines="0" w:before="240" w:afterLines="0" w:after="0" w:line="259" w:lineRule="auto"/>
      <w:jc w:val="left"/>
      <w:outlineLvl w:val="9"/>
    </w:pPr>
    <w:rPr>
      <w:rFonts w:cstheme="majorBidi"/>
      <w:color w:val="2F5496" w:themeColor="accent1" w:themeShade="BF"/>
      <w:kern w:val="0"/>
      <w:sz w:val="32"/>
      <w:szCs w:val="32"/>
    </w:rPr>
  </w:style>
  <w:style w:type="paragraph" w:customStyle="1" w:styleId="hh1">
    <w:name w:val="hh1"/>
    <w:basedOn w:val="Heading1"/>
    <w:qFormat/>
    <w:rsid w:val="005169DB"/>
  </w:style>
  <w:style w:type="paragraph" w:customStyle="1" w:styleId="hh2">
    <w:name w:val="hh2"/>
    <w:basedOn w:val="Heading2"/>
    <w:qFormat/>
    <w:rsid w:val="005169DB"/>
  </w:style>
  <w:style w:type="paragraph" w:customStyle="1" w:styleId="hh3">
    <w:name w:val="hh3"/>
    <w:basedOn w:val="Heading3"/>
    <w:qFormat/>
    <w:rsid w:val="005169DB"/>
  </w:style>
  <w:style w:type="paragraph" w:customStyle="1" w:styleId="hh4">
    <w:name w:val="hh4"/>
    <w:basedOn w:val="Heading4"/>
    <w:qFormat/>
    <w:rsid w:val="005169DB"/>
  </w:style>
  <w:style w:type="paragraph" w:customStyle="1" w:styleId="hh5">
    <w:name w:val="hh5"/>
    <w:basedOn w:val="Heading5"/>
    <w:qFormat/>
    <w:rsid w:val="005169DB"/>
  </w:style>
  <w:style w:type="paragraph" w:customStyle="1" w:styleId="hh6">
    <w:name w:val="hh6"/>
    <w:basedOn w:val="Heading6"/>
    <w:qFormat/>
    <w:rsid w:val="005169DB"/>
  </w:style>
  <w:style w:type="paragraph" w:customStyle="1" w:styleId="imageCaption">
    <w:name w:val="imageCaption"/>
    <w:basedOn w:val="Caption"/>
    <w:next w:val="body1"/>
    <w:qFormat/>
    <w:rsid w:val="000B54C0"/>
    <w:pPr>
      <w:jc w:val="center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0B54C0"/>
    <w:rPr>
      <w:b/>
      <w:bCs/>
    </w:rPr>
  </w:style>
  <w:style w:type="paragraph" w:customStyle="1" w:styleId="tableCaption">
    <w:name w:val="tableCaption"/>
    <w:basedOn w:val="imageCaption"/>
    <w:qFormat/>
    <w:rsid w:val="00600CDB"/>
    <w:pPr>
      <w:keepNext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846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5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3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5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22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ym-9-u0-xezct918ezscp.png"/><Relationship Id="rId16" Type="http://schemas.openxmlformats.org/officeDocument/2006/relationships/image" Target="media/cryl2htwmvjmd53t_wst1.png"/><Relationship Id="rId17" Type="http://schemas.openxmlformats.org/officeDocument/2006/relationships/image" Target="media/gwho-tv5jvpiqeauajgvo.png"/><Relationship Id="rId18" Type="http://schemas.openxmlformats.org/officeDocument/2006/relationships/image" Target="media/j04cczpxarqqpdj4_vgmb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ユーザー定義 2">
      <a:majorFont>
        <a:latin typeface="Arial"/>
        <a:ea typeface="游ゴシック"/>
        <a:cs typeface=""/>
      </a:majorFont>
      <a:minorFont>
        <a:latin typeface="Century"/>
        <a:ea typeface="游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2023-08-14T08:27:00Z</dcterms:created>
  <dcterms:modified xsi:type="dcterms:W3CDTF">2023-10-09T11:47:00Z</dcterms:modified>
</cp:coreProperties>
</file>