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6B7280"/>
          <w:sz w:val="20"/>
          <w:szCs w:val="20"/>
        </w:rPr>
        <w:t xml:space="preserve">UNIVERSIDAD PERUANA UNION</w:t>
      </w:r>
    </w:p>
    <w:p>
      <w:pPr>
        <w:spacing w:after="400" w:before="0"/>
        <w:jc w:val="center"/>
      </w:pPr>
      <w:r>
        <w:rPr>
          <w:rFonts w:ascii="Arial" w:cs="Arial" w:eastAsia="Arial" w:hAnsi="Arial"/>
          <w:color w:val="6B7280"/>
          <w:sz w:val="20"/>
          <w:szCs w:val="20"/>
        </w:rPr>
        <w:t xml:space="preserve">Direccion de Tecnologias de Informacion</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9386"/>
      </w:tblGrid>
      <w:tr>
        <w:tc>
          <w:tcPr>
            <w:tcBorders>
              <w:top w:val="none" w:color="FFFFFF" w:sz="0"/>
              <w:left w:val="none" w:color="FFFFFF" w:sz="0"/>
              <w:bottom w:val="none" w:color="FFFFFF" w:sz="0"/>
              <w:right w:val="none" w:color="FFFFFF" w:sz="0"/>
            </w:tcBorders>
            <w:shd w:fill="1E3A5F" w:val="clear"/>
            <w:tcMar>
              <w:top w:type="dxa" w:w="400"/>
              <w:left w:type="dxa" w:w="400"/>
              <w:bottom w:type="dxa" w:w="400"/>
              <w:right w:type="dxa" w:w="400"/>
            </w:tcMar>
          </w:tcPr>
          <w:p>
            <w:pPr>
              <w:spacing w:after="80" w:before="0"/>
              <w:jc w:val="center"/>
            </w:pPr>
            <w:r>
              <w:rPr>
                <w:rFonts w:ascii="Arial" w:cs="Arial" w:eastAsia="Arial" w:hAnsi="Arial"/>
                <w:b/>
                <w:bCs/>
                <w:color w:val="93C5FD"/>
                <w:sz w:val="24"/>
                <w:szCs w:val="24"/>
              </w:rPr>
              <w:t xml:space="preserve">DOCUMENTO DE PROYECTO</w:t>
            </w:r>
          </w:p>
          <w:p>
            <w:pPr>
              <w:spacing w:after="160" w:before="80"/>
              <w:jc w:val="center"/>
            </w:pPr>
            <w:r>
              <w:rPr>
                <w:rFonts w:ascii="Arial" w:cs="Arial" w:eastAsia="Arial" w:hAnsi="Arial"/>
                <w:b/>
                <w:bCs/>
                <w:color w:val="FFFFFF"/>
                <w:sz w:val="48"/>
                <w:szCs w:val="48"/>
              </w:rPr>
              <w:t xml:space="preserve">Sistema de Gobierno de Identidad y Acceso</w:t>
            </w:r>
          </w:p>
          <w:p>
            <w:pPr>
              <w:spacing w:after="200" w:before="0"/>
              <w:jc w:val="center"/>
            </w:pPr>
            <w:r>
              <w:rPr>
                <w:rFonts w:ascii="Arial" w:cs="Arial" w:eastAsia="Arial" w:hAnsi="Arial"/>
                <w:color w:val="BFDBFE"/>
                <w:sz w:val="28"/>
                <w:szCs w:val="28"/>
              </w:rPr>
              <w:t xml:space="preserve">Universidad Peruana Union — Tres Campus</w:t>
            </w:r>
          </w:p>
          <w:p>
            <w:pPr>
              <w:spacing w:after="0" w:before="0"/>
              <w:jc w:val="center"/>
            </w:pPr>
            <w:r>
              <w:rPr>
                <w:rFonts w:ascii="Arial" w:cs="Arial" w:eastAsia="Arial" w:hAnsi="Arial"/>
                <w:b/>
                <w:bCs/>
                <w:color w:val="93C5FD"/>
                <w:sz w:val="24"/>
                <w:szCs w:val="24"/>
              </w:rPr>
              <w:t xml:space="preserve">Codigo: DTI-IGA-2026-001</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346"/>
        <w:gridCol w:w="2346"/>
        <w:gridCol w:w="2346"/>
        <w:gridCol w:w="2348"/>
      </w:tblGrid>
      <w:tr>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35.450+</w:t>
            </w:r>
          </w:p>
          <w:p>
            <w:pPr>
              <w:jc w:val="center"/>
            </w:pPr>
            <w:r>
              <w:rPr>
                <w:rFonts w:ascii="Arial" w:cs="Arial" w:eastAsia="Arial" w:hAnsi="Arial"/>
                <w:color w:val="6B7280"/>
                <w:sz w:val="18"/>
                <w:szCs w:val="18"/>
              </w:rPr>
              <w:t xml:space="preserve">Identidades gestionadas</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 Campus</w:t>
            </w:r>
          </w:p>
          <w:p>
            <w:pPr>
              <w:jc w:val="center"/>
            </w:pPr>
            <w:r>
              <w:rPr>
                <w:rFonts w:ascii="Arial" w:cs="Arial" w:eastAsia="Arial" w:hAnsi="Arial"/>
                <w:color w:val="6B7280"/>
                <w:sz w:val="18"/>
                <w:szCs w:val="18"/>
              </w:rPr>
              <w:t xml:space="preserve">Lima | Juliaca | Tarapoto</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7 Sistemas</w:t>
            </w:r>
          </w:p>
          <w:p>
            <w:pPr>
              <w:jc w:val="center"/>
            </w:pPr>
            <w:r>
              <w:rPr>
                <w:rFonts w:ascii="Arial" w:cs="Arial" w:eastAsia="Arial" w:hAnsi="Arial"/>
                <w:color w:val="6B7280"/>
                <w:sz w:val="18"/>
                <w:szCs w:val="18"/>
              </w:rPr>
              <w:t xml:space="preserve">Integrados via IGA</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6A34A"/>
                <w:sz w:val="36"/>
                <w:szCs w:val="36"/>
              </w:rPr>
              <w:t xml:space="preserve">S/ 0</w:t>
            </w:r>
          </w:p>
          <w:p>
            <w:pPr>
              <w:jc w:val="center"/>
            </w:pPr>
            <w:r>
              <w:rPr>
                <w:rFonts w:ascii="Arial" w:cs="Arial" w:eastAsia="Arial" w:hAnsi="Arial"/>
                <w:color w:val="6B7280"/>
                <w:sz w:val="18"/>
                <w:szCs w:val="18"/>
              </w:rPr>
              <w:t xml:space="preserve">Costo adicional en software</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4693"/>
        <w:gridCol w:w="4693"/>
      </w:tblGrid>
      <w:tr>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Elaborado por</w:t>
            </w:r>
          </w:p>
        </w:tc>
      </w:tr>
      <w:tr>
        <w:tc>
          <w:tcPr>
            <w:tcW w:type="dxa" w:w="4693"/>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Barrantes
Director de Tecnologias de Informacion</w:t>
            </w:r>
          </w:p>
        </w:tc>
        <w:tc>
          <w:tcPr>
            <w:tcW w:type="dxa" w:w="4693"/>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Alberto Sanchez
Gestor del Proyecto IGA</w:t>
            </w:r>
          </w:p>
        </w:tc>
      </w:tr>
      <w:tr>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Version: 1.0 | Fecha: Mayo 2026</w:t>
            </w:r>
          </w:p>
        </w:tc>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Clasificacion: Uso interno DTI</w:t>
            </w:r>
          </w:p>
        </w:tc>
      </w:tr>
    </w:tbl>
    <w:p>
      <w:r>
        <w:br w:type="page"/>
      </w:r>
    </w:p>
    <w:p>
      <w:pPr>
        <w:pStyle w:val="Heading1"/>
      </w:pPr>
      <w:r>
        <w:rPr>
          <w:rFonts w:ascii="Arial" w:cs="Arial" w:eastAsia="Arial" w:hAnsi="Arial"/>
          <w:b/>
          <w:bCs/>
          <w:color w:val="1A3A5C"/>
          <w:sz w:val="36"/>
          <w:szCs w:val="36"/>
        </w:rPr>
        <w:t xml:space="preserve">Tabla de Contenido</w:t>
      </w:r>
    </w:p>
    <w:sdt>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A3A5C"/>
          <w:sz w:val="36"/>
          <w:szCs w:val="36"/>
        </w:rPr>
        <w:t xml:space="preserve">Ficha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gridSpan w:val="2"/>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INFORMACION GENERAL DEL PROYECTO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Codigo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DTI-IGA-2026-001</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Nombre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Sistema de Gobierno de Identidad y Acceso — UPeU</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Tipo de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Infraestructura TI / Plataforma institucional transversal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Unidad ejecutora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Direccion de Tecnologias de Informacion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Alcance geografico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Campus Lima | Campus Juliaca | Campus Tarapoto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Director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Barrantes — Director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CTO Lima</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Urquizo — Arquitecto de Soluciones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Infraestructura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Rudy Milan — Administrador de Infraestructura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Gestor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Alberto Sanchez — Especialista IGA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de inicio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Enero 2026 (Fase 0 iniciada)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estimada de finalizacion</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Diciembre 2026 (Fases 1-11 completas)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Presupuesto adicional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 0 (100% open source + recursos DTI existentes)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Costo por horas DTI</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~224 horas (estimado total Fases 1-13)</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Estado actual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 ejecucion — Fases 1-6 completadas, Fase 7 parcial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Version del documento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1.0 — Mayo 2026</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Clasificacion</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Uso interno DTI — No publicar externamente</w:t>
            </w:r>
          </w:p>
        </w:tc>
      </w:tr>
    </w:tbl>
    <w:p>
      <w:r>
        <w:t xml:space="preserve"/>
      </w:r>
    </w:p>
    <w:p>
      <w:pPr>
        <w:pStyle w:val="Heading1"/>
        <w:pageBreakBefore/>
      </w:pPr>
      <w:r>
        <w:rPr>
          <w:rFonts w:ascii="Arial" w:cs="Arial" w:eastAsia="Arial" w:hAnsi="Arial"/>
          <w:b/>
          <w:bCs/>
          <w:color w:val="1A3A5C"/>
          <w:sz w:val="36"/>
          <w:szCs w:val="36"/>
        </w:rPr>
        <w:t xml:space="preserve">Resumen Ejecutivo</w:t>
      </w:r>
    </w:p>
    <w:p>
      <w:pPr>
        <w:spacing w:after="120" w:before="80"/>
        <w:jc w:val="left"/>
      </w:pPr>
      <w:r>
        <w:rPr>
          <w:rFonts w:ascii="Arial" w:cs="Arial" w:eastAsia="Arial" w:hAnsi="Arial"/>
          <w:b w:val="false"/>
          <w:bCs w:val="false"/>
          <w:i w:val="false"/>
          <w:iCs w:val="false"/>
          <w:color w:val="111827"/>
          <w:sz w:val="20"/>
          <w:szCs w:val="20"/>
        </w:rPr>
        <w:t xml:space="preserve">La Universidad Peruana Union (UPeU) gestiona actualmente 35.450 identidades digitales distribuidas en tres campus (Lima, Juliaca y Tarapoto), con 7 sistemas institucionales criticos que operaban sin un modelo centralizado de identidad, acceso ni ciclo de vida de cuentas.</w:t>
      </w:r>
    </w:p>
    <w:p>
      <w:pPr>
        <w:spacing w:after="120" w:before="80"/>
        <w:jc w:val="left"/>
      </w:pPr>
      <w:r>
        <w:rPr>
          <w:rFonts w:ascii="Arial" w:cs="Arial" w:eastAsia="Arial" w:hAnsi="Arial"/>
          <w:b w:val="false"/>
          <w:bCs w:val="false"/>
          <w:i w:val="false"/>
          <w:iCs w:val="false"/>
          <w:color w:val="111827"/>
          <w:sz w:val="20"/>
          <w:szCs w:val="20"/>
        </w:rPr>
        <w:t xml:space="preserve">El presente proyecto, de codigo DTI-IGA-2026-001, establece una plataforma de Identity Governance &amp; Administration (IGA) basada en MidPoint 4.10.2 — plataforma open source certificada y con respaldo de Evolveum. A traves de esta plataforma, DTI ha unificado las fuentes de datos de identidad (Oracle LAMB ERP, Microsoft Entra ID, OpenLDAP, Koha), automatizado el ciclo de vida joiner-mover-leaver y provisionado cuentas en los sistemas integrados de forma trazable y auditada.</w:t>
      </w:r>
    </w:p>
    <w:p>
      <w:pPr>
        <w:spacing w:after="120" w:before="80"/>
        <w:jc w:val="left"/>
      </w:pPr>
      <w:r>
        <w:rPr>
          <w:rFonts w:ascii="Arial" w:cs="Arial" w:eastAsia="Arial" w:hAnsi="Arial"/>
          <w:b w:val="false"/>
          <w:bCs w:val="false"/>
          <w:i w:val="false"/>
          <w:iCs w:val="false"/>
          <w:color w:val="111827"/>
          <w:sz w:val="20"/>
          <w:szCs w:val="20"/>
        </w:rPr>
        <w:t xml:space="preserve">A la fecha (mayo 2026), el sistema opera en produccion con pleno exito: 37.491 identidades sincronizadas en el directorio OpenLDAP HA, 37.304 en Entra ID (solo lectura), 5.421 cuentas gestionadas en Koha, y un pipeline de reconciliacion automatico con reconocimiento de estados. El costo total de software adicional es cero (S/ 0), dado que toda la pila tecnologica es open source o ya esta licenciada institucionalmente.</w:t>
      </w:r>
    </w:p>
    <w:p>
      <w:pPr>
        <w:spacing w:after="120" w:before="80"/>
        <w:jc w:val="left"/>
      </w:pPr>
      <w:r>
        <w:rPr>
          <w:rFonts w:ascii="Arial" w:cs="Arial" w:eastAsia="Arial" w:hAnsi="Arial"/>
          <w:b w:val="false"/>
          <w:bCs w:val="false"/>
          <w:i w:val="false"/>
          <w:iCs w:val="false"/>
          <w:color w:val="111827"/>
          <w:sz w:val="20"/>
          <w:szCs w:val="20"/>
        </w:rPr>
        <w:t xml:space="preserve">El proyecto cumple con la Ley Universitaria 30220, la Ley de Proteccion de Datos 29733, los lineamientos SUNEDU y SINEACE para acreditacion, y los estandares internacionales ISO/IEC 27001:2022 e ISO/IEC 24760. Su culminacion habilitara a DTI para gestionar el ciclo de vida de identidades de forma automatica, reducir la superficie de ataque por cuentas huerfanas y demostrar controles de acceso ante auditores externos.</w:t>
      </w:r>
    </w:p>
    <w:p>
      <w:pPr>
        <w:spacing w:after="80" w:before="80"/>
        <w:jc w:val="left"/>
      </w:pPr>
      <w:r>
        <w:rPr>
          <w:rFonts w:ascii="Arial" w:cs="Arial" w:eastAsia="Arial" w:hAnsi="Arial"/>
          <w:b w:val="false"/>
          <w:bCs w:val="false"/>
          <w:i w:val="false"/>
          <w:iCs w:val="false"/>
          <w:color w:val="111827"/>
          <w:sz w:val="20"/>
          <w:szCs w:val="20"/>
        </w:rPr>
        <w:t xml:space="preserve">Se solicita la aprobacion formal del Director DTI para continuar con las fases pendientes (RBAC completo, validacion end-to-end, gobierno Entra ID y metricas COUNTER) y formalizar los recursos asignados.</w:t>
      </w:r>
    </w:p>
    <w:p>
      <w:pPr>
        <w:pStyle w:val="Heading1"/>
        <w:pageBreakBefore/>
      </w:pPr>
      <w:r>
        <w:rPr>
          <w:rFonts w:ascii="Arial" w:cs="Arial" w:eastAsia="Arial" w:hAnsi="Arial"/>
          <w:b/>
          <w:bCs/>
          <w:color w:val="1A3A5C"/>
          <w:sz w:val="36"/>
          <w:szCs w:val="36"/>
        </w:rPr>
        <w:t xml:space="preserve">1. Antecedentes y Situacion Actual</w:t>
      </w:r>
    </w:p>
    <w:p>
      <w:pPr>
        <w:pStyle w:val="Heading2"/>
      </w:pPr>
      <w:r>
        <w:rPr>
          <w:rFonts w:ascii="Arial" w:cs="Arial" w:eastAsia="Arial" w:hAnsi="Arial"/>
          <w:b/>
          <w:bCs/>
          <w:color w:val="111827"/>
          <w:sz w:val="28"/>
          <w:szCs w:val="28"/>
        </w:rPr>
        <w:t xml:space="preserve">1.1 Contexto institucional</w:t>
      </w:r>
    </w:p>
    <w:p>
      <w:pPr>
        <w:spacing w:after="80" w:before="80"/>
        <w:jc w:val="left"/>
      </w:pPr>
      <w:r>
        <w:rPr>
          <w:rFonts w:ascii="Arial" w:cs="Arial" w:eastAsia="Arial" w:hAnsi="Arial"/>
          <w:b w:val="false"/>
          <w:bCs w:val="false"/>
          <w:i w:val="false"/>
          <w:iCs w:val="false"/>
          <w:color w:val="111827"/>
          <w:sz w:val="20"/>
          <w:szCs w:val="20"/>
        </w:rPr>
        <w:t xml:space="preserve">La UPeU es una institucion de educacion superior adventista con presencia en tres campus: Lima (sede central), Juliaca (region andina) y Tarapoto (region amazonica). Cuenta con aproximadamente 8.000 estudiantes activos, 3.144 trabajadores (docentes y administrativos) y 30.491 egresados registrados.</w:t>
      </w:r>
    </w:p>
    <w:p>
      <w:pPr>
        <w:spacing w:after="80" w:before="80"/>
        <w:jc w:val="left"/>
      </w:pPr>
      <w:r>
        <w:rPr>
          <w:rFonts w:ascii="Arial" w:cs="Arial" w:eastAsia="Arial" w:hAnsi="Arial"/>
          <w:b w:val="false"/>
          <w:bCs w:val="false"/>
          <w:i w:val="false"/>
          <w:iCs w:val="false"/>
          <w:color w:val="111827"/>
          <w:sz w:val="20"/>
          <w:szCs w:val="20"/>
        </w:rPr>
        <w:t xml:space="preserve">La base de datos institucional de verdad es Oracle LAMB — un ERP propio desarrollado sobre Oracle 11g con cuatro esquemas principales: MOISES (recursos humanos), DAVID (academico), ELISEO (estructura organizacional) y JOSUE (finanzas). LAMB es la fuente autoritativa de toda identidad activa en UPeU.</w:t>
      </w:r>
    </w:p>
    <w:p>
      <w:pPr>
        <w:spacing w:after="80" w:before="80"/>
        <w:jc w:val="left"/>
      </w:pPr>
      <w:r>
        <w:rPr>
          <w:rFonts w:ascii="Arial" w:cs="Arial" w:eastAsia="Arial" w:hAnsi="Arial"/>
          <w:b w:val="false"/>
          <w:bCs w:val="false"/>
          <w:i w:val="false"/>
          <w:iCs w:val="false"/>
          <w:color w:val="111827"/>
          <w:sz w:val="20"/>
          <w:szCs w:val="20"/>
        </w:rPr>
        <w:t xml:space="preserve">Los sistemas institucionales que dependen de cuentas de usuario incluyen: Microsoft 365 (correo, Teams, OneDrive), Koha (sistema de biblioteca), Keycloak (SSO institucional), OpenLDAP (directorio de identidades), EJBCA (PKI corporativa), FreeRADIUS (Wi-Fi 802.1X) y repositorios academicos (DSpace, OJS).</w:t>
      </w:r>
    </w:p>
    <w:p>
      <w:pPr>
        <w:pStyle w:val="Heading2"/>
      </w:pPr>
      <w:r>
        <w:rPr>
          <w:rFonts w:ascii="Arial" w:cs="Arial" w:eastAsia="Arial" w:hAnsi="Arial"/>
          <w:b/>
          <w:bCs/>
          <w:color w:val="111827"/>
          <w:sz w:val="28"/>
          <w:szCs w:val="28"/>
        </w:rPr>
        <w:t xml:space="preserve">1.2 Problema identificado</w:t>
      </w:r>
    </w:p>
    <w:p>
      <w:pPr>
        <w:spacing w:after="80" w:before="80"/>
        <w:jc w:val="left"/>
      </w:pPr>
      <w:r>
        <w:rPr>
          <w:rFonts w:ascii="Arial" w:cs="Arial" w:eastAsia="Arial" w:hAnsi="Arial"/>
          <w:b w:val="false"/>
          <w:bCs w:val="false"/>
          <w:i w:val="false"/>
          <w:iCs w:val="false"/>
          <w:color w:val="111827"/>
          <w:sz w:val="20"/>
          <w:szCs w:val="20"/>
        </w:rPr>
        <w:t xml:space="preserve">Antes del inicio de este proyecto, la situacion era la siguiente:</w:t>
      </w:r>
    </w:p>
    <w:p>
      <w:pPr>
        <w:pStyle w:val="ListParagraph"/>
        <w:numPr>
          <w:ilvl w:val="0"/>
          <w:numId w:val="2"/>
        </w:numPr>
        <w:spacing w:after="40" w:before="40"/>
      </w:pPr>
      <w:r>
        <w:rPr>
          <w:rFonts w:ascii="Arial" w:cs="Arial" w:eastAsia="Arial" w:hAnsi="Arial"/>
          <w:color w:val="111827"/>
          <w:sz w:val="20"/>
          <w:szCs w:val="20"/>
        </w:rPr>
        <w:t xml:space="preserve">No existia un modelo centralizado de identidad institucional. Cada sistema administraba sus propias cuentas de forma aislada.</w:t>
      </w:r>
    </w:p>
    <w:p>
      <w:pPr>
        <w:pStyle w:val="ListParagraph"/>
        <w:numPr>
          <w:ilvl w:val="0"/>
          <w:numId w:val="2"/>
        </w:numPr>
        <w:spacing w:after="40" w:before="40"/>
      </w:pPr>
      <w:r>
        <w:rPr>
          <w:rFonts w:ascii="Arial" w:cs="Arial" w:eastAsia="Arial" w:hAnsi="Arial"/>
          <w:color w:val="111827"/>
          <w:sz w:val="20"/>
          <w:szCs w:val="20"/>
        </w:rPr>
        <w:t xml:space="preserve">La creacion de cuentas era manual y dependiente de solicitudes por correo o por sistema de tickets sin SLA definido.</w:t>
      </w:r>
    </w:p>
    <w:p>
      <w:pPr>
        <w:pStyle w:val="ListParagraph"/>
        <w:numPr>
          <w:ilvl w:val="0"/>
          <w:numId w:val="2"/>
        </w:numPr>
        <w:spacing w:after="40" w:before="40"/>
      </w:pPr>
      <w:r>
        <w:rPr>
          <w:rFonts w:ascii="Arial" w:cs="Arial" w:eastAsia="Arial" w:hAnsi="Arial"/>
          <w:color w:val="111827"/>
          <w:sz w:val="20"/>
          <w:szCs w:val="20"/>
        </w:rPr>
        <w:t xml:space="preserve">Cuando un trabajador terminaba su contrato o un estudiante concluia su ciclo, sus cuentas no se desactivaban automaticamente en los sistemas destino, generando cuentas huerfanas que representan un riesgo de seguridad (ISO 27001 A.5.15, A.8.2).</w:t>
      </w:r>
    </w:p>
    <w:p>
      <w:pPr>
        <w:pStyle w:val="ListParagraph"/>
        <w:numPr>
          <w:ilvl w:val="0"/>
          <w:numId w:val="2"/>
        </w:numPr>
        <w:spacing w:after="40" w:before="40"/>
      </w:pPr>
      <w:r>
        <w:rPr>
          <w:rFonts w:ascii="Arial" w:cs="Arial" w:eastAsia="Arial" w:hAnsi="Arial"/>
          <w:color w:val="111827"/>
          <w:sz w:val="20"/>
          <w:szCs w:val="20"/>
        </w:rPr>
        <w:t xml:space="preserve">No habia trazabilidad de quienes tenian acceso a que sistemas, ni evidencia auditable de los cambios.</w:t>
      </w:r>
    </w:p>
    <w:p>
      <w:pPr>
        <w:pStyle w:val="ListParagraph"/>
        <w:numPr>
          <w:ilvl w:val="0"/>
          <w:numId w:val="2"/>
        </w:numPr>
        <w:spacing w:after="40" w:before="40"/>
      </w:pPr>
      <w:r>
        <w:rPr>
          <w:rFonts w:ascii="Arial" w:cs="Arial" w:eastAsia="Arial" w:hAnsi="Arial"/>
          <w:color w:val="111827"/>
          <w:sz w:val="20"/>
          <w:szCs w:val="20"/>
        </w:rPr>
        <w:t xml:space="preserve">El proceso de alta de un docente nuevo podia tardar dias o semanas en propagarse a todos los sistemas que necesitaba.</w:t>
      </w:r>
    </w:p>
    <w:p>
      <w:pPr>
        <w:pStyle w:val="ListParagraph"/>
        <w:numPr>
          <w:ilvl w:val="0"/>
          <w:numId w:val="2"/>
        </w:numPr>
        <w:spacing w:after="40" w:before="40"/>
      </w:pPr>
      <w:r>
        <w:rPr>
          <w:rFonts w:ascii="Arial" w:cs="Arial" w:eastAsia="Arial" w:hAnsi="Arial"/>
          <w:color w:val="111827"/>
          <w:sz w:val="20"/>
          <w:szCs w:val="20"/>
        </w:rPr>
        <w:t xml:space="preserve">Las licencias M365 se asignaban manualmente sin reglas automaticas basadas en el tipo de vinculo institucional.</w:t>
      </w:r>
    </w:p>
    <w:p>
      <w:r>
        <w:t xml:space="preserve"/>
      </w:r>
    </w:p>
    <w:p>
      <w:pPr>
        <w:pStyle w:val="Heading2"/>
      </w:pPr>
      <w:r>
        <w:rPr>
          <w:rFonts w:ascii="Arial" w:cs="Arial" w:eastAsia="Arial" w:hAnsi="Arial"/>
          <w:b/>
          <w:bCs/>
          <w:color w:val="111827"/>
          <w:sz w:val="28"/>
          <w:szCs w:val="28"/>
        </w:rPr>
        <w:t xml:space="preserve">1.3 Riesgos operativos y regulatorios pre-proyecto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5000"/>
        <w:gridCol w:w="3960"/>
      </w:tblGrid>
      <w:tr>
        <w:tc>
          <w:tcPr>
            <w:tcW w:type="dxa" w:w="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Riesgo identificado</w:t>
            </w:r>
          </w:p>
        </w:tc>
        <w:tc>
          <w:tcPr>
            <w:tcW w:type="dxa" w:w="3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Marco regulatorio asociado</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de ex-empleados activas en M365 y Koha tras fin de contrato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A.5.15 / Ley 29733 Art. 9</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evidencia auditable de asignacion de permisos para SUNEDU/SINEACE</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SUNEDU CBC / SINEACE Standard 5.4</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Datos de identidad duplicados o inconsistentes entre Oracle LAMB y Entra ID</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24760 §4 / NIST 800-63-3</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4</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control de separacion de funciones (SoD) documentado</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A.8.2 / INCITS 359 RBAC</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por defecto sin principio de minimo privilegio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DS 029-2021-PCM / ISO 27001 A.8.3</w:t>
            </w:r>
          </w:p>
        </w:tc>
      </w:tr>
    </w:tbl>
    <w:p>
      <w:pPr>
        <w:pStyle w:val="Heading1"/>
        <w:pageBreakBefore/>
      </w:pPr>
      <w:r>
        <w:rPr>
          <w:rFonts w:ascii="Arial" w:cs="Arial" w:eastAsia="Arial" w:hAnsi="Arial"/>
          <w:b/>
          <w:bCs/>
          <w:color w:val="1A3A5C"/>
          <w:sz w:val="36"/>
          <w:szCs w:val="36"/>
        </w:rPr>
        <w:t xml:space="preserve">2. Marco Normativo y Regulatorio</w:t>
      </w:r>
    </w:p>
    <w:p>
      <w:pPr>
        <w:pStyle w:val="Heading2"/>
      </w:pPr>
      <w:r>
        <w:rPr>
          <w:rFonts w:ascii="Arial" w:cs="Arial" w:eastAsia="Arial" w:hAnsi="Arial"/>
          <w:b/>
          <w:bCs/>
          <w:color w:val="111827"/>
          <w:sz w:val="28"/>
          <w:szCs w:val="28"/>
        </w:rPr>
        <w:t xml:space="preserve">2.1 Marco legal peruano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Norma</w:t>
            </w:r>
          </w:p>
        </w:tc>
        <w:tc>
          <w:tcPr>
            <w:tcW w:type="dxa" w:w="4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Exigencia relevante</w:t>
            </w:r>
          </w:p>
        </w:tc>
        <w:tc>
          <w:tcPr>
            <w:tcW w:type="dxa" w:w="25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Cumplimiento IGA</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30220 — Ley Universitaria</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Transparencia en gestion y rendicion de cuentas. Registro de docentes y administrativos con evidencia.</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Trazabilidad completa de asignacion de cuentas y roles por tipo de vinculo.</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29733 — Datos Personales</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Tratamiento licito, seguro y con acceso minimo de datos personales (Art. 9, 13).</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Principio de minimo privilegio via RBAC. Registro de acceso a datos.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DS 029-2021-PCM — PNGIE</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Politica Nacional de Gobierno e Integridad. Seguridad de la informacion en entidades educativas.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A.5.15-A.5.18 ISO 27001 implementados.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DL 1350 / Regl. RENIEC</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Verificacion de identidad para acceso a sistemas publicos (DNI biometrico).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DNI como correlador canonico (schacPersonalUniqueID). IAL2 en acceso a sistemas criticos.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SUNEDU — Condiciones Basicas de Calidad (CBC)</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Dimension 5: docentes con perfil acreditado. Control de acceso a sistemas academicos.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employee-faculty y student con atributos LAMB verificados.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SINEACE — Estandares de Acreditacion</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Proceso 5.4: gestion de recursos humanos con evidencia de competencias y acceso.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 lifecycle automatico documentado en repositorio GitOps.</w:t>
            </w:r>
          </w:p>
        </w:tc>
      </w:tr>
    </w:tbl>
    <w:p>
      <w:r>
        <w:t xml:space="preserve"/>
      </w:r>
    </w:p>
    <w:p>
      <w:pPr>
        <w:pStyle w:val="Heading2"/>
      </w:pPr>
      <w:r>
        <w:rPr>
          <w:rFonts w:ascii="Arial" w:cs="Arial" w:eastAsia="Arial" w:hAnsi="Arial"/>
          <w:b/>
          <w:bCs/>
          <w:color w:val="111827"/>
          <w:sz w:val="28"/>
          <w:szCs w:val="28"/>
        </w:rPr>
        <w:t xml:space="preserve">2.2 Estandares internacionales adoptados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Estandar</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Version</w:t>
            </w:r>
          </w:p>
        </w:tc>
        <w:tc>
          <w:tcPr>
            <w:tcW w:type="dxa" w:w="5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Aplicacion en este proyecto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24760-1/2/3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2025</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Terminologia IGA (identity, attribute, IIA, lifecycle). Marco conceptual del modelo canonico.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27001:2022</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 (acceso), A.5.16 (identidad), A.5.17 (credenciales), A.5.18 (derechos), A.8.2 (privilegios), A.8.3 (minimo acceso).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SP 800-63-3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Rev.3</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Niveles IAL/AAL: IAL2 para docentes/estudiantes (DNI verificado), IAL3 para firma digital diplomas.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eduPerson 202208 v4.4.0</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federados: ePPN, ePSA, eduPersonUniqueId, eduPersonAffiliation, eduPersonOrcid.</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SCHAC 1.6.0</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2021</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academicos: schacHomeOrganization, schacPersonalUniqueID (DNI en URN), schacExpiryDate.</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SCIM 2.0 (RFC 7643/7644)</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2015</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user/group core + Enterprise extension. Base del schema canonico.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RBAC — INCITS 359</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R2022</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Cascada Business Role -&gt; Application Role -&gt; Entitlement. SoD policies.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REFEDS Research &amp; Scholarship</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Bundle de atributos eduPerson para federacion con Scopus, EBSCO, Web of Science, IEEE.</w:t>
            </w:r>
          </w:p>
        </w:tc>
      </w:tr>
    </w:tbl>
    <w:p>
      <w:pPr>
        <w:pStyle w:val="Heading2"/>
      </w:pPr>
      <w:r>
        <w:rPr>
          <w:rFonts w:ascii="Arial" w:cs="Arial" w:eastAsia="Arial" w:hAnsi="Arial"/>
          <w:b/>
          <w:bCs/>
          <w:color w:val="111827"/>
          <w:sz w:val="28"/>
          <w:szCs w:val="28"/>
        </w:rPr>
        <w:t xml:space="preserve">2.3 Consecuencias del incumplimiento</w:t>
      </w:r>
    </w:p>
    <w:p>
      <w:pPr>
        <w:spacing w:after="80" w:before="80"/>
        <w:jc w:val="left"/>
      </w:pPr>
      <w:r>
        <w:rPr>
          <w:rFonts w:ascii="Arial" w:cs="Arial" w:eastAsia="Arial" w:hAnsi="Arial"/>
          <w:b w:val="false"/>
          <w:bCs w:val="false"/>
          <w:i w:val="false"/>
          <w:iCs w:val="false"/>
          <w:color w:val="111827"/>
          <w:sz w:val="20"/>
          <w:szCs w:val="20"/>
        </w:rPr>
        <w:t xml:space="preserve">El incumplimiento de los marcos anteriores puede derivar en: (a) observaciones criticas en procesos de licenciamiento o acreditacion SUNEDU/SINEACE por ausencia de controles de acceso documentados; (b) sanciones bajo la Ley 29733 ante incidentes de filtracion de datos personales sin evidencia de tratamiento licito; y (c) riesgos de seguridad materializados por cuentas huerfanas o sin control de separacion de funciones. El proyecto IGA elimina de forma sistematica estos riesgos.</w:t>
      </w:r>
    </w:p>
    <w:p>
      <w:pPr>
        <w:pStyle w:val="Heading1"/>
        <w:pageBreakBefore/>
      </w:pPr>
      <w:r>
        <w:rPr>
          <w:rFonts w:ascii="Arial" w:cs="Arial" w:eastAsia="Arial" w:hAnsi="Arial"/>
          <w:b/>
          <w:bCs/>
          <w:color w:val="1A3A5C"/>
          <w:sz w:val="36"/>
          <w:szCs w:val="36"/>
        </w:rPr>
        <w:t xml:space="preserve">3. Justificacion del Proyecto</w:t>
      </w:r>
    </w:p>
    <w:p>
      <w:pPr>
        <w:pStyle w:val="Heading2"/>
      </w:pPr>
      <w:r>
        <w:rPr>
          <w:rFonts w:ascii="Arial" w:cs="Arial" w:eastAsia="Arial" w:hAnsi="Arial"/>
          <w:b/>
          <w:bCs/>
          <w:color w:val="111827"/>
          <w:sz w:val="28"/>
          <w:szCs w:val="28"/>
        </w:rPr>
        <w:t xml:space="preserve">3.1 Necesidad institucional</w:t>
      </w:r>
    </w:p>
    <w:p>
      <w:pPr>
        <w:spacing w:after="80" w:before="80"/>
        <w:jc w:val="left"/>
      </w:pPr>
      <w:r>
        <w:rPr>
          <w:rFonts w:ascii="Arial" w:cs="Arial" w:eastAsia="Arial" w:hAnsi="Arial"/>
          <w:b w:val="false"/>
          <w:bCs w:val="false"/>
          <w:i w:val="false"/>
          <w:iCs w:val="false"/>
          <w:color w:val="111827"/>
          <w:sz w:val="20"/>
          <w:szCs w:val="20"/>
        </w:rPr>
        <w:t xml:space="preserve">La UPeU ha crecido sostenidamente en los ultimos cinco anios, incorporando nuevos campus, programas de posgrado y herramientas digitales (M365, Koha, EJBCA, Wi-Fi 802.1X). Este crecimiento ha presionado al equipo DTI a gestionar identidades manualmente en cada sistema, sin visibilidad transversal ni automatizacion del ciclo de vida. La plataforma IGA resuleve estructuralmente este problema sin costo adicional de licencias.</w:t>
      </w:r>
    </w:p>
    <w:p>
      <w:pPr>
        <w:pStyle w:val="Heading2"/>
      </w:pPr>
      <w:r>
        <w:rPr>
          <w:rFonts w:ascii="Arial" w:cs="Arial" w:eastAsia="Arial" w:hAnsi="Arial"/>
          <w:b/>
          <w:bCs/>
          <w:color w:val="111827"/>
          <w:sz w:val="28"/>
          <w:szCs w:val="28"/>
        </w:rPr>
        <w:t xml:space="preserve">3.2 Analisis de alternativas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Alternativa</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 anual estimado</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Tiempo de implementacion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Observacion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SailPoint Identity Now (SaaS)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80.000 – 300.000/anio</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6-12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Costo prohibitivo para universidad peruana. Dependencia de vendor.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Saviynt Enterprise IGA (SaaS)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50.000 – 150.000/anio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4-8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Similar a SailPoint. Sin referencia local.</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Identity Manager</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100.000+ con soporte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12-18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Licenciamiento complejo. Requiere infraestructura adicional.</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Desarrollo a medida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30.000 – 60.000 por desarrollo + mantenimiento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12-24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Riesgo de calidad. Sin estandar. Deuda tecnica alta.</w:t>
            </w:r>
          </w:p>
        </w:tc>
      </w:tr>
      <w:tr>
        <w:tc>
          <w:tcPr>
            <w:tcW w:type="dxa" w:w="24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(ELEGIDO)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 0 software (open source GPLv3)</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6-10 meses</w:t>
            </w:r>
          </w:p>
        </w:tc>
        <w:tc>
          <w:tcPr>
            <w:tcW w:type="dxa" w:w="296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Estandar internacional. Soporte Evolveum. Stack open source alineado con politica UPeU.</w:t>
            </w:r>
          </w:p>
        </w:tc>
      </w:tr>
    </w:tbl>
    <w:p>
      <w:r>
        <w:t xml:space="preserve"/>
      </w:r>
    </w:p>
    <w:p>
      <w:pPr>
        <w:pStyle w:val="Heading2"/>
      </w:pPr>
      <w:r>
        <w:rPr>
          <w:rFonts w:ascii="Arial" w:cs="Arial" w:eastAsia="Arial" w:hAnsi="Arial"/>
          <w:b/>
          <w:bCs/>
          <w:color w:val="111827"/>
          <w:sz w:val="28"/>
          <w:szCs w:val="28"/>
        </w:rPr>
        <w:t xml:space="preserve">3.3 Valor estrategico</w:t>
      </w:r>
    </w:p>
    <w:p>
      <w:pPr>
        <w:pStyle w:val="ListParagraph"/>
        <w:numPr>
          <w:ilvl w:val="0"/>
          <w:numId w:val="2"/>
        </w:numPr>
        <w:spacing w:after="40" w:before="40"/>
      </w:pPr>
      <w:r>
        <w:rPr>
          <w:rFonts w:ascii="Arial" w:cs="Arial" w:eastAsia="Arial" w:hAnsi="Arial"/>
          <w:color w:val="111827"/>
          <w:sz w:val="20"/>
          <w:szCs w:val="20"/>
        </w:rPr>
        <w:t xml:space="preserve">Habilitador de acreditacion: los controles IGA son evidencia directa para indicadores SUNEDU CBC (Dimension 5) y SINEACE (Estandar 5.4).</w:t>
      </w:r>
    </w:p>
    <w:p>
      <w:pPr>
        <w:pStyle w:val="ListParagraph"/>
        <w:numPr>
          <w:ilvl w:val="0"/>
          <w:numId w:val="2"/>
        </w:numPr>
        <w:spacing w:after="40" w:before="40"/>
      </w:pPr>
      <w:r>
        <w:rPr>
          <w:rFonts w:ascii="Arial" w:cs="Arial" w:eastAsia="Arial" w:hAnsi="Arial"/>
          <w:color w:val="111827"/>
          <w:sz w:val="20"/>
          <w:szCs w:val="20"/>
        </w:rPr>
        <w:t xml:space="preserve">Modelo replicable: la arquitectura en capas (canonical/ + upeu/) permite que la inversion de DTI se convierta en un activo reutilizable para otras universidades peruanas sin costo adicional.</w:t>
      </w:r>
    </w:p>
    <w:p>
      <w:pPr>
        <w:pStyle w:val="ListParagraph"/>
        <w:numPr>
          <w:ilvl w:val="0"/>
          <w:numId w:val="2"/>
        </w:numPr>
        <w:spacing w:after="40" w:before="40"/>
      </w:pPr>
      <w:r>
        <w:rPr>
          <w:rFonts w:ascii="Arial" w:cs="Arial" w:eastAsia="Arial" w:hAnsi="Arial"/>
          <w:color w:val="111827"/>
          <w:sz w:val="20"/>
          <w:szCs w:val="20"/>
        </w:rPr>
        <w:t xml:space="preserve">Seguridad por diseno: elimina cuentas huerfanas sistematicamente, reduce superficie de ataque y permite demostracion de controles ante auditores ISO 27001.</w:t>
      </w:r>
    </w:p>
    <w:p>
      <w:pPr>
        <w:pStyle w:val="ListParagraph"/>
        <w:numPr>
          <w:ilvl w:val="0"/>
          <w:numId w:val="2"/>
        </w:numPr>
        <w:spacing w:after="40" w:before="40"/>
      </w:pPr>
      <w:r>
        <w:rPr>
          <w:rFonts w:ascii="Arial" w:cs="Arial" w:eastAsia="Arial" w:hAnsi="Arial"/>
          <w:color w:val="111827"/>
          <w:sz w:val="20"/>
          <w:szCs w:val="20"/>
        </w:rPr>
        <w:t xml:space="preserve">Autonomia tecnologica: sin dependencia de proveedor externo. DTI controla completamente el ciclo de vida de identidades.</w:t>
      </w:r>
    </w:p>
    <w:p>
      <w:pPr>
        <w:pStyle w:val="Heading1"/>
        <w:pageBreakBefore/>
      </w:pPr>
      <w:r>
        <w:rPr>
          <w:rFonts w:ascii="Arial" w:cs="Arial" w:eastAsia="Arial" w:hAnsi="Arial"/>
          <w:b/>
          <w:bCs/>
          <w:color w:val="1A3A5C"/>
          <w:sz w:val="36"/>
          <w:szCs w:val="36"/>
        </w:rPr>
        <w:t xml:space="preserve">4. Objetivos del Proyecto</w:t>
      </w:r>
    </w:p>
    <w:p>
      <w:pPr>
        <w:pStyle w:val="Heading2"/>
      </w:pPr>
      <w:r>
        <w:rPr>
          <w:rFonts w:ascii="Arial" w:cs="Arial" w:eastAsia="Arial" w:hAnsi="Arial"/>
          <w:b/>
          <w:bCs/>
          <w:color w:val="111827"/>
          <w:sz w:val="28"/>
          <w:szCs w:val="28"/>
        </w:rPr>
        <w:t xml:space="preserve">4.1 Objetivo general</w:t>
      </w:r>
    </w:p>
    <w:p>
      <w:pPr>
        <w:spacing w:after="160" w:before="80"/>
        <w:jc w:val="left"/>
      </w:pPr>
      <w:r>
        <w:rPr>
          <w:rFonts w:ascii="Arial" w:cs="Arial" w:eastAsia="Arial" w:hAnsi="Arial"/>
          <w:b w:val="false"/>
          <w:bCs w:val="false"/>
          <w:i w:val="false"/>
          <w:iCs w:val="false"/>
          <w:color w:val="111827"/>
          <w:sz w:val="20"/>
          <w:szCs w:val="20"/>
        </w:rPr>
        <w:t xml:space="preserve">Establecer y operar una plataforma de Identity Governance &amp; Administration (IGA) sobre MidPoint 4.10.2 que centralice la gestion del ciclo de vida de identidades de la UPeU — desde el ingreso hasta el egreso o cese — automatizando el aprovisionamiento de cuentas y permisos en los sistemas institucionales de los tres campus, con trazabilidad completa y conformidad con ISO 27001:2022 e ISO 24760.</w:t>
      </w:r>
    </w:p>
    <w:p>
      <w:pPr>
        <w:pStyle w:val="Heading2"/>
      </w:pPr>
      <w:r>
        <w:rPr>
          <w:rFonts w:ascii="Arial" w:cs="Arial" w:eastAsia="Arial" w:hAnsi="Arial"/>
          <w:b/>
          <w:bCs/>
          <w:color w:val="111827"/>
          <w:sz w:val="28"/>
          <w:szCs w:val="28"/>
        </w:rPr>
        <w:t xml:space="preserve">4.2 Objetivos especificos</w:t>
      </w:r>
    </w:p>
    <w:p>
      <w:pPr>
        <w:pStyle w:val="ListParagraph"/>
        <w:numPr>
          <w:ilvl w:val="0"/>
          <w:numId w:val="2"/>
        </w:numPr>
        <w:spacing w:after="40" w:before="40"/>
      </w:pPr>
      <w:r>
        <w:rPr>
          <w:rFonts w:ascii="Arial" w:cs="Arial" w:eastAsia="Arial" w:hAnsi="Arial"/>
          <w:color w:val="111827"/>
          <w:sz w:val="20"/>
          <w:szCs w:val="20"/>
        </w:rPr>
        <w:t xml:space="preserve">OE1. Centralizar y normalizar las identidades de 35.450 personas (egresados, docentes, administrativos y estudiantes) desde Oracle LAMB como fuente autoritativa, usando el modelo canonico eduPerson/SCHAC/SCIM.</w:t>
      </w:r>
    </w:p>
    <w:p>
      <w:pPr>
        <w:pStyle w:val="ListParagraph"/>
        <w:numPr>
          <w:ilvl w:val="0"/>
          <w:numId w:val="2"/>
        </w:numPr>
        <w:spacing w:after="40" w:before="40"/>
      </w:pPr>
      <w:r>
        <w:rPr>
          <w:rFonts w:ascii="Arial" w:cs="Arial" w:eastAsia="Arial" w:hAnsi="Arial"/>
          <w:color w:val="111827"/>
          <w:sz w:val="20"/>
          <w:szCs w:val="20"/>
        </w:rPr>
        <w:t xml:space="preserve">OE2. Automatizar el ciclo de vida joiner-mover-leaver: creacion, modificacion y desactivacion de cuentas en todos los sistemas integrados sin intervencion manual del personal DTI.</w:t>
      </w:r>
    </w:p>
    <w:p>
      <w:pPr>
        <w:pStyle w:val="ListParagraph"/>
        <w:numPr>
          <w:ilvl w:val="0"/>
          <w:numId w:val="2"/>
        </w:numPr>
        <w:spacing w:after="40" w:before="40"/>
      </w:pPr>
      <w:r>
        <w:rPr>
          <w:rFonts w:ascii="Arial" w:cs="Arial" w:eastAsia="Arial" w:hAnsi="Arial"/>
          <w:color w:val="111827"/>
          <w:sz w:val="20"/>
          <w:szCs w:val="20"/>
        </w:rPr>
        <w:t xml:space="preserve">OE3. Implementar un modelo RBAC en tres capas (Business Role -&gt; Application Role -&gt; Entitlement) que garantice el principio de minimo privilegio y separe funciones incompatibles (SoD), conforme a ISO 27001 A.8.2-A.8.3.</w:t>
      </w:r>
    </w:p>
    <w:p>
      <w:pPr>
        <w:pStyle w:val="ListParagraph"/>
        <w:numPr>
          <w:ilvl w:val="0"/>
          <w:numId w:val="2"/>
        </w:numPr>
        <w:spacing w:after="40" w:before="40"/>
      </w:pPr>
      <w:r>
        <w:rPr>
          <w:rFonts w:ascii="Arial" w:cs="Arial" w:eastAsia="Arial" w:hAnsi="Arial"/>
          <w:color w:val="111827"/>
          <w:sz w:val="20"/>
          <w:szCs w:val="20"/>
        </w:rPr>
        <w:t xml:space="preserve">OE4. Proveer un directorio OpenLDAP HA (N-Way Multimaster en dos nodos) como fuente federada de identidades para Keycloak, habilitando SSO con atributos eduPerson hacia bases de datos academicas (Scopus, EBSCO, Web of Science, IEEE).</w:t>
      </w:r>
    </w:p>
    <w:p>
      <w:pPr>
        <w:pStyle w:val="ListParagraph"/>
        <w:numPr>
          <w:ilvl w:val="0"/>
          <w:numId w:val="2"/>
        </w:numPr>
        <w:spacing w:after="40" w:before="40"/>
      </w:pPr>
      <w:r>
        <w:rPr>
          <w:rFonts w:ascii="Arial" w:cs="Arial" w:eastAsia="Arial" w:hAnsi="Arial"/>
          <w:color w:val="111827"/>
          <w:sz w:val="20"/>
          <w:szCs w:val="20"/>
        </w:rPr>
        <w:t xml:space="preserve">OE5. Sincronizar identidades con Microsoft Entra ID para gobernar licencias M365 (A1/A3) segun archetype institucional, eliminando asignaciones manuales y licencias huerfanas.</w:t>
      </w:r>
    </w:p>
    <w:p>
      <w:pPr>
        <w:pStyle w:val="ListParagraph"/>
        <w:numPr>
          <w:ilvl w:val="0"/>
          <w:numId w:val="2"/>
        </w:numPr>
        <w:spacing w:after="40" w:before="40"/>
      </w:pPr>
      <w:r>
        <w:rPr>
          <w:rFonts w:ascii="Arial" w:cs="Arial" w:eastAsia="Arial" w:hAnsi="Arial"/>
          <w:color w:val="111827"/>
          <w:sz w:val="20"/>
          <w:szCs w:val="20"/>
        </w:rPr>
        <w:t xml:space="preserve">OE6. Producir evidencia auditable del ciclo de vida de identidades y control de acceso, utilizable en procesos de licenciamiento SUNEDU, acreditacion SINEACE y auditorias ISO 27001.</w:t>
      </w:r>
    </w:p>
    <w:p>
      <w:pPr>
        <w:pStyle w:val="ListParagraph"/>
        <w:numPr>
          <w:ilvl w:val="0"/>
          <w:numId w:val="2"/>
        </w:numPr>
        <w:spacing w:after="40" w:before="40"/>
      </w:pPr>
      <w:r>
        <w:rPr>
          <w:rFonts w:ascii="Arial" w:cs="Arial" w:eastAsia="Arial" w:hAnsi="Arial"/>
          <w:color w:val="111827"/>
          <w:sz w:val="20"/>
          <w:szCs w:val="20"/>
        </w:rPr>
        <w:t xml:space="preserve">OE7. Establecer metricas COUNTER 5 de uso de bases de datos academicas con granularidad por facultad y programa academico, habilitando decision informada en renovacion de suscripciones.</w:t>
      </w:r>
    </w:p>
    <w:p>
      <w:pPr>
        <w:pStyle w:val="Heading1"/>
        <w:pageBreakBefore/>
      </w:pPr>
      <w:r>
        <w:rPr>
          <w:rFonts w:ascii="Arial" w:cs="Arial" w:eastAsia="Arial" w:hAnsi="Arial"/>
          <w:b/>
          <w:bCs/>
          <w:color w:val="1A3A5C"/>
          <w:sz w:val="36"/>
          <w:szCs w:val="36"/>
        </w:rPr>
        <w:t xml:space="preserve">5. Alcance del Proyecto</w:t>
      </w:r>
    </w:p>
    <w:p>
      <w:pPr>
        <w:pStyle w:val="Heading2"/>
      </w:pPr>
      <w:r>
        <w:rPr>
          <w:rFonts w:ascii="Arial" w:cs="Arial" w:eastAsia="Arial" w:hAnsi="Arial"/>
          <w:b/>
          <w:bCs/>
          <w:color w:val="111827"/>
          <w:sz w:val="28"/>
          <w:szCs w:val="28"/>
        </w:rPr>
        <w:t xml:space="preserve">5.1 Dentro del alcance</w:t>
      </w:r>
    </w:p>
    <w:p>
      <w:pPr>
        <w:pStyle w:val="ListParagraph"/>
        <w:numPr>
          <w:ilvl w:val="0"/>
          <w:numId w:val="2"/>
        </w:numPr>
        <w:spacing w:after="40" w:before="40"/>
      </w:pPr>
      <w:r>
        <w:rPr>
          <w:rFonts w:ascii="Arial" w:cs="Arial" w:eastAsia="Arial" w:hAnsi="Arial"/>
          <w:color w:val="111827"/>
          <w:sz w:val="20"/>
          <w:szCs w:val="20"/>
        </w:rPr>
        <w:t xml:space="preserve">Gestion de identidades de los 4 arquetipos activos: egresados (30.491), personal administrativo (3.144), estudiantes activos (1.679) y docentes (135).</w:t>
      </w:r>
    </w:p>
    <w:p>
      <w:pPr>
        <w:pStyle w:val="ListParagraph"/>
        <w:numPr>
          <w:ilvl w:val="0"/>
          <w:numId w:val="2"/>
        </w:numPr>
        <w:spacing w:after="40" w:before="40"/>
      </w:pPr>
      <w:r>
        <w:rPr>
          <w:rFonts w:ascii="Arial" w:cs="Arial" w:eastAsia="Arial" w:hAnsi="Arial"/>
          <w:color w:val="111827"/>
          <w:sz w:val="20"/>
          <w:szCs w:val="20"/>
        </w:rPr>
        <w:t xml:space="preserve">Integraciones activas: Oracle LAMB (x4 schemas), Microsoft Entra ID (lectura + escritura en Fase 12), OpenLDAP HA, Koha ILS, Keycloak SSO.</w:t>
      </w:r>
    </w:p>
    <w:p>
      <w:pPr>
        <w:pStyle w:val="ListParagraph"/>
        <w:numPr>
          <w:ilvl w:val="0"/>
          <w:numId w:val="2"/>
        </w:numPr>
        <w:spacing w:after="40" w:before="40"/>
      </w:pPr>
      <w:r>
        <w:rPr>
          <w:rFonts w:ascii="Arial" w:cs="Arial" w:eastAsia="Arial" w:hAnsi="Arial"/>
          <w:color w:val="111827"/>
          <w:sz w:val="20"/>
          <w:szCs w:val="20"/>
        </w:rPr>
        <w:t xml:space="preserve">Modelo RBAC con roles de negocio, aplicacion y atributos eduPerson/SCHAC para federacion SSO.</w:t>
      </w:r>
    </w:p>
    <w:p>
      <w:pPr>
        <w:pStyle w:val="ListParagraph"/>
        <w:numPr>
          <w:ilvl w:val="0"/>
          <w:numId w:val="2"/>
        </w:numPr>
        <w:spacing w:after="40" w:before="40"/>
      </w:pPr>
      <w:r>
        <w:rPr>
          <w:rFonts w:ascii="Arial" w:cs="Arial" w:eastAsia="Arial" w:hAnsi="Arial"/>
          <w:color w:val="111827"/>
          <w:sz w:val="20"/>
          <w:szCs w:val="20"/>
        </w:rPr>
        <w:t xml:space="preserve">Pipeline automatico de sincronizacion: Trigger Scanner (5 min), Validity Scanner (15 min), Reconcile LAMB (02:00 UTC diario).</w:t>
      </w:r>
    </w:p>
    <w:p>
      <w:pPr>
        <w:pStyle w:val="ListParagraph"/>
        <w:numPr>
          <w:ilvl w:val="0"/>
          <w:numId w:val="2"/>
        </w:numPr>
        <w:spacing w:after="40" w:before="40"/>
      </w:pPr>
      <w:r>
        <w:rPr>
          <w:rFonts w:ascii="Arial" w:cs="Arial" w:eastAsia="Arial" w:hAnsi="Arial"/>
          <w:color w:val="111827"/>
          <w:sz w:val="20"/>
          <w:szCs w:val="20"/>
        </w:rPr>
        <w:t xml:space="preserve">Gobierno Entra ID: estructura de Administrative Units por campus/sede, asignacion automatica de licencias M365 por archetype.</w:t>
      </w:r>
    </w:p>
    <w:p>
      <w:pPr>
        <w:pStyle w:val="ListParagraph"/>
        <w:numPr>
          <w:ilvl w:val="0"/>
          <w:numId w:val="2"/>
        </w:numPr>
        <w:spacing w:after="40" w:before="40"/>
      </w:pPr>
      <w:r>
        <w:rPr>
          <w:rFonts w:ascii="Arial" w:cs="Arial" w:eastAsia="Arial" w:hAnsi="Arial"/>
          <w:color w:val="111827"/>
          <w:sz w:val="20"/>
          <w:szCs w:val="20"/>
        </w:rPr>
        <w:t xml:space="preserve">Metricas COUNTER 5: harvest SUSHI de Scopus, EBSCO, Web of Science, IEEE Xplore, ProQuest.</w:t>
      </w:r>
    </w:p>
    <w:p>
      <w:pPr>
        <w:pStyle w:val="ListParagraph"/>
        <w:numPr>
          <w:ilvl w:val="0"/>
          <w:numId w:val="2"/>
        </w:numPr>
        <w:spacing w:after="40" w:before="40"/>
      </w:pPr>
      <w:r>
        <w:rPr>
          <w:rFonts w:ascii="Arial" w:cs="Arial" w:eastAsia="Arial" w:hAnsi="Arial"/>
          <w:color w:val="111827"/>
          <w:sz w:val="20"/>
          <w:szCs w:val="20"/>
        </w:rPr>
        <w:t xml:space="preserve">Repositorio GitOps (github.com/UPeU-Infra/midPointEcosystem) como fuente de verdad de toda la configuracion IGA.</w:t>
      </w:r>
    </w:p>
    <w:p>
      <w:r>
        <w:t xml:space="preserve"/>
      </w:r>
    </w:p>
    <w:p>
      <w:pPr>
        <w:pStyle w:val="Heading2"/>
      </w:pPr>
      <w:r>
        <w:rPr>
          <w:rFonts w:ascii="Arial" w:cs="Arial" w:eastAsia="Arial" w:hAnsi="Arial"/>
          <w:b/>
          <w:bCs/>
          <w:color w:val="111827"/>
          <w:sz w:val="28"/>
          <w:szCs w:val="28"/>
        </w:rPr>
        <w:t xml:space="preserve">5.2 Fuera del alcance</w:t>
      </w:r>
    </w:p>
    <w:p>
      <w:pPr>
        <w:pStyle w:val="ListParagraph"/>
        <w:numPr>
          <w:ilvl w:val="0"/>
          <w:numId w:val="2"/>
        </w:numPr>
        <w:spacing w:after="40" w:before="40"/>
      </w:pPr>
      <w:r>
        <w:rPr>
          <w:rFonts w:ascii="Arial" w:cs="Arial" w:eastAsia="Arial" w:hAnsi="Arial"/>
          <w:color w:val="111827"/>
          <w:sz w:val="20"/>
          <w:szCs w:val="20"/>
        </w:rPr>
        <w:t xml:space="preserve">El Active Directory UPeU actual (192.168.13.150 / lim.upeu.edu.pe) no se incluye en este proyecto. Esta mal estructurado y no tiene cobertura global. Una decision sobre AD nuevo se tomara en Fase 12 si Entra ID no cubre todos los casos de uso.</w:t>
      </w:r>
    </w:p>
    <w:p>
      <w:pPr>
        <w:pStyle w:val="ListParagraph"/>
        <w:numPr>
          <w:ilvl w:val="0"/>
          <w:numId w:val="2"/>
        </w:numPr>
        <w:spacing w:after="40" w:before="40"/>
      </w:pPr>
      <w:r>
        <w:rPr>
          <w:rFonts w:ascii="Arial" w:cs="Arial" w:eastAsia="Arial" w:hAnsi="Arial"/>
          <w:color w:val="111827"/>
          <w:sz w:val="20"/>
          <w:szCs w:val="20"/>
        </w:rPr>
        <w:t xml:space="preserve">Las cuentas privilegiadas de administradores de dominio son gestionadas directamente por David Urquizo, no por MidPoint.</w:t>
      </w:r>
    </w:p>
    <w:p>
      <w:pPr>
        <w:pStyle w:val="ListParagraph"/>
        <w:numPr>
          <w:ilvl w:val="0"/>
          <w:numId w:val="2"/>
        </w:numPr>
        <w:spacing w:after="40" w:before="40"/>
      </w:pPr>
      <w:r>
        <w:rPr>
          <w:rFonts w:ascii="Arial" w:cs="Arial" w:eastAsia="Arial" w:hAnsi="Arial"/>
          <w:color w:val="111827"/>
          <w:sz w:val="20"/>
          <w:szCs w:val="20"/>
        </w:rPr>
        <w:t xml:space="preserve">Google Classroom: los docentes usan cuentas personales de Google para Google Classroom. No existe un dominio institucional G Suite / Google Workspace en UPeU.</w:t>
      </w:r>
    </w:p>
    <w:p>
      <w:pPr>
        <w:pStyle w:val="ListParagraph"/>
        <w:numPr>
          <w:ilvl w:val="0"/>
          <w:numId w:val="2"/>
        </w:numPr>
        <w:spacing w:after="40" w:before="40"/>
      </w:pPr>
      <w:r>
        <w:rPr>
          <w:rFonts w:ascii="Arial" w:cs="Arial" w:eastAsia="Arial" w:hAnsi="Arial"/>
          <w:color w:val="111827"/>
          <w:sz w:val="20"/>
          <w:szCs w:val="20"/>
        </w:rPr>
        <w:t xml:space="preserve">Los 656 roles legacy de LAMB (ELISEO.LAMB_ROL) no se importan masivamente. Solo los que superen el role mining de Fase 7 seran gobernados por MidPoint.</w:t>
      </w:r>
    </w:p>
    <w:p>
      <w:pPr>
        <w:pStyle w:val="ListParagraph"/>
        <w:numPr>
          <w:ilvl w:val="0"/>
          <w:numId w:val="2"/>
        </w:numPr>
        <w:spacing w:after="40" w:before="40"/>
      </w:pPr>
      <w:r>
        <w:rPr>
          <w:rFonts w:ascii="Arial" w:cs="Arial" w:eastAsia="Arial" w:hAnsi="Arial"/>
          <w:color w:val="111827"/>
          <w:sz w:val="20"/>
          <w:szCs w:val="20"/>
        </w:rPr>
        <w:t xml:space="preserve">Sistemas de terceros sin API de aprovisionamiento estandar (SCIM/REST/LDAP).</w:t>
      </w:r>
    </w:p>
    <w:p>
      <w:pPr>
        <w:pStyle w:val="Heading1"/>
        <w:pageBreakBefore/>
      </w:pPr>
      <w:r>
        <w:rPr>
          <w:rFonts w:ascii="Arial" w:cs="Arial" w:eastAsia="Arial" w:hAnsi="Arial"/>
          <w:b/>
          <w:bCs/>
          <w:color w:val="1A3A5C"/>
          <w:sz w:val="36"/>
          <w:szCs w:val="36"/>
        </w:rPr>
        <w:t xml:space="preserve">6. Beneficiarios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Beneficiario</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Poblacion</w:t>
            </w:r>
          </w:p>
        </w:tc>
        <w:tc>
          <w:tcPr>
            <w:tcW w:type="dxa" w:w="5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Beneficio especifico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Estudiantes activos</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1.679</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 institucional activa desde el primer dia de matricula. Acceso inmediato a M365, Koha, LDAP y sistemas academicos. Sin demoras por gestion manual.</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docente</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135</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automatica al registrarse en LAMB. Licencia M365 A3 correcta por tipo de contrato (TC/TP). Acceso a bases cientificas via SSO SAML.</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administrativo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sistemas segun funcion real. Desactivacion automatica al cese. Sin cuentas huerfanas que representen riesgo.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Egresados registrados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30.491</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Correo alumni activo mientras figure en LAMB. Acceso al catalogo Koha y OPAC externo.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Equipo DTI</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~10</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Eliminacion de tareas manuales repetitivas. Visibilidad completa de identidades. Evidencia para auditorias sin recoleccion adicional.</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Autoridades academicas (Decanos, Directores)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~40</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Pueden delegar acceso a sistemas de sus unidades sin intervenir en la configuracion tecnica. Delegacion de administracion en Entra ID por AU (campus/sede).</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Auditores externos (SUNEDU/SINEACE/ISO)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(ocasional)</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reportes de ciclo de vida de identidades, registro de cambios y evidencia de controles de acceso exportable desde MidPoint.</w:t>
            </w:r>
          </w:p>
        </w:tc>
      </w:tr>
    </w:tbl>
    <w:p>
      <w:pPr>
        <w:pStyle w:val="Heading1"/>
        <w:pageBreakBefore/>
      </w:pPr>
      <w:r>
        <w:rPr>
          <w:rFonts w:ascii="Arial" w:cs="Arial" w:eastAsia="Arial" w:hAnsi="Arial"/>
          <w:b/>
          <w:bCs/>
          <w:color w:val="1A3A5C"/>
          <w:sz w:val="36"/>
          <w:szCs w:val="36"/>
        </w:rPr>
        <w:t xml:space="preserve">7. Descripcion Tecnica</w:t>
      </w:r>
    </w:p>
    <w:p>
      <w:pPr>
        <w:pStyle w:val="Heading2"/>
      </w:pPr>
      <w:r>
        <w:rPr>
          <w:rFonts w:ascii="Arial" w:cs="Arial" w:eastAsia="Arial" w:hAnsi="Arial"/>
          <w:b/>
          <w:bCs/>
          <w:color w:val="111827"/>
          <w:sz w:val="28"/>
          <w:szCs w:val="28"/>
        </w:rPr>
        <w:t xml:space="preserve">7.1 Arquitectura del sistema</w:t>
      </w:r>
    </w:p>
    <w:p>
      <w:pPr>
        <w:spacing w:after="80" w:before="80"/>
        <w:jc w:val="left"/>
      </w:pPr>
      <w:r>
        <w:rPr>
          <w:rFonts w:ascii="Arial" w:cs="Arial" w:eastAsia="Arial" w:hAnsi="Arial"/>
          <w:b w:val="false"/>
          <w:bCs w:val="false"/>
          <w:i w:val="false"/>
          <w:iCs w:val="false"/>
          <w:color w:val="111827"/>
          <w:sz w:val="20"/>
          <w:szCs w:val="20"/>
        </w:rPr>
        <w:t xml:space="preserve">El sistema IGA opera en una arquitectura en capas con MidPoint como nucleo orquestador:</w:t>
      </w:r>
    </w:p>
    <w:p>
      <w:pPr>
        <w:pStyle w:val="ListParagraph"/>
        <w:numPr>
          <w:ilvl w:val="0"/>
          <w:numId w:val="2"/>
        </w:numPr>
        <w:spacing w:after="40" w:before="40"/>
      </w:pPr>
      <w:r>
        <w:rPr>
          <w:rFonts w:ascii="Arial" w:cs="Arial" w:eastAsia="Arial" w:hAnsi="Arial"/>
          <w:color w:val="111827"/>
          <w:sz w:val="20"/>
          <w:szCs w:val="20"/>
        </w:rPr>
        <w:t xml:space="preserve">Capa de fuentes autoritativas (IIA): Oracle LAMB ERP — 4 schemas (MOISES/DAVID/ELISEO/JOSUE). Solo lectura. Fuente de verdad para datos de RR.HH. y academicos.</w:t>
      </w:r>
    </w:p>
    <w:p>
      <w:pPr>
        <w:pStyle w:val="ListParagraph"/>
        <w:numPr>
          <w:ilvl w:val="0"/>
          <w:numId w:val="2"/>
        </w:numPr>
        <w:spacing w:after="40" w:before="40"/>
      </w:pPr>
      <w:r>
        <w:rPr>
          <w:rFonts w:ascii="Arial" w:cs="Arial" w:eastAsia="Arial" w:hAnsi="Arial"/>
          <w:color w:val="111827"/>
          <w:sz w:val="20"/>
          <w:szCs w:val="20"/>
        </w:rPr>
        <w:t xml:space="preserve">Capa de gobierno (MidPoint 4.10.2): normaliza identidades, aplica object templates, asigna arquetipos y roles, ejecuta el ciclo de vida joiner-mover-leaver.</w:t>
      </w:r>
    </w:p>
    <w:p>
      <w:pPr>
        <w:pStyle w:val="ListParagraph"/>
        <w:numPr>
          <w:ilvl w:val="0"/>
          <w:numId w:val="2"/>
        </w:numPr>
        <w:spacing w:after="40" w:before="40"/>
      </w:pPr>
      <w:r>
        <w:rPr>
          <w:rFonts w:ascii="Arial" w:cs="Arial" w:eastAsia="Arial" w:hAnsi="Arial"/>
          <w:color w:val="111827"/>
          <w:sz w:val="20"/>
          <w:szCs w:val="20"/>
        </w:rPr>
        <w:t xml:space="preserve">Capa de directorio (OpenLDAP HA): dos nodos N-Way Multimaster (192.168.15.168 y .169). 37.491 identidades con atributos eduPerson/SCHAC completos. Consumido por Keycloak via User Federation.</w:t>
      </w:r>
    </w:p>
    <w:p>
      <w:pPr>
        <w:pStyle w:val="ListParagraph"/>
        <w:numPr>
          <w:ilvl w:val="0"/>
          <w:numId w:val="2"/>
        </w:numPr>
        <w:spacing w:after="40" w:before="40"/>
      </w:pPr>
      <w:r>
        <w:rPr>
          <w:rFonts w:ascii="Arial" w:cs="Arial" w:eastAsia="Arial" w:hAnsi="Arial"/>
          <w:color w:val="111827"/>
          <w:sz w:val="20"/>
          <w:szCs w:val="20"/>
        </w:rPr>
        <w:t xml:space="preserve">Capa de SSO (Keycloak 26.6.1): actua como Identity Provider SAML/OIDC. Lee de OpenLDAP via User Federation. Provee SSO a sistemas internos y vendores academicos externos.</w:t>
      </w:r>
    </w:p>
    <w:p>
      <w:pPr>
        <w:pStyle w:val="ListParagraph"/>
        <w:numPr>
          <w:ilvl w:val="0"/>
          <w:numId w:val="2"/>
        </w:numPr>
        <w:spacing w:after="40" w:before="40"/>
      </w:pPr>
      <w:r>
        <w:rPr>
          <w:rFonts w:ascii="Arial" w:cs="Arial" w:eastAsia="Arial" w:hAnsi="Arial"/>
          <w:color w:val="111827"/>
          <w:sz w:val="20"/>
          <w:szCs w:val="20"/>
        </w:rPr>
        <w:t xml:space="preserve">Capa de nube (Microsoft Entra ID): 37.304 identidades sincronizadas (lectura). Gobernara licencias M365 A1/A3 en Fase 12.</w:t>
      </w:r>
    </w:p>
    <w:p>
      <w:pPr>
        <w:pStyle w:val="ListParagraph"/>
        <w:numPr>
          <w:ilvl w:val="0"/>
          <w:numId w:val="2"/>
        </w:numPr>
        <w:spacing w:after="40" w:before="40"/>
      </w:pPr>
      <w:r>
        <w:rPr>
          <w:rFonts w:ascii="Arial" w:cs="Arial" w:eastAsia="Arial" w:hAnsi="Arial"/>
          <w:color w:val="111827"/>
          <w:sz w:val="20"/>
          <w:szCs w:val="20"/>
        </w:rPr>
        <w:t xml:space="preserve">Capa de aplicaciones (Koha ILS): 5.421 cuentas gestionadas via conector Java ConnId v1.2.1.</w:t>
      </w:r>
    </w:p>
    <w:p>
      <w:r>
        <w:t xml:space="preserve"/>
      </w:r>
    </w:p>
    <w:p>
      <w:pPr>
        <w:pStyle w:val="Heading2"/>
      </w:pPr>
      <w:r>
        <w:rPr>
          <w:rFonts w:ascii="Arial" w:cs="Arial" w:eastAsia="Arial" w:hAnsi="Arial"/>
          <w:b/>
          <w:bCs/>
          <w:color w:val="111827"/>
          <w:sz w:val="28"/>
          <w:szCs w:val="28"/>
        </w:rPr>
        <w:t xml:space="preserve">7.2 Modelo de identidad canonico</w:t>
      </w:r>
    </w:p>
    <w:p>
      <w:pPr>
        <w:spacing w:after="80" w:before="80"/>
        <w:jc w:val="left"/>
      </w:pPr>
      <w:r>
        <w:rPr>
          <w:rFonts w:ascii="Arial" w:cs="Arial" w:eastAsia="Arial" w:hAnsi="Arial"/>
          <w:b w:val="false"/>
          <w:bCs w:val="false"/>
          <w:i w:val="false"/>
          <w:iCs w:val="false"/>
          <w:color w:val="111827"/>
          <w:sz w:val="20"/>
          <w:szCs w:val="20"/>
        </w:rPr>
        <w:t xml:space="preserve">El modelo de identidad sigue los estandares ISO/IEC 24760, eduPerson 202208 y SCHAC 1.6.0, con 8 arquetipos de usuario y 8 de organizacion: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Archetype</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Cantidad PROD</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IIA principal</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eduPersonAffiliation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alumni (egresados)</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30.491</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alum</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employee-staff (personal administrativo)</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MOISES/ELISEO</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staff,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student (estudiantes activos)</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1.679</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student, member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employee-faculty (docentes)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135</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MOISES/ENOC</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faculty,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affiliate-* / contractor / service-account</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0 (pendiente poblar)</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manual / ITSM</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affiliate / n/a</w:t>
            </w:r>
          </w:p>
        </w:tc>
      </w:tr>
    </w:tbl>
    <w:p>
      <w:r>
        <w:t xml:space="preserve"/>
      </w:r>
    </w:p>
    <w:p>
      <w:pPr>
        <w:pStyle w:val="Heading2"/>
      </w:pPr>
      <w:r>
        <w:rPr>
          <w:rFonts w:ascii="Arial" w:cs="Arial" w:eastAsia="Arial" w:hAnsi="Arial"/>
          <w:b/>
          <w:bCs/>
          <w:color w:val="111827"/>
          <w:sz w:val="28"/>
          <w:szCs w:val="28"/>
        </w:rPr>
        <w:t xml:space="preserve">7.3 Integraciones activas (estado mayo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600"/>
        <w:gridCol w:w="3760"/>
      </w:tblGrid>
      <w:tr>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Sistema / Resource</w:t>
            </w:r>
          </w:p>
        </w:tc>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Sombras</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Tipo</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Notas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Trabajadores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3.802</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Correlacion por lambDocNum. Cron 02:00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Estudiantes v3</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1.679</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Matricula activa vigente.</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Egresados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30.629</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Correlacion por taxId.</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LAMB-Oracle-Posiciones</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738</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Estructura organizacional (orgs/cargos).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Koha ILS</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5.421</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Lectura/Escritura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Conector Java ConnId v1.2.1. Cron 03:00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HA (LDAP-IdentityCache-UPeU)</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37.491</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Escritura (outbound)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N-Way Multimaster. eduPerson/SCHAC. Keycloak User Federation activa.</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Microsoft Entra ID (UPEU-EntraID-Graph)</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37.304</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(solo lectura)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Graph API v1.0. Escritura diferida a Fase 12 (permisos pendientes David Urquizo).</w:t>
            </w:r>
          </w:p>
        </w:tc>
      </w:tr>
    </w:tbl>
    <w:p>
      <w:r>
        <w:t xml:space="preserve"/>
      </w:r>
    </w:p>
    <w:p>
      <w:pPr>
        <w:pStyle w:val="Heading2"/>
      </w:pPr>
      <w:r>
        <w:rPr>
          <w:rFonts w:ascii="Arial" w:cs="Arial" w:eastAsia="Arial" w:hAnsi="Arial"/>
          <w:b/>
          <w:bCs/>
          <w:color w:val="111827"/>
          <w:sz w:val="28"/>
          <w:szCs w:val="28"/>
        </w:rPr>
        <w:t xml:space="preserve">7.4 Infraestructura y GitOps</w:t>
      </w:r>
    </w:p>
    <w:p>
      <w:pPr>
        <w:spacing w:after="80" w:before="80"/>
        <w:jc w:val="left"/>
      </w:pPr>
      <w:r>
        <w:rPr>
          <w:rFonts w:ascii="Arial" w:cs="Arial" w:eastAsia="Arial" w:hAnsi="Arial"/>
          <w:b w:val="false"/>
          <w:bCs w:val="false"/>
          <w:i w:val="false"/>
          <w:iCs w:val="false"/>
          <w:color w:val="111827"/>
          <w:sz w:val="20"/>
          <w:szCs w:val="20"/>
        </w:rPr>
        <w:t xml:space="preserve">MidPoint PROD se ejecuta en el servidor 192.168.15.166 (Ubuntu 22.04, Docker, 9.7 GB RAM). Toda la configuracion (resources, archetypes, roles, object templates, schemas) se versiona en el repositorio github.com/UPeU-Infra/midPointEcosystem con una estructura en dos capas:</w:t>
      </w:r>
    </w:p>
    <w:p>
      <w:pPr>
        <w:pStyle w:val="ListParagraph"/>
        <w:numPr>
          <w:ilvl w:val="0"/>
          <w:numId w:val="2"/>
        </w:numPr>
        <w:spacing w:after="40" w:before="40"/>
      </w:pPr>
      <w:r>
        <w:rPr>
          <w:rFonts w:ascii="Arial" w:cs="Arial" w:eastAsia="Arial" w:hAnsi="Arial"/>
          <w:color w:val="111827"/>
          <w:sz w:val="20"/>
          <w:szCs w:val="20"/>
        </w:rPr>
        <w:t xml:space="preserve">canonical/: modelo generico reutilizable por cualquier universidad peruana (archetypes, schemas eduPerson/SCHAC, roles, templates).</w:t>
      </w:r>
    </w:p>
    <w:p>
      <w:pPr>
        <w:pStyle w:val="ListParagraph"/>
        <w:numPr>
          <w:ilvl w:val="0"/>
          <w:numId w:val="2"/>
        </w:numPr>
        <w:spacing w:after="40" w:before="40"/>
      </w:pPr>
      <w:r>
        <w:rPr>
          <w:rFonts w:ascii="Arial" w:cs="Arial" w:eastAsia="Arial" w:hAnsi="Arial"/>
          <w:color w:val="111827"/>
          <w:sz w:val="20"/>
          <w:szCs w:val="20"/>
        </w:rPr>
        <w:t xml:space="preserve">upeu/: overlay especifico UPeU (resources Oracle LAMB, orgs bootstrap, catálogos de sedes/facultades, roles MOF/GOV).</w:t>
      </w:r>
    </w:p>
    <w:p>
      <w:pPr>
        <w:spacing w:after="80" w:before="80"/>
        <w:jc w:val="left"/>
      </w:pPr>
      <w:r>
        <w:rPr>
          <w:rFonts w:ascii="Arial" w:cs="Arial" w:eastAsia="Arial" w:hAnsi="Arial"/>
          <w:b w:val="false"/>
          <w:bCs w:val="false"/>
          <w:i w:val="false"/>
          <w:iCs w:val="false"/>
          <w:color w:val="111827"/>
          <w:sz w:val="20"/>
          <w:szCs w:val="20"/>
        </w:rPr>
        <w:t xml:space="preserve">El flujo de cambios es siempre: modificar local -&gt; commit -&gt; push -&gt; git pull en servidor PROD -&gt; aplicar via REST API. Nunca se usa scp.</w:t>
      </w:r>
    </w:p>
    <w:p>
      <w:pPr>
        <w:pStyle w:val="Heading1"/>
        <w:pageBreakBefore/>
      </w:pPr>
      <w:r>
        <w:rPr>
          <w:rFonts w:ascii="Arial" w:cs="Arial" w:eastAsia="Arial" w:hAnsi="Arial"/>
          <w:b/>
          <w:bCs/>
          <w:color w:val="1A3A5C"/>
          <w:sz w:val="36"/>
          <w:szCs w:val="36"/>
        </w:rPr>
        <w:t xml:space="preserve">8. Plan de Trabajo</w:t>
      </w:r>
    </w:p>
    <w:p>
      <w:pPr>
        <w:pStyle w:val="Heading2"/>
      </w:pPr>
      <w:r>
        <w:rPr>
          <w:rFonts w:ascii="Arial" w:cs="Arial" w:eastAsia="Arial" w:hAnsi="Arial"/>
          <w:b/>
          <w:bCs/>
          <w:color w:val="111827"/>
          <w:sz w:val="28"/>
          <w:szCs w:val="28"/>
        </w:rPr>
        <w:t xml:space="preserve">8.1 Metodologia</w:t>
      </w:r>
    </w:p>
    <w:p>
      <w:pPr>
        <w:spacing w:after="80" w:before="80"/>
        <w:jc w:val="left"/>
      </w:pPr>
      <w:r>
        <w:rPr>
          <w:rFonts w:ascii="Arial" w:cs="Arial" w:eastAsia="Arial" w:hAnsi="Arial"/>
          <w:b w:val="false"/>
          <w:bCs w:val="false"/>
          <w:i w:val="false"/>
          <w:iCs w:val="false"/>
          <w:color w:val="111827"/>
          <w:sz w:val="20"/>
          <w:szCs w:val="20"/>
        </w:rPr>
        <w:t xml:space="preserve">El proyecto sigue la metodologia "First Steps" de Evolveum para implementaciones MidPoint, adaptada al contexto universitario peruano. Se trabaja en sprints de dos semanas con entregas verificables en cada fase. La regla cardinal es: todo cambio se prueba en MidPoint DEV (192.168.15.230) antes de aplicar en PROD. El repositorio GitOps es la unica fuente de verdad de la configuracion.</w:t>
      </w:r>
    </w:p>
    <w:p>
      <w:pPr>
        <w:pStyle w:val="Heading2"/>
      </w:pPr>
      <w:r>
        <w:rPr>
          <w:rFonts w:ascii="Arial" w:cs="Arial" w:eastAsia="Arial" w:hAnsi="Arial"/>
          <w:b/>
          <w:bCs/>
          <w:color w:val="111827"/>
          <w:sz w:val="28"/>
          <w:szCs w:val="28"/>
        </w:rPr>
        <w:t xml:space="preserve">8.2 Cronograma de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700"/>
        <w:gridCol w:w="700"/>
        <w:gridCol w:w="700"/>
        <w:gridCol w:w="700"/>
        <w:gridCol w:w="1760"/>
      </w:tblGrid>
      <w:tr>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Fase</w:t>
            </w:r>
          </w:p>
        </w:tc>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Descripcion</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Q1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Q2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Q3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Q4 2026</w:t>
            </w:r>
          </w:p>
        </w:tc>
        <w:tc>
          <w:tcPr>
            <w:tcW w:type="dxa" w:w="1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Refactor doctrinal y skills IGA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Schema canonico v3.0 (eduPerson/SCHAC/SCIM)</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EN PROD</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2</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y org tree (18 custom)</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3</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(base + 4 por archetype)</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4</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N-Way Multimaster</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5</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READ (LAMB x4 + Koha + Entra ID)</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 Entra ID incompleto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6</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WRITE -&gt; OpenLDAP (37.491 sombras)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VALIDADA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7</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bottom-up (72 roles, role mining LAMB)</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CA8A04"/>
                <w:sz w:val="18"/>
                <w:szCs w:val="18"/>
              </w:rPr>
              <w:t xml:space="preserve">PARCIAL (39 activos)</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8</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Replanteo de documentacion interna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9</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Validacion end-to-end con piloto real</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Deploy PROD formal post-validacion</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PROD YA OPERATIVO</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11</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Productizacion SciBack (canon reutilizable)</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12</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completo Entra ID (writes + AUs)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DC2626"/>
                <w:sz w:val="18"/>
                <w:szCs w:val="18"/>
              </w:rPr>
              <w:t xml:space="preserve">DIAGNOSTICO LISTO / BLOQUEADO</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13</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Metricas COUNTER 5 bases academicas</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bl>
    <w:p>
      <w:r>
        <w:t xml:space="preserve"/>
      </w:r>
    </w:p>
    <w:p>
      <w:pPr>
        <w:pStyle w:val="Heading2"/>
      </w:pPr>
      <w:r>
        <w:rPr>
          <w:rFonts w:ascii="Arial" w:cs="Arial" w:eastAsia="Arial" w:hAnsi="Arial"/>
          <w:b/>
          <w:bCs/>
          <w:color w:val="111827"/>
          <w:sz w:val="28"/>
          <w:szCs w:val="28"/>
        </w:rPr>
        <w:t xml:space="preserve">8.3 Hitos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Fecha</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Hito</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Entregable</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Ene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canonico doctrinal publicado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Skills IGA + documento ARCHITECTURE.md</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Feb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MidPoint PROD con schema + archetipos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35.450 usuarios en PROD (verificado BD)</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Mar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 Keycloak User Federation</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37.491 sombras LDAP; Keycloak SSO activo</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Abr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Oracle LAMB + Koha + Entra ID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 resources activos; pipeline de reconciliacion</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May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per-archetype + repo 100% en sync</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templates activos; conector Koha v1.2.1</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Jul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completo + SoD policies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72+ roles; 2 reglas SoD ISO 27001 A.8.2</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Sep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Validacion end-to-end con 3 usuarios piloto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Reporte de evidencia para SUNEDU/SINEACE</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Nov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Entra ID activado (writes + AUs)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Licencias M365 por archetype automatizadas</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Dic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Metricas COUNTER 5 operativas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Dashboard Grafana por facultad/programa</w:t>
            </w:r>
          </w:p>
        </w:tc>
      </w:tr>
    </w:tbl>
    <w:p>
      <w:pPr>
        <w:pStyle w:val="Heading2"/>
      </w:pPr>
      <w:r>
        <w:rPr>
          <w:rFonts w:ascii="Arial" w:cs="Arial" w:eastAsia="Arial" w:hAnsi="Arial"/>
          <w:b/>
          <w:bCs/>
          <w:color w:val="111827"/>
          <w:sz w:val="28"/>
          <w:szCs w:val="28"/>
        </w:rPr>
        <w:t xml:space="preserve">8.4 Bloqueantes activos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400"/>
        <w:gridCol w:w="2760"/>
      </w:tblGrid>
      <w:tr>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Bloqueante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Afecta a</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Accion requerida</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B3</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 permisos Entra ID faltantes (AdministrativeUnit.Read.All, RoleManagement.Read.Directory, AuditLog.Read.All, Application.Read.All)</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5.5 + Fase 12</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otorgar permisos en tenant UPeU</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B4</w:t>
            </w:r>
          </w:p>
        </w:tc>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Credenciales Graph API write para tenant UPeU real</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registrar app con scopes write</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B7</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Convenio RENIEC para validacion biometrica (IAL 3)</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Firma de diplomas SUNEDU (futuro)</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Area Juridica UPeU (no critico para piloto)</w:t>
            </w:r>
          </w:p>
        </w:tc>
      </w:tr>
    </w:tbl>
    <w:p>
      <w:pPr>
        <w:pStyle w:val="Heading1"/>
        <w:pageBreakBefore/>
      </w:pPr>
      <w:r>
        <w:rPr>
          <w:rFonts w:ascii="Arial" w:cs="Arial" w:eastAsia="Arial" w:hAnsi="Arial"/>
          <w:b/>
          <w:bCs/>
          <w:color w:val="1A3A5C"/>
          <w:sz w:val="36"/>
          <w:szCs w:val="36"/>
        </w:rPr>
        <w:t xml:space="preserve">9. Equipo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Nombre</w:t>
            </w:r>
          </w:p>
        </w:tc>
        <w:tc>
          <w:tcPr>
            <w:tcW w:type="dxa" w:w="2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Cargo</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Rol en el proyecto</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Responsabilidades principales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Barrantes</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Director DTI</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Patrocinador / Aprobador</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Aprobacion de recursos, representacion ante Rectoria, validacion de hitos estrategicos.</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CTO Lima / Arquitecto de Soluciones</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Arquitecto de soluciones + Administrador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Aprobacion de decisiones de arquitectura, gestion de permisos Entra ID (tenant UPeU), cuentas privilegiadas.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Rudy Milan</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Administrador de Infraestructura</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Infraestructura y redes</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Aprovisionamiento de VMs, apertura de puertos de red, administracion de servidores Linux, soporte de acceso a Oracle LAMB.</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Alberto Sanchez</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Especialista IGA / DTI</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Gestor del proyecto + Implementador IGA</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Diseno e implementacion de toda la configuracion MidPoint, integraciones, RBAC, documentacion, GitOps, metricas COUNTER.</w:t>
            </w:r>
          </w:p>
        </w:tc>
      </w:tr>
    </w:tbl>
    <w:p>
      <w:r>
        <w:t xml:space="preserve"/>
      </w:r>
    </w:p>
    <w:p>
      <w:pPr>
        <w:pStyle w:val="Heading2"/>
      </w:pPr>
      <w:r>
        <w:rPr>
          <w:rFonts w:ascii="Arial" w:cs="Arial" w:eastAsia="Arial" w:hAnsi="Arial"/>
          <w:b/>
          <w:bCs/>
          <w:color w:val="111827"/>
          <w:sz w:val="28"/>
          <w:szCs w:val="28"/>
        </w:rPr>
        <w:t xml:space="preserve">9.1 Modelo de coordinacion</w:t>
      </w:r>
    </w:p>
    <w:p>
      <w:pPr>
        <w:spacing w:after="80" w:before="80"/>
        <w:jc w:val="left"/>
      </w:pPr>
      <w:r>
        <w:rPr>
          <w:rFonts w:ascii="Arial" w:cs="Arial" w:eastAsia="Arial" w:hAnsi="Arial"/>
          <w:b w:val="false"/>
          <w:bCs w:val="false"/>
          <w:i w:val="false"/>
          <w:iCs w:val="false"/>
          <w:color w:val="111827"/>
          <w:sz w:val="20"/>
          <w:szCs w:val="20"/>
        </w:rPr>
        <w:t xml:space="preserve">Las decisiones de arquitectura se documentan en docs/ARCHITECTURE.md y en el ROADMAP.md del repositorio. Los cambios a PROD requieren aprobacion explicita del gestor del proyecto. Las cuentas privilegiadas no son gestionadas por MidPoint — las gestiona David Urquizo directamente, con tickets formales en docs/runbooks/tickets-david-urquizo.md.</w:t>
      </w:r>
    </w:p>
    <w:p>
      <w:pPr>
        <w:spacing w:after="80" w:before="80"/>
        <w:jc w:val="left"/>
      </w:pPr>
      <w:r>
        <w:rPr>
          <w:rFonts w:ascii="Arial" w:cs="Arial" w:eastAsia="Arial" w:hAnsi="Arial"/>
          <w:b w:val="false"/>
          <w:bCs w:val="false"/>
          <w:i w:val="false"/>
          <w:iCs w:val="false"/>
          <w:color w:val="111827"/>
          <w:sz w:val="20"/>
          <w:szCs w:val="20"/>
        </w:rPr>
        <w:t xml:space="preserve">La reunion de revision de hitos se programa con el Director DTI al cierre de cada fase mayor (aprox. cada 4-6 semanas). Los bloqueantes que requieren accion de David Urquizo se escalan con al menos 5 dias habiles de anticipacion.</w:t>
      </w:r>
    </w:p>
    <w:p>
      <w:pPr>
        <w:pStyle w:val="Heading1"/>
        <w:pageBreakBefore/>
      </w:pPr>
      <w:r>
        <w:rPr>
          <w:rFonts w:ascii="Arial" w:cs="Arial" w:eastAsia="Arial" w:hAnsi="Arial"/>
          <w:b/>
          <w:bCs/>
          <w:color w:val="1A3A5C"/>
          <w:sz w:val="36"/>
          <w:szCs w:val="36"/>
        </w:rPr>
        <w:t xml:space="preserve">10. Presupuesto y Recursos</w:t>
      </w:r>
    </w:p>
    <w:p>
      <w:pPr>
        <w:pStyle w:val="Heading2"/>
      </w:pPr>
      <w:r>
        <w:rPr>
          <w:rFonts w:ascii="Arial" w:cs="Arial" w:eastAsia="Arial" w:hAnsi="Arial"/>
          <w:b/>
          <w:bCs/>
          <w:color w:val="111827"/>
          <w:sz w:val="28"/>
          <w:szCs w:val="28"/>
        </w:rPr>
        <w:t xml:space="preserve">10.1 Software y licencias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Componente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Licencia</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(Evolveum)</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 / GPLv3</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Public License</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Keycloak 26.6.1</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Conector Java ConnId Koha (desarrollado DTI)</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MIT</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 0 (desarrollo interno)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PostgreSQL (BD de MidPoint)</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PostgreSQL License (BSD)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Java 17 (runtime MidPoint)</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GPL + Classpath Exception</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Docker / Docker Compose</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Soporte Evolveum (si se contrata)</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Subscription comercial</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Opcional — no incluido en presupuesto base</w:t>
            </w:r>
          </w:p>
        </w:tc>
      </w:tr>
    </w:tbl>
    <w:p>
      <w:r>
        <w:t xml:space="preserve"/>
      </w:r>
    </w:p>
    <w:p>
      <w:pPr>
        <w:pStyle w:val="Heading2"/>
      </w:pPr>
      <w:r>
        <w:rPr>
          <w:rFonts w:ascii="Arial" w:cs="Arial" w:eastAsia="Arial" w:hAnsi="Arial"/>
          <w:b/>
          <w:bCs/>
          <w:color w:val="111827"/>
          <w:sz w:val="28"/>
          <w:szCs w:val="28"/>
        </w:rPr>
        <w:t xml:space="preserve">10.2 Infraestructura (existente — sin costo adicional)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Recurso</w:t>
            </w:r>
          </w:p>
        </w:tc>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Especificacion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Asignado 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PROD</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192.168.15.166 | Ubuntu 22.04 | Docker | 9.7 GB RAM</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IGA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DEV</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192.168.15.230 | Ubuntu 22.04 | Docker</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Pruebas (pre-PROD)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1</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192.168.15.168 | Ubuntu | Docker | ulimits 65536</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primario</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2</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192.168.15.169 | Ubuntu | Docker | ulimits 65536</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replica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Keycloak</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192.168.12.88 | Docker</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SSO institucional</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(acceso lectura)</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11g | schemas MOISES/DAVID/ELISEO/JOSUE</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Fuente autoritativa</w:t>
            </w:r>
          </w:p>
        </w:tc>
      </w:tr>
    </w:tbl>
    <w:p>
      <w:r>
        <w:t xml:space="preserve"/>
      </w:r>
    </w:p>
    <w:p>
      <w:pPr>
        <w:pStyle w:val="Heading2"/>
      </w:pPr>
      <w:r>
        <w:rPr>
          <w:rFonts w:ascii="Arial" w:cs="Arial" w:eastAsia="Arial" w:hAnsi="Arial"/>
          <w:b/>
          <w:bCs/>
          <w:color w:val="111827"/>
          <w:sz w:val="28"/>
          <w:szCs w:val="28"/>
        </w:rPr>
        <w:t xml:space="preserve">10.3 Horas de trabajo DTI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1200"/>
        <w:gridCol w:w="3360"/>
      </w:tblGrid>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Etapa (Fases agrupadas)</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est.</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real.</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Responsable principal</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0-3: Fundacion (schema, archetypes, templates)</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36h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~40h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4: OpenLDAP HA</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11.5h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~14h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Rudy Milan (redes)</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 Resources READ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~28h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 (Entra ID)</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6: Resources WRITE + Keycloak</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~13h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7: RBAC completo (pendiente)</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28h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~20h realizadas</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8-11: Docs, piloto, prod, productizacion</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37.5h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52h</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 (bloqueado)</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13: Metricas COUNTER</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TOTAL ESTIMADO</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~223.5h</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~115h realizadas</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val="false"/>
                <w:bCs w:val="false"/>
                <w:color w:val="FFFFFF"/>
                <w:sz w:val="18"/>
                <w:szCs w:val="18"/>
              </w:rPr>
              <w:t xml:space="preserve">Proyecto en ejecucion</w:t>
            </w:r>
          </w:p>
        </w:tc>
      </w:tr>
    </w:tbl>
    <w:p>
      <w:r>
        <w:t xml:space="preserve"/>
      </w:r>
    </w:p>
    <w:p>
      <w:pPr>
        <w:pStyle w:val="Heading2"/>
      </w:pPr>
      <w:r>
        <w:rPr>
          <w:rFonts w:ascii="Arial" w:cs="Arial" w:eastAsia="Arial" w:hAnsi="Arial"/>
          <w:b/>
          <w:bCs/>
          <w:color w:val="111827"/>
          <w:sz w:val="28"/>
          <w:szCs w:val="28"/>
        </w:rPr>
        <w:t xml:space="preserve">10.4 ROI: comparacion con alternativas comerciales</w:t>
      </w:r>
    </w:p>
    <w:p>
      <w:pPr>
        <w:spacing w:after="80" w:before="80"/>
        <w:jc w:val="left"/>
      </w:pPr>
      <w:r>
        <w:rPr>
          <w:rFonts w:ascii="Arial" w:cs="Arial" w:eastAsia="Arial" w:hAnsi="Arial"/>
          <w:b w:val="false"/>
          <w:bCs w:val="false"/>
          <w:i w:val="false"/>
          <w:iCs w:val="false"/>
          <w:color w:val="111827"/>
          <w:sz w:val="20"/>
          <w:szCs w:val="20"/>
        </w:rPr>
        <w:t xml:space="preserve">Una plataforma IGA comercial equivalente (SailPoint Identity Now, Saviynt o Oracle Identity Manager) tendria un costo anual de entre USD 50.000 y USD 300.000, mas un tiempo de implementacion de 6 a 18 meses con consultoria externa. La implementacion DTI de MidPoint ha alcanzado el mismo resultado en ~115 horas de trabajo interno (a la fecha), con costo adicional de S/ 0 en licencias, usando servidores ya existentes. El ahorro estimado vs alternativa comercial minima: &gt; USD 50.000/anio.</w:t>
      </w:r>
    </w:p>
    <w:p>
      <w:pPr>
        <w:pStyle w:val="Heading1"/>
        <w:pageBreakBefore/>
      </w:pPr>
      <w:r>
        <w:rPr>
          <w:rFonts w:ascii="Arial" w:cs="Arial" w:eastAsia="Arial" w:hAnsi="Arial"/>
          <w:b/>
          <w:bCs/>
          <w:color w:val="1A3A5C"/>
          <w:sz w:val="36"/>
          <w:szCs w:val="36"/>
        </w:rPr>
        <w:t xml:space="preserve">11. Gestion de Riesgos</w:t>
      </w:r>
    </w:p>
    <w:p>
      <w:pPr>
        <w:pStyle w:val="Heading2"/>
      </w:pPr>
      <w:r>
        <w:rPr>
          <w:rFonts w:ascii="Arial" w:cs="Arial" w:eastAsia="Arial" w:hAnsi="Arial"/>
          <w:b/>
          <w:bCs/>
          <w:color w:val="111827"/>
          <w:sz w:val="28"/>
          <w:szCs w:val="28"/>
        </w:rPr>
        <w:t xml:space="preserve">11.1 Matriz de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600"/>
        <w:gridCol w:w="600"/>
        <w:gridCol w:w="700"/>
        <w:gridCol w:w="2960"/>
      </w:tblGrid>
      <w:tr>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ID</w:t>
            </w:r>
          </w:p>
        </w:tc>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Descripcion del riesgo</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Probabilidad</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Impacto</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Nivel</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Plan de mitigacion</w:t>
            </w:r>
          </w:p>
        </w:tc>
      </w:tr>
      <w:tr>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R-01</w:t>
            </w:r>
          </w:p>
        </w:tc>
        <w:tc>
          <w:tcPr>
            <w:tcW w:type="dxa" w:w="28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OOM en servidor MidPoint PROD por insuficiencia de RAM bajo carga alta de reconciliacion</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Monitoreo proactivo de heap JVM. Aumento de RAM a 12 GB si supera 85% de uso sostenido.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R-02</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Cambio de estructura de vistas Oracle LAMB sin previo aviso (actualizacion ERP)</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MidPoint con correlacion por clave estable (cod_trabajador, DNI). Test de reconciliacion tras cada actualizacion LAMB.</w:t>
            </w:r>
          </w:p>
        </w:tc>
      </w:tr>
      <w:tr>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R-03</w:t>
            </w:r>
          </w:p>
        </w:tc>
        <w:tc>
          <w:tcPr>
            <w:tcW w:type="dxa" w:w="28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Demora en obtencion de permisos Entra ID (David Urquizo) bloquea Fase 12</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296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Escalamiento formal con fecha limite. Fases 1-11 no requieren write Entra ID. Fase 12 tiene fecha floating.</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R-04</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Corrupcion del repositorio GitOps o perdida de configuracion</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Muy 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Critico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Repositorio GitHub con historial completo. Tags de version por hito. Backup PostgreSQL semanal del servidor PROD.</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R-05</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Resistencia del personal DTI a adoptar el nuevo flujo GitOps</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Documentacion clara en runbooks. Capacitacion presencial de 2h para el equipo DTI. Flujo CLI simple documentado.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R-06</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Incidente de seguridad por exposicion de credenciales Oracle LAMB</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Critico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Secretos en ~/.secrets/ con permisos 600. Cuenta Oracle dedicada MIDPOINT_IGA_RO (lectura). Rotacion anual de passwords.</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R-07</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Fallo de la federacion Keycloak -&gt; OpenLDAP genera indisponibilidad de SSO</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con dos nodos. Keycloak configurado con failover a nodo 2. Runbook de recuperacion documentado.</w:t>
            </w:r>
          </w:p>
        </w:tc>
      </w:tr>
    </w:tbl>
    <w:p>
      <w:r>
        <w:t xml:space="preserve"/>
      </w:r>
    </w:p>
    <w:p>
      <w:pPr>
        <w:spacing w:after="80" w:before="80"/>
        <w:jc w:val="left"/>
      </w:pPr>
      <w:r>
        <w:rPr>
          <w:rFonts w:ascii="Arial" w:cs="Arial" w:eastAsia="Arial" w:hAnsi="Arial"/>
          <w:b w:val="false"/>
          <w:bCs w:val="false"/>
          <w:i/>
          <w:iCs/>
          <w:color w:val="6B7280"/>
          <w:sz w:val="18"/>
          <w:szCs w:val="18"/>
        </w:rPr>
        <w:t xml:space="preserve">Leyenda: Probabilidad y Nivel — BAJO (verde), MEDIO (amarillo), ALTO (rojo).</w:t>
      </w:r>
    </w:p>
    <w:p>
      <w:pPr>
        <w:pStyle w:val="Heading1"/>
        <w:pageBreakBefore/>
      </w:pPr>
      <w:r>
        <w:rPr>
          <w:rFonts w:ascii="Arial" w:cs="Arial" w:eastAsia="Arial" w:hAnsi="Arial"/>
          <w:b/>
          <w:bCs/>
          <w:color w:val="1A3A5C"/>
          <w:sz w:val="36"/>
          <w:szCs w:val="36"/>
        </w:rPr>
        <w:t xml:space="preserve">12. Indicadores de Exito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Indicador</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Meta 2026</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 actual</w:t>
            </w:r>
          </w:p>
        </w:tc>
        <w:tc>
          <w:tcPr>
            <w:tcW w:type="dxa" w:w="21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Fuente de medicion</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activas gestionadas por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35.450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de aprovisionamiento de cuenta nueva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 (automatico)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minutos (pipeline)</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 MidPoint</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Cobertura de reconciliacion diaria LAMB</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de recursos activos</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100% (3 crons)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Task history MidPoint</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Sombras LDAP sincronizadas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37.491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LDAP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Koha gestionadas automaticamente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5.421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Koha stats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Entra ID sincronizadas (lectura)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37.304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Entra ID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Roles activos en repo (GitOps sync)</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en repo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72/72 ✓ (post commit 19590be)</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git diff PROD vs repo</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Archetypes custom activos en PROD</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18</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18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 MidPoint PROD (mensual)</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99%</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seguimiento</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UptimeRobot</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huerfanas post-cese detectadas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0 en sistemas criticos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validacion (Fase 9)</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Reconciliation reports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medio de desactivacion post-cese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Automatico (Validity Scanner 15 min)</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Evidencia exportable para auditoria SUNEDU</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 — disponible en MidPoint</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Disponible desde Fase 9</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reports PDF/CSV</w:t>
            </w:r>
          </w:p>
        </w:tc>
      </w:tr>
    </w:tbl>
    <w:p>
      <w:pPr>
        <w:pStyle w:val="Heading1"/>
        <w:pageBreakBefore/>
      </w:pPr>
      <w:r>
        <w:rPr>
          <w:rFonts w:ascii="Arial" w:cs="Arial" w:eastAsia="Arial" w:hAnsi="Arial"/>
          <w:b/>
          <w:bCs/>
          <w:color w:val="1A3A5C"/>
          <w:sz w:val="36"/>
          <w:szCs w:val="36"/>
        </w:rPr>
        <w:t xml:space="preserve">13. Conclusiones y Recomendaciones</w:t>
      </w:r>
    </w:p>
    <w:p>
      <w:pPr>
        <w:pStyle w:val="Heading2"/>
      </w:pPr>
      <w:r>
        <w:rPr>
          <w:rFonts w:ascii="Arial" w:cs="Arial" w:eastAsia="Arial" w:hAnsi="Arial"/>
          <w:b/>
          <w:bCs/>
          <w:color w:val="111827"/>
          <w:sz w:val="28"/>
          <w:szCs w:val="28"/>
        </w:rPr>
        <w:t xml:space="preserve">13.1 Logros alcanzados</w:t>
      </w:r>
    </w:p>
    <w:p>
      <w:pPr>
        <w:spacing w:after="80" w:before="80"/>
        <w:jc w:val="left"/>
      </w:pPr>
      <w:r>
        <w:rPr>
          <w:rFonts w:ascii="Arial" w:cs="Arial" w:eastAsia="Arial" w:hAnsi="Arial"/>
          <w:b w:val="false"/>
          <w:bCs w:val="false"/>
          <w:i w:val="false"/>
          <w:iCs w:val="false"/>
          <w:color w:val="111827"/>
          <w:sz w:val="20"/>
          <w:szCs w:val="20"/>
        </w:rPr>
        <w:t xml:space="preserve">El proyecto DTI-IGA-2026-001 ha alcanzado resultados sustanciales en su primera mitad de ejecucion (fases 0-6 completadas, fase 7 parcial):</w:t>
      </w:r>
    </w:p>
    <w:p>
      <w:pPr>
        <w:pStyle w:val="ListParagraph"/>
        <w:numPr>
          <w:ilvl w:val="0"/>
          <w:numId w:val="2"/>
        </w:numPr>
        <w:spacing w:after="40" w:before="40"/>
      </w:pPr>
      <w:r>
        <w:rPr>
          <w:rFonts w:ascii="Arial" w:cs="Arial" w:eastAsia="Arial" w:hAnsi="Arial"/>
          <w:color w:val="111827"/>
          <w:sz w:val="20"/>
          <w:szCs w:val="20"/>
        </w:rPr>
        <w:t xml:space="preserve">35.450 identidades unificadas en MidPoint con modelo canonico eduPerson/SCHAC/SCIM, sin costo adicional de licencias.</w:t>
      </w:r>
    </w:p>
    <w:p>
      <w:pPr>
        <w:pStyle w:val="ListParagraph"/>
        <w:numPr>
          <w:ilvl w:val="0"/>
          <w:numId w:val="2"/>
        </w:numPr>
        <w:spacing w:after="40" w:before="40"/>
      </w:pPr>
      <w:r>
        <w:rPr>
          <w:rFonts w:ascii="Arial" w:cs="Arial" w:eastAsia="Arial" w:hAnsi="Arial"/>
          <w:color w:val="111827"/>
          <w:sz w:val="20"/>
          <w:szCs w:val="20"/>
        </w:rPr>
        <w:t xml:space="preserve">7 recursos de identidad activos e integrados: 4 fuentes Oracle LAMB, OpenLDAP HA, Entra ID (lectura) y Koha.</w:t>
      </w:r>
    </w:p>
    <w:p>
      <w:pPr>
        <w:pStyle w:val="ListParagraph"/>
        <w:numPr>
          <w:ilvl w:val="0"/>
          <w:numId w:val="2"/>
        </w:numPr>
        <w:spacing w:after="40" w:before="40"/>
      </w:pPr>
      <w:r>
        <w:rPr>
          <w:rFonts w:ascii="Arial" w:cs="Arial" w:eastAsia="Arial" w:hAnsi="Arial"/>
          <w:color w:val="111827"/>
          <w:sz w:val="20"/>
          <w:szCs w:val="20"/>
        </w:rPr>
        <w:t xml:space="preserve">37.491 cuentas sincronizadas en el directorio OpenLDAP con atributos federados, habilitando SSO via Keycloak hacia sistemas internos.</w:t>
      </w:r>
    </w:p>
    <w:p>
      <w:pPr>
        <w:pStyle w:val="ListParagraph"/>
        <w:numPr>
          <w:ilvl w:val="0"/>
          <w:numId w:val="2"/>
        </w:numPr>
        <w:spacing w:after="40" w:before="40"/>
      </w:pPr>
      <w:r>
        <w:rPr>
          <w:rFonts w:ascii="Arial" w:cs="Arial" w:eastAsia="Arial" w:hAnsi="Arial"/>
          <w:color w:val="111827"/>
          <w:sz w:val="20"/>
          <w:szCs w:val="20"/>
        </w:rPr>
        <w:t xml:space="preserve">Pipeline de reconciliacion automatico operativo: Trigger Scanner (5 min), Validity Scanner (15 min), 3 crons LAMB diarios, Koha cron diario.</w:t>
      </w:r>
    </w:p>
    <w:p>
      <w:pPr>
        <w:pStyle w:val="ListParagraph"/>
        <w:numPr>
          <w:ilvl w:val="0"/>
          <w:numId w:val="2"/>
        </w:numPr>
        <w:spacing w:after="40" w:before="40"/>
      </w:pPr>
      <w:r>
        <w:rPr>
          <w:rFonts w:ascii="Arial" w:cs="Arial" w:eastAsia="Arial" w:hAnsi="Arial"/>
          <w:color w:val="111827"/>
          <w:sz w:val="20"/>
          <w:szCs w:val="20"/>
        </w:rPr>
        <w:t xml:space="preserve">Repositorio GitOps 100% en sync con PROD: 18 archetypes, 72 roles, 5 object templates, 7 resources, 2 schemas — todos versionados.</w:t>
      </w:r>
    </w:p>
    <w:p>
      <w:pPr>
        <w:pStyle w:val="ListParagraph"/>
        <w:numPr>
          <w:ilvl w:val="0"/>
          <w:numId w:val="2"/>
        </w:numPr>
        <w:spacing w:after="40" w:before="40"/>
      </w:pPr>
      <w:r>
        <w:rPr>
          <w:rFonts w:ascii="Arial" w:cs="Arial" w:eastAsia="Arial" w:hAnsi="Arial"/>
          <w:color w:val="111827"/>
          <w:sz w:val="20"/>
          <w:szCs w:val="20"/>
        </w:rPr>
        <w:t xml:space="preserve">Modelo de dos capas canonical/ + upeu/ que convierte la inversion DTI en un activo reutilizable para otras universidades peruanas.</w:t>
      </w:r>
    </w:p>
    <w:p>
      <w:r>
        <w:t xml:space="preserve"/>
      </w:r>
    </w:p>
    <w:p>
      <w:pPr>
        <w:pStyle w:val="Heading2"/>
      </w:pPr>
      <w:r>
        <w:rPr>
          <w:rFonts w:ascii="Arial" w:cs="Arial" w:eastAsia="Arial" w:hAnsi="Arial"/>
          <w:b/>
          <w:bCs/>
          <w:color w:val="111827"/>
          <w:sz w:val="28"/>
          <w:szCs w:val="28"/>
        </w:rPr>
        <w:t xml:space="preserve">13.2 Proximos pasos criticos</w:t>
      </w:r>
    </w:p>
    <w:p>
      <w:pPr>
        <w:pStyle w:val="ListParagraph"/>
        <w:numPr>
          <w:ilvl w:val="0"/>
          <w:numId w:val="2"/>
        </w:numPr>
        <w:spacing w:after="40" w:before="40"/>
      </w:pPr>
      <w:r>
        <w:rPr>
          <w:rFonts w:ascii="Arial" w:cs="Arial" w:eastAsia="Arial" w:hAnsi="Arial"/>
          <w:color w:val="111827"/>
          <w:sz w:val="20"/>
          <w:szCs w:val="20"/>
        </w:rPr>
        <w:t xml:space="preserve">RBAC completo (Fase 7): finalizar role mining LAMB, definir las 2 reglas SoD ISO 27001 A.8.2, y activar la cascada Business Role -&gt; Application Role para todos los arquetipos.</w:t>
      </w:r>
    </w:p>
    <w:p>
      <w:pPr>
        <w:pStyle w:val="ListParagraph"/>
        <w:numPr>
          <w:ilvl w:val="0"/>
          <w:numId w:val="2"/>
        </w:numPr>
        <w:spacing w:after="40" w:before="40"/>
      </w:pPr>
      <w:r>
        <w:rPr>
          <w:rFonts w:ascii="Arial" w:cs="Arial" w:eastAsia="Arial" w:hAnsi="Arial"/>
          <w:color w:val="111827"/>
          <w:sz w:val="20"/>
          <w:szCs w:val="20"/>
        </w:rPr>
        <w:t xml:space="preserve">Validacion end-to-end (Fase 9): ejecutar el flujo completo joiner-mover-leaver con 3 usuarios piloto reales y documentar evidencia para SUNEDU/SINEACE.</w:t>
      </w:r>
    </w:p>
    <w:p>
      <w:pPr>
        <w:pStyle w:val="ListParagraph"/>
        <w:numPr>
          <w:ilvl w:val="0"/>
          <w:numId w:val="2"/>
        </w:numPr>
        <w:spacing w:after="40" w:before="40"/>
      </w:pPr>
      <w:r>
        <w:rPr>
          <w:rFonts w:ascii="Arial" w:cs="Arial" w:eastAsia="Arial" w:hAnsi="Arial"/>
          <w:color w:val="111827"/>
          <w:sz w:val="20"/>
          <w:szCs w:val="20"/>
        </w:rPr>
        <w:t xml:space="preserve">Gobierno Entra ID (Fase 12): una vez David Urquizo otorgue los 4 permisos pendientes, activar el gobierno de licencias M365 A1/A3 por archetype y construir las Administrative Units por campus.</w:t>
      </w:r>
    </w:p>
    <w:p>
      <w:pPr>
        <w:pStyle w:val="ListParagraph"/>
        <w:numPr>
          <w:ilvl w:val="0"/>
          <w:numId w:val="2"/>
        </w:numPr>
        <w:spacing w:after="40" w:before="40"/>
      </w:pPr>
      <w:r>
        <w:rPr>
          <w:rFonts w:ascii="Arial" w:cs="Arial" w:eastAsia="Arial" w:hAnsi="Arial"/>
          <w:color w:val="111827"/>
          <w:sz w:val="20"/>
          <w:szCs w:val="20"/>
        </w:rPr>
        <w:t xml:space="preserve">Metricas COUNTER (Fase 13): configurar harvest SUSHI de Scopus, EBSCO, WoS, IEEE para producir reportes de uso por facultad y programa para negociacion de renovacion de suscripciones.</w:t>
      </w:r>
    </w:p>
    <w:p>
      <w:r>
        <w:t xml:space="preserve"/>
      </w:r>
    </w:p>
    <w:p>
      <w:pPr>
        <w:pStyle w:val="Heading2"/>
      </w:pPr>
      <w:r>
        <w:rPr>
          <w:rFonts w:ascii="Arial" w:cs="Arial" w:eastAsia="Arial" w:hAnsi="Arial"/>
          <w:b/>
          <w:bCs/>
          <w:color w:val="111827"/>
          <w:sz w:val="28"/>
          <w:szCs w:val="28"/>
        </w:rPr>
        <w:t xml:space="preserve">13.3 Solicitud de aprobacion</w:t>
      </w:r>
    </w:p>
    <w:p>
      <w:pPr>
        <w:spacing w:after="80" w:before="80"/>
        <w:jc w:val="left"/>
      </w:pPr>
      <w:r>
        <w:rPr>
          <w:rFonts w:ascii="Arial" w:cs="Arial" w:eastAsia="Arial" w:hAnsi="Arial"/>
          <w:b w:val="false"/>
          <w:bCs w:val="false"/>
          <w:i w:val="false"/>
          <w:iCs w:val="false"/>
          <w:color w:val="111827"/>
          <w:sz w:val="20"/>
          <w:szCs w:val="20"/>
        </w:rPr>
        <w:t xml:space="preserve">Se solicita al Director DTI David Barrantes la aprobacion formal de este documento de proyecto, que habilita:</w:t>
      </w:r>
    </w:p>
    <w:p>
      <w:pPr>
        <w:pStyle w:val="ListParagraph"/>
        <w:numPr>
          <w:ilvl w:val="0"/>
          <w:numId w:val="2"/>
        </w:numPr>
        <w:spacing w:after="40" w:before="40"/>
      </w:pPr>
      <w:r>
        <w:rPr>
          <w:rFonts w:ascii="Arial" w:cs="Arial" w:eastAsia="Arial" w:hAnsi="Arial"/>
          <w:color w:val="111827"/>
          <w:sz w:val="20"/>
          <w:szCs w:val="20"/>
        </w:rPr>
        <w:t xml:space="preserve">La continuacion de las fases pendientes (7, 8, 9, 11, 12, 13) dentro del calendario establecido.</w:t>
      </w:r>
    </w:p>
    <w:p>
      <w:pPr>
        <w:pStyle w:val="ListParagraph"/>
        <w:numPr>
          <w:ilvl w:val="0"/>
          <w:numId w:val="2"/>
        </w:numPr>
        <w:spacing w:after="40" w:before="40"/>
      </w:pPr>
      <w:r>
        <w:rPr>
          <w:rFonts w:ascii="Arial" w:cs="Arial" w:eastAsia="Arial" w:hAnsi="Arial"/>
          <w:color w:val="111827"/>
          <w:sz w:val="20"/>
          <w:szCs w:val="20"/>
        </w:rPr>
        <w:t xml:space="preserve">La gestion formal de los bloqueantes activos: solicitar a David Urquizo los 4 permisos Entra ID faltantes para desbloquer Fase 12.</w:t>
      </w:r>
    </w:p>
    <w:p>
      <w:pPr>
        <w:pStyle w:val="ListParagraph"/>
        <w:numPr>
          <w:ilvl w:val="0"/>
          <w:numId w:val="2"/>
        </w:numPr>
        <w:spacing w:after="40" w:before="40"/>
      </w:pPr>
      <w:r>
        <w:rPr>
          <w:rFonts w:ascii="Arial" w:cs="Arial" w:eastAsia="Arial" w:hAnsi="Arial"/>
          <w:color w:val="111827"/>
          <w:sz w:val="20"/>
          <w:szCs w:val="20"/>
        </w:rPr>
        <w:t xml:space="preserve">La asignacion formal del equipo del proyecto (David Barrantes, David Urquizo, Rudy Milan, Alberto Sanchez) con los roles y responsabilidades descritos en la Seccion 9.</w:t>
      </w:r>
    </w:p>
    <w:p>
      <w:pPr>
        <w:pStyle w:val="ListParagraph"/>
        <w:numPr>
          <w:ilvl w:val="0"/>
          <w:numId w:val="2"/>
        </w:numPr>
        <w:spacing w:after="40" w:before="40"/>
      </w:pPr>
      <w:r>
        <w:rPr>
          <w:rFonts w:ascii="Arial" w:cs="Arial" w:eastAsia="Arial" w:hAnsi="Arial"/>
          <w:color w:val="111827"/>
          <w:sz w:val="20"/>
          <w:szCs w:val="20"/>
        </w:rPr>
        <w:t xml:space="preserve">El uso de la infraestructura interna ya existente para completar las fases restantes sin costo adicional.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Gestor del Proyecto</w:t>
            </w:r>
          </w:p>
        </w:tc>
      </w:tr>
      <w:tr>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David Barrantes</w:t>
            </w:r>
          </w:p>
          <w:p>
            <w:pPr>
              <w:spacing w:after="40" w:before="0"/>
            </w:pPr>
            <w:r>
              <w:rPr>
                <w:rFonts w:ascii="Arial" w:cs="Arial" w:eastAsia="Arial" w:hAnsi="Arial"/>
                <w:color w:val="6B7280"/>
                <w:sz w:val="18"/>
                <w:szCs w:val="18"/>
              </w:rPr>
              <w:t xml:space="preserve">Director de Tecnologias de Informacion</w:t>
            </w:r>
          </w:p>
          <w:p>
            <w:pPr>
              <w:spacing w:after="0" w:before="200"/>
            </w:pPr>
            <w:r>
              <w:rPr>
                <w:rFonts w:ascii="Arial" w:cs="Arial" w:eastAsia="Arial" w:hAnsi="Arial"/>
                <w:color w:val="6B7280"/>
                <w:sz w:val="18"/>
                <w:szCs w:val="18"/>
              </w:rPr>
              <w:t xml:space="preserve">Firma: _________________________ Fecha: ___________</w:t>
            </w:r>
          </w:p>
        </w:tc>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Alberto Sanchez</w:t>
            </w:r>
          </w:p>
          <w:p>
            <w:pPr>
              <w:spacing w:after="40" w:before="0"/>
            </w:pPr>
            <w:r>
              <w:rPr>
                <w:rFonts w:ascii="Arial" w:cs="Arial" w:eastAsia="Arial" w:hAnsi="Arial"/>
                <w:color w:val="6B7280"/>
                <w:sz w:val="18"/>
                <w:szCs w:val="18"/>
              </w:rPr>
              <w:t xml:space="preserve">Especialista IGA — DTI UPeU</w:t>
            </w:r>
          </w:p>
          <w:p>
            <w:pPr>
              <w:spacing w:after="0" w:before="200"/>
            </w:pPr>
            <w:r>
              <w:rPr>
                <w:rFonts w:ascii="Arial" w:cs="Arial" w:eastAsia="Arial" w:hAnsi="Arial"/>
                <w:color w:val="6B7280"/>
                <w:sz w:val="18"/>
                <w:szCs w:val="18"/>
              </w:rPr>
              <w:t xml:space="preserve">Fecha: Mayo 2026</w:t>
            </w:r>
          </w:p>
        </w:tc>
      </w:tr>
    </w:tbl>
    <w:p>
      <w:r>
        <w:t xml:space="preserve"/>
      </w:r>
    </w:p>
    <w:p>
      <w:pPr>
        <w:spacing w:after="80" w:before="80"/>
        <w:jc w:val="center"/>
      </w:pPr>
      <w:r>
        <w:rPr>
          <w:rFonts w:ascii="Arial" w:cs="Arial" w:eastAsia="Arial" w:hAnsi="Arial"/>
          <w:b w:val="false"/>
          <w:bCs w:val="false"/>
          <w:i/>
          <w:iCs/>
          <w:color w:val="6B7280"/>
          <w:sz w:val="16"/>
          <w:szCs w:val="16"/>
        </w:rPr>
        <w:t xml:space="preserve">Documento generado por la Direccion de Tecnologias de Informacion — Universidad Peruana Union. Para consultas: alberto.sanchez@upeu.edu.pe</w:t>
      </w:r>
    </w:p>
    <w:sectPr>
      <w:headerReference w:type="default" r:id="rId7"/>
      <w:footerReference w:type="default" r:id="rId8"/>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3C5FD" w:sz="4" w:space="2"/>
      </w:pBdr>
      <w:jc w:val="center"/>
    </w:pPr>
    <w:r>
      <w:rPr>
        <w:rFonts w:ascii="Arial" w:cs="Arial" w:eastAsia="Arial" w:hAnsi="Arial"/>
        <w:color w:val="6B7280"/>
        <w:sz w:val="16"/>
        <w:szCs w:val="16"/>
      </w:rPr>
      <w:t xml:space="preserve">Universidad Peruana Union — Direccion de Tecnologias de Informacion | Pagina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de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3C5FD" w:sz="4" w:space="2"/>
      </w:pBdr>
      <w:tabs>
        <w:tab w:val="right" w:pos="9026"/>
      </w:tabs>
    </w:pPr>
    <w:r>
      <w:rPr>
        <w:rFonts w:ascii="Arial" w:cs="Arial" w:eastAsia="Arial" w:hAnsi="Arial"/>
        <w:color w:val="6B7280"/>
        <w:sz w:val="16"/>
        <w:szCs w:val="16"/>
      </w:rPr>
      <w:t xml:space="preserve">DTI-IGA-2026-001 | Gobierno de Identidad y Acceso — UPeU</w:t>
    </w:r>
    <w:r>
      <w:rPr>
        <w:rFonts w:ascii="Arial" w:cs="Arial" w:eastAsia="Arial" w:hAnsi="Arial"/>
        <w:color w:val="6B7280"/>
        <w:sz w:val="16"/>
        <w:szCs w:val="16"/>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3C5FD" w:sz="6" w:space="4"/>
      </w:pBdr>
      <w:spacing w:after="200" w:before="400"/>
      <w:outlineLvl w:val="0"/>
    </w:pPr>
    <w:rPr>
      <w:rFonts w:ascii="Arial" w:cs="Arial" w:eastAsia="Arial" w:hAnsi="Arial"/>
      <w:b/>
      <w:bCs/>
      <w:color w:val="1A3A5C"/>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A3A5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118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DTI-IGA-2026-001 — Sistema de Gobierno de Identidad y Acceso UPeU</dc:title>
  <dc:creator>Alberto Sanchez - DTI UPeU</dc:creator>
  <dc:description>Documento de proyecto para aprobacion interna DTI - Universidad Peruana Union 2026</dc:description>
  <cp:lastModifiedBy>Un-named</cp:lastModifiedBy>
  <cp:revision>1</cp:revision>
  <dcterms:created xsi:type="dcterms:W3CDTF">2026-05-21T01:57:58.498Z</dcterms:created>
  <dcterms:modified xsi:type="dcterms:W3CDTF">2026-05-21T01:57:58.498Z</dcterms:modified>
</cp:coreProperties>
</file>

<file path=docProps/custom.xml><?xml version="1.0" encoding="utf-8"?>
<Properties xmlns="http://schemas.openxmlformats.org/officeDocument/2006/custom-properties" xmlns:vt="http://schemas.openxmlformats.org/officeDocument/2006/docPropsVTypes"/>
</file>