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C83" w:rsidRPr="00F80335" w:rsidRDefault="000D5A39" w:rsidP="00B96BE1">
      <w:pPr>
        <w:rPr>
          <w:b/>
        </w:rPr>
      </w:pPr>
      <w:r w:rsidRPr="000D5A39">
        <w:rPr>
          <w:b/>
        </w:rPr>
        <w:t>We apologize to both the editor a</w:t>
      </w:r>
      <w:r w:rsidR="00227EAD">
        <w:rPr>
          <w:b/>
        </w:rPr>
        <w:t xml:space="preserve">nd the referee for the delay in replying.  </w:t>
      </w:r>
      <w:r w:rsidR="00F35C90">
        <w:rPr>
          <w:b/>
        </w:rPr>
        <w:t xml:space="preserve">In the course of replying to the referee’s comments, we discovered several </w:t>
      </w:r>
      <w:r w:rsidR="00F80335">
        <w:rPr>
          <w:b/>
        </w:rPr>
        <w:t xml:space="preserve">small </w:t>
      </w:r>
      <w:r w:rsidR="00F35C90">
        <w:rPr>
          <w:b/>
        </w:rPr>
        <w:t xml:space="preserve">errors in the original analysis </w:t>
      </w:r>
      <w:r w:rsidR="00F80335">
        <w:rPr>
          <w:b/>
        </w:rPr>
        <w:t xml:space="preserve">which required correction.   The most significant of these </w:t>
      </w:r>
      <w:r w:rsidR="003E1515" w:rsidRPr="0040328D">
        <w:rPr>
          <w:b/>
        </w:rPr>
        <w:t xml:space="preserve">was a </w:t>
      </w:r>
      <w:r w:rsidR="00F80335">
        <w:rPr>
          <w:b/>
        </w:rPr>
        <w:t>software</w:t>
      </w:r>
      <w:r w:rsidR="003E1515" w:rsidRPr="0040328D">
        <w:rPr>
          <w:b/>
        </w:rPr>
        <w:t xml:space="preserve"> bug in calculating the </w:t>
      </w:r>
      <w:r w:rsidR="002E5C83" w:rsidRPr="0040328D">
        <w:rPr>
          <w:b/>
        </w:rPr>
        <w:t xml:space="preserve">cosmological </w:t>
      </w:r>
      <w:proofErr w:type="spellStart"/>
      <w:r w:rsidR="002E5C83" w:rsidRPr="0040328D">
        <w:rPr>
          <w:b/>
        </w:rPr>
        <w:t>k</w:t>
      </w:r>
      <w:r w:rsidR="00F80335">
        <w:rPr>
          <w:b/>
        </w:rPr>
        <w:t>_parallel</w:t>
      </w:r>
      <w:proofErr w:type="spellEnd"/>
      <w:r w:rsidR="002E5C83" w:rsidRPr="0040328D">
        <w:rPr>
          <w:b/>
        </w:rPr>
        <w:t xml:space="preserve"> corresponding to the </w:t>
      </w:r>
      <w:r w:rsidR="00F80335">
        <w:rPr>
          <w:b/>
        </w:rPr>
        <w:t xml:space="preserve">x-axis in the </w:t>
      </w:r>
      <w:r w:rsidR="002E5C83" w:rsidRPr="0040328D">
        <w:rPr>
          <w:b/>
        </w:rPr>
        <w:t xml:space="preserve">original figures 7, 8, and 10 (now XXX, YYY, and ZZZ).  This </w:t>
      </w:r>
      <w:r w:rsidR="00F80335">
        <w:rPr>
          <w:b/>
        </w:rPr>
        <w:t xml:space="preserve">error </w:t>
      </w:r>
      <w:r w:rsidR="002E5C83" w:rsidRPr="0040328D">
        <w:rPr>
          <w:b/>
        </w:rPr>
        <w:t>changes the conclusions in Section 4.1</w:t>
      </w:r>
      <w:r w:rsidR="0049649C" w:rsidRPr="0040328D">
        <w:rPr>
          <w:b/>
        </w:rPr>
        <w:t xml:space="preserve"> about the extent of the region in k-space free of foregrounds.  </w:t>
      </w:r>
      <w:r w:rsidR="00C946D7" w:rsidRPr="0040328D">
        <w:rPr>
          <w:b/>
        </w:rPr>
        <w:t>Sect</w:t>
      </w:r>
      <w:r w:rsidR="0049649C" w:rsidRPr="0040328D">
        <w:rPr>
          <w:b/>
        </w:rPr>
        <w:t xml:space="preserve">ion 4 has been re-written </w:t>
      </w:r>
      <w:r w:rsidR="00F80335">
        <w:rPr>
          <w:b/>
        </w:rPr>
        <w:t>in parts to reflect this change.  Additional replies to the referee’s comments are included below.</w:t>
      </w:r>
    </w:p>
    <w:p w:rsidR="003171AD" w:rsidRDefault="003171AD"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r w:rsidR="00F80335">
        <w:rPr>
          <w:b/>
        </w:rPr>
        <w:t xml:space="preserve"> by the highlighted text.</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w:t>
      </w:r>
      <w:r w:rsidR="00F80335">
        <w:rPr>
          <w:b/>
        </w:rPr>
        <w:t xml:space="preserve">polarization </w:t>
      </w:r>
      <w:r w:rsidRPr="00ED33D6">
        <w:rPr>
          <w:b/>
        </w:rPr>
        <w:t xml:space="preserve">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w:t>
      </w:r>
      <w:proofErr w:type="spellStart"/>
      <w:r>
        <w:t>Jelic</w:t>
      </w:r>
      <w:proofErr w:type="spellEnd"/>
      <w:r>
        <w:t xml:space="preserve"> et al. (2015) and </w:t>
      </w:r>
      <w:proofErr w:type="spellStart"/>
      <w:r>
        <w:t>Lenc</w:t>
      </w:r>
      <w:proofErr w:type="spellEnd"/>
      <w:r>
        <w:t xml:space="preserve"> et al. (2016) observed linearly polarized structures of ~ 5-10 K. Since, HERA-19 has maximum baseline of ~54 m, and if the Mueller matrix terms (smaller fractional leakage) shown in figure 1 are to be believed, the diffuse polarized emission should dominate in Stokes Q and U. This should be explained. </w:t>
      </w:r>
    </w:p>
    <w:p w:rsidR="00B96BE1" w:rsidRDefault="00B96BE1" w:rsidP="00B96BE1"/>
    <w:p w:rsidR="00856FD0" w:rsidRDefault="00B96BE1" w:rsidP="00F80335">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431593">
        <w:rPr>
          <w:b/>
        </w:rPr>
        <w:t>The</w:t>
      </w:r>
      <w:r w:rsidR="00D22E7E">
        <w:rPr>
          <w:b/>
        </w:rPr>
        <w:t xml:space="preserve"> quantitative comparison of the total amount of power </w:t>
      </w:r>
      <w:r w:rsidR="00AE133F">
        <w:rPr>
          <w:b/>
        </w:rPr>
        <w:t xml:space="preserve">is now shown in Figure 11 and discussed in Section XXX.  Broadly, there is a excess of polarized power present over that expected from purely I -&gt; </w:t>
      </w:r>
      <w:r w:rsidR="00800E18">
        <w:rPr>
          <w:b/>
        </w:rPr>
        <w:t>Q, U, V</w:t>
      </w:r>
      <w:r w:rsidR="00AE133F">
        <w:rPr>
          <w:b/>
        </w:rPr>
        <w:t xml:space="preserve"> leakage</w:t>
      </w:r>
      <w:r w:rsidR="00800E18">
        <w:rPr>
          <w:b/>
        </w:rPr>
        <w:t xml:space="preserve"> in both the high and low bands.  However, as argued in the text, it seems that the excess in high band Q and in V in both bands is likely due to errors in the direction-independent gains (the D-terms in the case of V), and probably due to errors in the beam model for the low band Q and U.  Importantly, however, the data not inconsistent with the detection of polarized power at the level of a few percent of Stokes I, as observed by </w:t>
      </w:r>
      <w:proofErr w:type="spellStart"/>
      <w:r w:rsidR="00800E18">
        <w:rPr>
          <w:b/>
        </w:rPr>
        <w:t>Jelic</w:t>
      </w:r>
      <w:proofErr w:type="spellEnd"/>
      <w:r w:rsidR="00800E18">
        <w:rPr>
          <w:b/>
        </w:rPr>
        <w:t xml:space="preserve"> and </w:t>
      </w:r>
      <w:proofErr w:type="spellStart"/>
      <w:r w:rsidR="00800E18">
        <w:rPr>
          <w:b/>
        </w:rPr>
        <w:t>Lenc</w:t>
      </w:r>
      <w:proofErr w:type="spellEnd"/>
      <w:r w:rsidR="00800E18">
        <w:rPr>
          <w:b/>
        </w:rPr>
        <w:t>.</w:t>
      </w:r>
    </w:p>
    <w:p w:rsidR="00856FD0" w:rsidRDefault="00856FD0" w:rsidP="00B96BE1">
      <w:pPr>
        <w:rPr>
          <w:b/>
        </w:rPr>
      </w:pPr>
    </w:p>
    <w:p w:rsidR="00B96BE1" w:rsidRDefault="00B96BE1" w:rsidP="00B96BE1"/>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w:t>
      </w:r>
      <w:proofErr w:type="spellStart"/>
      <w:r>
        <w:t>Jy</w:t>
      </w:r>
      <w:proofErr w:type="spellEnd"/>
      <w:r>
        <w:t xml:space="preserve">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sidR="00EE6FF0">
        <w:rPr>
          <w:b/>
        </w:rPr>
        <w:t xml:space="preserve"> (c.f. Figure </w:t>
      </w:r>
      <w:r w:rsidR="00B96BE1" w:rsidRPr="00CE6896">
        <w:rPr>
          <w:b/>
        </w:rPr>
        <w:t>.</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t xml:space="preserve">b) The calibration step uses </w:t>
      </w:r>
      <w:proofErr w:type="spellStart"/>
      <w:r>
        <w:t>gaincal</w:t>
      </w:r>
      <w:proofErr w:type="spellEnd"/>
      <w:r>
        <w:t xml:space="preserve">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w:t>
      </w:r>
      <w:r>
        <w:lastRenderedPageBreak/>
        <w:t xml:space="preserve">(solid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r w:rsidR="008B3590">
        <w:rPr>
          <w:b/>
        </w:rPr>
        <w:t xml:space="preserve">  The remaining variation is consistent with </w:t>
      </w:r>
      <w:r w:rsidR="00B96E73">
        <w:rPr>
          <w:b/>
        </w:rPr>
        <w:t xml:space="preserve">the manufacturing variability in the analog electronics.  </w:t>
      </w:r>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7676C3" w:rsidP="00B96BE1">
      <w:pPr>
        <w:rPr>
          <w:b/>
        </w:rPr>
      </w:pPr>
      <w:r>
        <w:rPr>
          <w:b/>
        </w:rPr>
        <w:t>Various other studies</w:t>
      </w:r>
      <w:r w:rsidR="0047310B">
        <w:rPr>
          <w:b/>
        </w:rPr>
        <w:t xml:space="preserve"> (e.g. </w:t>
      </w:r>
      <w:proofErr w:type="spellStart"/>
      <w:r w:rsidR="0047310B">
        <w:rPr>
          <w:b/>
        </w:rPr>
        <w:t>Carilli</w:t>
      </w:r>
      <w:proofErr w:type="spellEnd"/>
      <w:r w:rsidR="0047310B">
        <w:rPr>
          <w:b/>
        </w:rPr>
        <w:t xml:space="preserve"> et al 2018)</w:t>
      </w:r>
      <w:r>
        <w:rPr>
          <w:b/>
        </w:rPr>
        <w:t xml:space="preserve"> have shown that the HERA baselines are not in fact</w:t>
      </w:r>
      <w:r w:rsidR="0047310B">
        <w:rPr>
          <w:b/>
        </w:rPr>
        <w:t xml:space="preserve"> terribly redundant, and therefore we do expect variations between calibrated baselines.</w:t>
      </w:r>
    </w:p>
    <w:p w:rsidR="007676C3" w:rsidRPr="007676C3" w:rsidRDefault="007676C3" w:rsidP="00B96BE1">
      <w:pPr>
        <w:rPr>
          <w:b/>
        </w:rPr>
      </w:pPr>
      <w:r>
        <w:rPr>
          <w:b/>
        </w:rPr>
        <w:t xml:space="preserve">The effect of small differences </w:t>
      </w:r>
      <w:r w:rsidR="0047310B">
        <w:rPr>
          <w:b/>
        </w:rPr>
        <w:t xml:space="preserve">in phase </w:t>
      </w:r>
      <w:r>
        <w:rPr>
          <w:b/>
        </w:rPr>
        <w:t>is less crucial to this study, sin</w:t>
      </w:r>
      <w:r w:rsidR="0047310B">
        <w:rPr>
          <w:b/>
        </w:rPr>
        <w:t>ce we never combine baselines in</w:t>
      </w:r>
      <w:r>
        <w:rPr>
          <w:b/>
        </w:rPr>
        <w:t xml:space="preserve"> phase, but only in power spectra.  </w:t>
      </w:r>
      <w:r w:rsidR="0047310B">
        <w:rPr>
          <w:b/>
        </w:rPr>
        <w:t>We do know that the calibration is not introducing significant spectral structure (Figures 5 and XXX)</w:t>
      </w:r>
    </w:p>
    <w:p w:rsidR="00B96BE1" w:rsidRDefault="00B96BE1" w:rsidP="00B96BE1"/>
    <w:p w:rsidR="00B96BE1" w:rsidRDefault="00B96BE1" w:rsidP="00B96BE1">
      <w:r>
        <w:t xml:space="preserve">f) In section 3.2, Blackman-Harris window function is used to minimize the sidelobes. However, </w:t>
      </w:r>
      <w:proofErr w:type="spellStart"/>
      <w:r>
        <w:t>Thyagarajan</w:t>
      </w:r>
      <w:proofErr w:type="spellEnd"/>
      <w:r>
        <w:t xml:space="preserve">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Pr="00034524" w:rsidRDefault="00210CEB" w:rsidP="00B96BE1">
      <w:pPr>
        <w:rPr>
          <w:b/>
        </w:rPr>
      </w:pPr>
      <w:r>
        <w:rPr>
          <w:b/>
        </w:rPr>
        <w:t>Indeed</w:t>
      </w:r>
      <w:r w:rsidR="00B96BE1" w:rsidRPr="00034524">
        <w:rPr>
          <w:b/>
        </w:rPr>
        <w:t>, the Blackman-Harris window</w:t>
      </w:r>
      <w:r w:rsidR="00034524" w:rsidRPr="00034524">
        <w:rPr>
          <w:b/>
        </w:rPr>
        <w:t xml:space="preserve"> was used to minimize sidelobes, and therefore increase</w:t>
      </w:r>
      <w:r>
        <w:rPr>
          <w:b/>
        </w:rPr>
        <w:t>s</w:t>
      </w:r>
      <w:r w:rsidR="00034524" w:rsidRPr="00034524">
        <w:rPr>
          <w:b/>
        </w:rPr>
        <w:t xml:space="preserve"> the dynamic range of the Fourier transform to windowing artifacts.</w:t>
      </w:r>
      <w:r w:rsidR="00B96BE1" w:rsidRPr="00034524">
        <w:rPr>
          <w:b/>
        </w:rPr>
        <w:t xml:space="preserve"> </w:t>
      </w:r>
      <w:r w:rsidR="00034524" w:rsidRPr="00034524">
        <w:rPr>
          <w:b/>
        </w:rPr>
        <w:t xml:space="preserve"> The statements made in the original paper’s Section 4.1 </w:t>
      </w:r>
      <w:r>
        <w:rPr>
          <w:b/>
        </w:rPr>
        <w:t>comparing this to other studies, rather</w:t>
      </w:r>
      <w:r w:rsidR="00034524" w:rsidRPr="00034524">
        <w:rPr>
          <w:b/>
        </w:rPr>
        <w:t xml:space="preserve"> </w:t>
      </w:r>
      <w:r>
        <w:rPr>
          <w:b/>
        </w:rPr>
        <w:t>confusingly conflated</w:t>
      </w:r>
      <w:r w:rsidR="00034524" w:rsidRPr="00034524">
        <w:rPr>
          <w:b/>
        </w:rPr>
        <w:t xml:space="preserve"> foreground </w:t>
      </w:r>
      <w:r w:rsidR="00034524" w:rsidRPr="00034524">
        <w:rPr>
          <w:b/>
          <w:i/>
        </w:rPr>
        <w:t>isolation</w:t>
      </w:r>
      <w:r>
        <w:rPr>
          <w:b/>
          <w:i/>
        </w:rPr>
        <w:t xml:space="preserve">, </w:t>
      </w:r>
      <w:r>
        <w:rPr>
          <w:b/>
        </w:rPr>
        <w:t xml:space="preserve">or how well the signal stays within the wedge, </w:t>
      </w:r>
      <w:r w:rsidR="00034524" w:rsidRPr="00034524">
        <w:rPr>
          <w:b/>
        </w:rPr>
        <w:t xml:space="preserve">with </w:t>
      </w:r>
      <w:r w:rsidR="00034524" w:rsidRPr="000E1338">
        <w:rPr>
          <w:b/>
          <w:i/>
        </w:rPr>
        <w:t>dynamic range</w:t>
      </w:r>
      <w:r>
        <w:rPr>
          <w:b/>
        </w:rPr>
        <w:t xml:space="preserve">, taken here as the ratio between the maximum and the minimum values in the power spectrum.  </w:t>
      </w:r>
      <w:r w:rsidRPr="00034524">
        <w:rPr>
          <w:b/>
        </w:rPr>
        <w:t>We have now attem</w:t>
      </w:r>
      <w:r>
        <w:rPr>
          <w:b/>
        </w:rPr>
        <w:t xml:space="preserve">pted to clarify the distinction in Section 4.2.  Obviously, if a window has very poor dynamic range, it will move power from inside to outside the wedge. </w:t>
      </w:r>
      <w:r w:rsidR="00034524" w:rsidRPr="00034524">
        <w:rPr>
          <w:b/>
        </w:rPr>
        <w:t xml:space="preserve"> </w:t>
      </w:r>
      <w:r>
        <w:rPr>
          <w:b/>
        </w:rPr>
        <w:t>However, we</w:t>
      </w:r>
      <w:r w:rsidR="00034524" w:rsidRPr="00034524">
        <w:rPr>
          <w:b/>
        </w:rPr>
        <w:t xml:space="preserve"> point out that the real data are limited in dynamic range</w:t>
      </w:r>
      <w:r>
        <w:rPr>
          <w:b/>
        </w:rPr>
        <w:t xml:space="preserve"> not by the window, but</w:t>
      </w:r>
      <w:r w:rsidR="00034524" w:rsidRPr="00034524">
        <w:rPr>
          <w:b/>
        </w:rPr>
        <w:t xml:space="preserve"> by the noise level, and the simulations indeed </w:t>
      </w:r>
      <w:r w:rsidR="000E1338">
        <w:rPr>
          <w:b/>
        </w:rPr>
        <w:t xml:space="preserve">achieve </w:t>
      </w:r>
      <w:r w:rsidR="00034524" w:rsidRPr="00034524">
        <w:rPr>
          <w:b/>
        </w:rPr>
        <w:t>&gt; 12 orders of magnitude dynamic range with the Blackman Harris window (now standard in the HERA pipeline)</w:t>
      </w:r>
      <w:r>
        <w:rPr>
          <w:b/>
        </w:rPr>
        <w:t xml:space="preserve">, and they also show that </w:t>
      </w:r>
      <w:r w:rsidR="00713B0B">
        <w:rPr>
          <w:b/>
        </w:rPr>
        <w:t>not much power is shifted from inside to outside the wedge above this floor</w:t>
      </w:r>
      <w:r w:rsidR="00034524" w:rsidRPr="00034524">
        <w:rPr>
          <w:b/>
        </w:rPr>
        <w:t xml:space="preserve">.  </w:t>
      </w:r>
      <w:r w:rsidR="000E1338">
        <w:rPr>
          <w:b/>
        </w:rPr>
        <w:t xml:space="preserve">We note that the filter used in </w:t>
      </w:r>
      <w:proofErr w:type="spellStart"/>
      <w:r w:rsidR="000E1338" w:rsidRPr="00034524">
        <w:rPr>
          <w:b/>
        </w:rPr>
        <w:t>Thyagarajan</w:t>
      </w:r>
      <w:proofErr w:type="spellEnd"/>
      <w:r w:rsidR="000E1338" w:rsidRPr="00034524">
        <w:rPr>
          <w:b/>
        </w:rPr>
        <w:t xml:space="preserve"> et al. (2016)</w:t>
      </w:r>
      <w:r w:rsidR="000E1338">
        <w:rPr>
          <w:b/>
        </w:rPr>
        <w:t xml:space="preserve"> </w:t>
      </w:r>
      <w:r>
        <w:rPr>
          <w:b/>
        </w:rPr>
        <w:t xml:space="preserve">(a Blackman-Harris window squared in frequency domain) in </w:t>
      </w:r>
      <w:r w:rsidR="000E1338">
        <w:rPr>
          <w:b/>
        </w:rPr>
        <w:t xml:space="preserve">does </w:t>
      </w:r>
      <w:r>
        <w:rPr>
          <w:b/>
        </w:rPr>
        <w:t>indeed achieve greater dynamic range, at the usual tradeoff in poorer spectral resolution.  As our study is already limited in spectral resolution, but not in dynamic range, we have kept the Blackman-Harris window.</w:t>
      </w:r>
    </w:p>
    <w:p w:rsidR="00034524" w:rsidRDefault="00034524" w:rsidP="00B96BE1"/>
    <w:p w:rsidR="00B96BE1" w:rsidRDefault="00B96BE1" w:rsidP="00B96BE1">
      <w:r>
        <w:lastRenderedPageBreak/>
        <w:t>g) In section 3.2, the delay spectra spaced by 10.7 seconds were cross multiplied to avoid noise bias. Was this done for every 10 minute chunk, or for the full night ? How were the power spectra for each night created : (</w:t>
      </w:r>
      <w:proofErr w:type="spellStart"/>
      <w:r>
        <w:t>i</w:t>
      </w:r>
      <w:proofErr w:type="spellEnd"/>
      <w:r>
        <w:t>) by phasing all the data to a single point, or (ii) by creating a power spectrum for each 10 minute chunk and combining them later in Fourier domain ? This should be explained properly.</w:t>
      </w:r>
    </w:p>
    <w:p w:rsidR="00B96BE1" w:rsidRDefault="00B96BE1" w:rsidP="00B96BE1"/>
    <w:p w:rsidR="00B96BE1" w:rsidRPr="001E1E24" w:rsidRDefault="00B96BE1" w:rsidP="00B96BE1">
      <w:pPr>
        <w:rPr>
          <w:b/>
        </w:rPr>
      </w:pPr>
      <w:r w:rsidRPr="001E1E24">
        <w:rPr>
          <w:b/>
        </w:rPr>
        <w:t>The text is already very explicit that this cross multiplication was performed at every 10.7s integration. See Equations 13 and 14. 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w:t>
      </w:r>
      <w:proofErr w:type="spellStart"/>
      <w:r>
        <w:t>iU</w:t>
      </w:r>
      <w:proofErr w:type="spellEnd"/>
      <w:r>
        <w:t xml:space="preserve"> or |P| = \sqrt(Q^2 + U^2)) power spectrum is not shown anywhere in the paper. Total polarized intensity power spectrum is a better metric 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660784" w:rsidRDefault="00660784" w:rsidP="00B96BE1">
      <w:pPr>
        <w:rPr>
          <w:b/>
        </w:rPr>
      </w:pPr>
      <w:r>
        <w:rPr>
          <w:b/>
        </w:rPr>
        <w:t xml:space="preserve">It is not entirely clear if the referee is defining the total polarized intensity P in the image domain, but that appears to be the case.  </w:t>
      </w:r>
      <w:r w:rsidR="005349FC">
        <w:rPr>
          <w:b/>
        </w:rPr>
        <w:t xml:space="preserve">Unless we have misunderstood, then the power spectrum of P requested here will simply be the sum of the Stokes Q and U power spectra individually (PP* = Q^2 + U^2) and these are the power spectra shown (and which can be easily added from the new Figure XXX.)  </w:t>
      </w:r>
      <w:r>
        <w:rPr>
          <w:b/>
        </w:rPr>
        <w:t xml:space="preserve">Since we are not calculating the power spectrum </w:t>
      </w:r>
      <w:r w:rsidR="005349FC">
        <w:rPr>
          <w:b/>
        </w:rPr>
        <w:t xml:space="preserve">from </w:t>
      </w:r>
      <w:r>
        <w:rPr>
          <w:b/>
        </w:rPr>
        <w:t xml:space="preserve">images, but directly from the visibilities, </w:t>
      </w:r>
      <w:r w:rsidR="005349FC">
        <w:rPr>
          <w:b/>
        </w:rPr>
        <w:t xml:space="preserve">we will have only the pseudo-Stokes approximations to these of course.  </w:t>
      </w:r>
      <w:r>
        <w:rPr>
          <w:b/>
        </w:rPr>
        <w:t>We also show the equivalent beam causing such total (</w:t>
      </w:r>
      <w:r w:rsidR="005349FC">
        <w:rPr>
          <w:b/>
        </w:rPr>
        <w:t>l</w:t>
      </w:r>
      <w:r>
        <w:rPr>
          <w:b/>
        </w:rPr>
        <w:t>inear) polarized intensity leakage in the new Figure 2 to give some intuition for its effects.  However, the Q and U power spectra are affected differently both by I -&gt; Q, U leakage (compare their different leakage beams in Figure 1) and by direction-independent calibration effects.  Thus it is of some interest to consider them separately.  Ultimately, of course, we agree with the referee that it is the</w:t>
      </w:r>
      <w:r w:rsidR="005349FC">
        <w:rPr>
          <w:b/>
        </w:rPr>
        <w:t>ir sum which affects the result, but do not think it adds substantially to the paper.</w:t>
      </w:r>
    </w:p>
    <w:p w:rsidR="00660784" w:rsidRDefault="00660784" w:rsidP="00B96BE1"/>
    <w:p w:rsidR="00B96BE1" w:rsidRDefault="00B96BE1" w:rsidP="00B96BE1">
      <w:r>
        <w:t>b) In figure 9, the power levels outside horizon (</w:t>
      </w:r>
      <w:proofErr w:type="spellStart"/>
      <w:r>
        <w:t>k_parallel</w:t>
      </w:r>
      <w:proofErr w:type="spellEnd"/>
      <w:r>
        <w:t xml:space="preserve"> = 0.2 h/</w:t>
      </w:r>
      <w:proofErr w:type="spellStart"/>
      <w:r>
        <w:t>Mpc</w:t>
      </w:r>
      <w:proofErr w:type="spellEnd"/>
      <w:r>
        <w:t xml:space="preserve">) are shown, and for some cases these are even lower than theoretical noise levels. It is difficult to trust this result, </w:t>
      </w:r>
      <w:proofErr w:type="spellStart"/>
      <w:r>
        <w:t>specially</w:t>
      </w:r>
      <w:proofErr w:type="spellEnd"/>
      <w:r>
        <w:t xml:space="preserve">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Pr="005B3660" w:rsidRDefault="00B96BE1" w:rsidP="00B96BE1">
      <w:pPr>
        <w:rPr>
          <w:b/>
        </w:rPr>
      </w:pPr>
      <w:r w:rsidRPr="005B3660">
        <w:rPr>
          <w:b/>
        </w:rPr>
        <w:lastRenderedPageBreak/>
        <w:t xml:space="preserve">We </w:t>
      </w:r>
      <w:r w:rsidR="005B3660">
        <w:rPr>
          <w:b/>
        </w:rPr>
        <w:t xml:space="preserve">have </w:t>
      </w:r>
      <w:r w:rsidRPr="005B3660">
        <w:rPr>
          <w:b/>
        </w:rPr>
        <w:t>now provide</w:t>
      </w:r>
      <w:r w:rsidR="005B3660">
        <w:rPr>
          <w:b/>
        </w:rPr>
        <w:t>d</w:t>
      </w:r>
      <w:r w:rsidRPr="005B3660">
        <w:rPr>
          <w:b/>
        </w:rPr>
        <w:t xml:space="preserve"> more d</w:t>
      </w:r>
      <w:r w:rsidR="005B3660">
        <w:rPr>
          <w:b/>
        </w:rPr>
        <w:t xml:space="preserve">etail on the noise calculations, including a reference to the underlying software calculating them.  The concern than the power levels outside the horizon are lower than theoretical values </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Default="00B96BE1" w:rsidP="00B96BE1">
      <w:r>
        <w:t>&gt;&gt;&gt; &lt;&lt;&lt;</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B96BE1" w:rsidRPr="0076311E" w:rsidRDefault="0076311E" w:rsidP="00B96BE1">
      <w:pPr>
        <w:rPr>
          <w:b/>
        </w:rPr>
      </w:pPr>
      <w:r w:rsidRPr="0076311E">
        <w:rPr>
          <w:b/>
        </w:rPr>
        <w:t xml:space="preserve">Presumably this refers to </w:t>
      </w:r>
    </w:p>
    <w:p w:rsidR="00B96BE1" w:rsidRDefault="00B96BE1" w:rsidP="00B96BE1"/>
    <w:p w:rsidR="00B96BE1" w:rsidRDefault="00B96BE1" w:rsidP="00B96BE1">
      <w:r>
        <w:t xml:space="preserve">e) In section 4.1, the comment "In similar studies of 2D polarized power spectra, both PAPER and LOFAR measurements found 'filled' regions of Fourier space out to the edge of the </w:t>
      </w:r>
      <w:proofErr w:type="spellStart"/>
      <w:r>
        <w:t>EoR</w:t>
      </w:r>
      <w:proofErr w:type="spellEnd"/>
      <w:r>
        <w:t xml:space="preserve">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Pr="00657506" w:rsidRDefault="00B96BE1" w:rsidP="00B96BE1">
      <w:pPr>
        <w:rPr>
          <w:b/>
        </w:rPr>
      </w:pPr>
      <w:r w:rsidRPr="00657506">
        <w:rPr>
          <w:b/>
        </w:rPr>
        <w:t>The comparison to LOFAR has been removed.</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Pr="005B776B" w:rsidRDefault="005B776B" w:rsidP="00B96BE1">
      <w:pPr>
        <w:rPr>
          <w:b/>
        </w:rPr>
      </w:pPr>
      <w:r>
        <w:rPr>
          <w:b/>
        </w:rPr>
        <w:t xml:space="preserve">We have now added </w:t>
      </w:r>
      <w:r w:rsidR="00B5789B">
        <w:rPr>
          <w:b/>
        </w:rPr>
        <w:t xml:space="preserve">Figure 11 which shows both on a linear scale and makes possible a direct comparison, and in addition allows the reader to compare the amount of power in the pseudo-Stokes </w:t>
      </w:r>
      <w:bookmarkStart w:id="0" w:name="_GoBack"/>
      <w:bookmarkEnd w:id="0"/>
      <w:r w:rsidR="00B5789B">
        <w:rPr>
          <w:b/>
        </w:rPr>
        <w:t xml:space="preserve"> </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Pr="009F4EF7" w:rsidRDefault="00B96BE1" w:rsidP="00B96BE1">
      <w:pPr>
        <w:rPr>
          <w:b/>
        </w:rPr>
      </w:pPr>
      <w:r w:rsidRPr="009F4EF7">
        <w:rPr>
          <w:b/>
        </w:rPr>
        <w:t>This was the excess polarized power above predicted leakage levels: now clarified in the text, and expanded in discussion according to comment 2(b).</w:t>
      </w:r>
    </w:p>
    <w:p w:rsidR="00B96BE1" w:rsidRDefault="00B96BE1" w:rsidP="00B96BE1"/>
    <w:p w:rsidR="00B96BE1" w:rsidRDefault="00B96BE1" w:rsidP="00B96BE1">
      <w:r>
        <w:t xml:space="preserve">h) Section 4.3 paragraph 2 is confusing. </w:t>
      </w:r>
      <w:proofErr w:type="spellStart"/>
      <w:r>
        <w:t>Jelic</w:t>
      </w:r>
      <w:proofErr w:type="spellEnd"/>
      <w:r>
        <w:t xml:space="preserve"> et al. (2015) and </w:t>
      </w:r>
      <w:proofErr w:type="spellStart"/>
      <w:r>
        <w:t>Lenc</w:t>
      </w:r>
      <w:proofErr w:type="spellEnd"/>
      <w:r>
        <w:t xml:space="preserve"> et al. (2016) observed bright diffuse polarized structures of ~5-10 K which is 3 orders of magnitude higher than the 21cm </w:t>
      </w:r>
      <w:r>
        <w:lastRenderedPageBreak/>
        <w:t xml:space="preserve">signal. However, the leakage from P to I is small enough such that its contribution is similar to </w:t>
      </w:r>
      <w:proofErr w:type="spellStart"/>
      <w:r>
        <w:t>EoR</w:t>
      </w:r>
      <w:proofErr w:type="spellEnd"/>
      <w:r>
        <w:t xml:space="preserve"> levels. This was also shown by </w:t>
      </w:r>
      <w:proofErr w:type="spellStart"/>
      <w:r>
        <w:t>Asad</w:t>
      </w:r>
      <w:proofErr w:type="spellEnd"/>
      <w:r>
        <w:t xml:space="preserve"> et al. series on 'Polarization leakage in </w:t>
      </w:r>
      <w:proofErr w:type="spellStart"/>
      <w:r>
        <w:t>EoR</w:t>
      </w:r>
      <w:proofErr w:type="spellEnd"/>
      <w:r>
        <w:t xml:space="preserve"> window' and should be cited here. This paragraph should be modified accordingly.</w:t>
      </w:r>
    </w:p>
    <w:p w:rsidR="00B96BE1" w:rsidRDefault="00B96BE1" w:rsidP="00B96BE1"/>
    <w:p w:rsidR="00B96BE1" w:rsidRDefault="00B96BE1" w:rsidP="00B96BE1">
      <w:r>
        <w:t xml:space="preserve">The purpose of that paragraph (the one beginning with the </w:t>
      </w:r>
      <w:proofErr w:type="spellStart"/>
      <w:r>
        <w:t>Lenc</w:t>
      </w:r>
      <w:proofErr w:type="spellEnd"/>
      <w:r>
        <w:t xml:space="preserve"> et al. (2016) citation) was to place the power spectrum of Galactic synchrotron _outside_ the wedge, i.e. the Faraday-rotated component, into perspective with </w:t>
      </w:r>
      <w:proofErr w:type="spellStart"/>
      <w:r>
        <w:t>EoR</w:t>
      </w:r>
      <w:proofErr w:type="spellEnd"/>
      <w:r>
        <w:t xml:space="preserve">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Pr="00633F40" w:rsidRDefault="00B96BE1" w:rsidP="00B96BE1">
      <w:pPr>
        <w:rPr>
          <w:b/>
        </w:rPr>
      </w:pPr>
      <w:r w:rsidRPr="00633F40">
        <w:rPr>
          <w:b/>
        </w:rPr>
        <w:t xml:space="preserve">We found only one instance of this </w:t>
      </w:r>
      <w:r w:rsidR="00633F40" w:rsidRPr="00633F40">
        <w:rPr>
          <w:b/>
        </w:rPr>
        <w:t>inconsistency</w:t>
      </w:r>
      <w:r w:rsidRPr="00633F40">
        <w:rPr>
          <w:b/>
        </w:rP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 xml:space="preserve">b) </w:t>
      </w:r>
      <w:proofErr w:type="spellStart"/>
      <w:r>
        <w:t>Asad</w:t>
      </w:r>
      <w:proofErr w:type="spellEnd"/>
      <w:r>
        <w:t xml:space="preserve"> et al. 2018 also talks about wide-field nature of polarization leakage. This paper should be cited.</w:t>
      </w:r>
    </w:p>
    <w:p w:rsidR="00B96BE1" w:rsidRDefault="00B96BE1" w:rsidP="00B96BE1"/>
    <w:p w:rsidR="00B96BE1" w:rsidRPr="009F4EF7" w:rsidRDefault="00B96BE1" w:rsidP="00B96BE1">
      <w:pPr>
        <w:rPr>
          <w:b/>
        </w:rPr>
      </w:pPr>
      <w:r w:rsidRPr="009F4EF7">
        <w:rPr>
          <w:b/>
        </w:rPr>
        <w:t xml:space="preserve">Although </w:t>
      </w:r>
      <w:proofErr w:type="spellStart"/>
      <w:r w:rsidRPr="009F4EF7">
        <w:rPr>
          <w:b/>
        </w:rPr>
        <w:t>Asad</w:t>
      </w:r>
      <w:proofErr w:type="spellEnd"/>
      <w:r w:rsidRPr="009F4EF7">
        <w:rPr>
          <w:b/>
        </w:rPr>
        <w:t xml:space="preserve">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Pr="009F4EF7" w:rsidRDefault="00B96BE1" w:rsidP="00B96BE1">
      <w:pPr>
        <w:rPr>
          <w:b/>
        </w:rPr>
      </w:pPr>
      <w:r w:rsidRPr="009F4EF7">
        <w:rPr>
          <w:b/>
        </w:rP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9F4EF7" w:rsidP="00B96BE1">
      <w:r>
        <w:rPr>
          <w:b/>
        </w:rPr>
        <w:t>This has been added as Table 1</w:t>
      </w:r>
      <w:r w:rsidR="00B96BE1">
        <w:t>.</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lastRenderedPageBreak/>
        <w:t>f) In equation 7, \tilde{b} should be changed to \</w:t>
      </w:r>
      <w:proofErr w:type="spellStart"/>
      <w:r>
        <w:t>vec</w:t>
      </w:r>
      <w:proofErr w:type="spellEnd"/>
      <w:r>
        <w:t>{b}.</w:t>
      </w:r>
    </w:p>
    <w:p w:rsidR="00B96BE1" w:rsidRDefault="00B96BE1" w:rsidP="00B96BE1"/>
    <w:p w:rsidR="00B96BE1" w:rsidRPr="00973CE2" w:rsidRDefault="00B96BE1" w:rsidP="00B96BE1">
      <w:pPr>
        <w:rPr>
          <w:b/>
        </w:rPr>
      </w:pPr>
      <w:r w:rsidRPr="00973CE2">
        <w:rPr>
          <w:b/>
        </w:rPr>
        <w:t xml:space="preserve">The </w:t>
      </w:r>
      <w:proofErr w:type="spellStart"/>
      <w:r w:rsidRPr="00973CE2">
        <w:rPr>
          <w:b/>
        </w:rPr>
        <w:t>TeX</w:t>
      </w:r>
      <w:proofErr w:type="spellEnd"/>
      <w:r w:rsidRPr="00973CE2">
        <w:rPr>
          <w:b/>
        </w:rPr>
        <w:t xml:space="preserve"> has \</w:t>
      </w:r>
      <w:proofErr w:type="spellStart"/>
      <w:r w:rsidRPr="00973CE2">
        <w:rPr>
          <w:b/>
        </w:rPr>
        <w:t>vec</w:t>
      </w:r>
      <w:proofErr w:type="spellEnd"/>
      <w:r w:rsidRPr="00973CE2">
        <w:rPr>
          <w:b/>
        </w:rPr>
        <w:t>,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h) Title of section 5 should be 'CONCLUSIONS'.</w:t>
      </w:r>
    </w:p>
    <w:p w:rsidR="00B96BE1" w:rsidRDefault="00B96BE1" w:rsidP="00B96BE1"/>
    <w:p w:rsidR="00706F4F" w:rsidRPr="00973CE2" w:rsidRDefault="00B96BE1" w:rsidP="00B96BE1">
      <w:pPr>
        <w:rPr>
          <w:b/>
        </w:rPr>
      </w:pPr>
      <w:r w:rsidRPr="00973CE2">
        <w:rPr>
          <w:b/>
        </w:rPr>
        <w:t>This change is made.</w:t>
      </w:r>
    </w:p>
    <w:sectPr w:rsidR="00706F4F" w:rsidRPr="00973CE2"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34524"/>
    <w:rsid w:val="000D2C19"/>
    <w:rsid w:val="000D5A39"/>
    <w:rsid w:val="000E1338"/>
    <w:rsid w:val="00147690"/>
    <w:rsid w:val="001E1E24"/>
    <w:rsid w:val="00206188"/>
    <w:rsid w:val="00210CEB"/>
    <w:rsid w:val="00227EAD"/>
    <w:rsid w:val="002E5C83"/>
    <w:rsid w:val="003171AD"/>
    <w:rsid w:val="003E1515"/>
    <w:rsid w:val="0040328D"/>
    <w:rsid w:val="00412069"/>
    <w:rsid w:val="00431593"/>
    <w:rsid w:val="0047310B"/>
    <w:rsid w:val="0049649C"/>
    <w:rsid w:val="004B100B"/>
    <w:rsid w:val="005349FC"/>
    <w:rsid w:val="005B2FB0"/>
    <w:rsid w:val="005B3660"/>
    <w:rsid w:val="005B776B"/>
    <w:rsid w:val="00633F40"/>
    <w:rsid w:val="00657506"/>
    <w:rsid w:val="00660784"/>
    <w:rsid w:val="0068505A"/>
    <w:rsid w:val="00700558"/>
    <w:rsid w:val="00713B0B"/>
    <w:rsid w:val="0076311E"/>
    <w:rsid w:val="007676C3"/>
    <w:rsid w:val="007734F7"/>
    <w:rsid w:val="007B32D9"/>
    <w:rsid w:val="008005D7"/>
    <w:rsid w:val="00800E18"/>
    <w:rsid w:val="00856FD0"/>
    <w:rsid w:val="008B3590"/>
    <w:rsid w:val="008D6D98"/>
    <w:rsid w:val="00950ED9"/>
    <w:rsid w:val="00954781"/>
    <w:rsid w:val="00973CE2"/>
    <w:rsid w:val="009F4EF7"/>
    <w:rsid w:val="00A416AB"/>
    <w:rsid w:val="00AE133F"/>
    <w:rsid w:val="00B018CE"/>
    <w:rsid w:val="00B5789B"/>
    <w:rsid w:val="00B96BE1"/>
    <w:rsid w:val="00B96E73"/>
    <w:rsid w:val="00C57342"/>
    <w:rsid w:val="00C946D7"/>
    <w:rsid w:val="00CB525B"/>
    <w:rsid w:val="00CE6896"/>
    <w:rsid w:val="00D22E7E"/>
    <w:rsid w:val="00D31F29"/>
    <w:rsid w:val="00ED33D6"/>
    <w:rsid w:val="00EE6FF0"/>
    <w:rsid w:val="00F35C90"/>
    <w:rsid w:val="00F8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4028E"/>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13</cp:revision>
  <dcterms:created xsi:type="dcterms:W3CDTF">2018-10-16T00:03:00Z</dcterms:created>
  <dcterms:modified xsi:type="dcterms:W3CDTF">2018-11-29T04:33:00Z</dcterms:modified>
</cp:coreProperties>
</file>