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rFonts w:ascii="Segoe UI" w:cs="Segoe UI" w:eastAsia="Segoe UI" w:hAnsi="Segoe UI"/>
        </w:rPr>
        <w:t xml:space="preserve"/>
      </w:r>
    </w:p>
    <w:p>
      <w:pPr>
        <w:pBdr>
          <w:bottom w:val="single" w:color="1F5FA6" w:sz="12" w:space="6"/>
        </w:pBdr>
        <w:spacing w:after="40"/>
      </w:pPr>
      <w:r>
        <w:rPr>
          <w:rFonts w:ascii="Segoe UI" w:cs="Segoe UI" w:eastAsia="Segoe UI" w:hAnsi="Segoe UI"/>
          <w:b/>
          <w:bCs/>
          <w:color w:val="1C2230"/>
          <w:sz w:val="60"/>
          <w:szCs w:val="60"/>
        </w:rPr>
        <w:t xml:space="preserve">Permit</w:t>
      </w:r>
      <w:r>
        <w:rPr>
          <w:rFonts w:ascii="Segoe UI" w:cs="Segoe UI" w:eastAsia="Segoe UI" w:hAnsi="Segoe UI"/>
          <w:b/>
          <w:bCs/>
          <w:color w:val="1F5FA6"/>
          <w:sz w:val="60"/>
          <w:szCs w:val="60"/>
        </w:rPr>
        <w:t xml:space="preserve">Wright</w:t>
      </w:r>
    </w:p>
    <w:p>
      <w:pPr>
        <w:spacing w:after="700" w:before="120"/>
      </w:pPr>
      <w:r>
        <w:rPr>
          <w:rFonts w:ascii="Segoe UI" w:cs="Segoe UI" w:eastAsia="Segoe UI" w:hAnsi="Segoe UI"/>
          <w:color w:val="5B6470"/>
          <w:sz w:val="28"/>
          <w:szCs w:val="28"/>
        </w:rPr>
        <w:t xml:space="preserve">High-Piled Storage Permit Research Package</w:t>
      </w:r>
    </w:p>
    <w:p>
      <w:pPr>
        <w:spacing w:after="90"/>
      </w:pPr>
      <w:r>
        <w:rPr>
          <w:rFonts w:ascii="Segoe UI" w:cs="Segoe UI" w:eastAsia="Segoe UI" w:hAnsi="Segoe UI"/>
          <w:b/>
          <w:bCs/>
        </w:rPr>
        <w:t xml:space="preserve">Project: </w:t>
      </w:r>
      <w:r>
        <w:rPr>
          <w:rFonts w:ascii="Segoe UI" w:cs="Segoe UI" w:eastAsia="Segoe UI" w:hAnsi="Segoe UI"/>
          <w:color w:val="5B6470"/>
        </w:rPr>
        <w:t xml:space="preserve">[Client project name / site address]</w:t>
      </w:r>
    </w:p>
    <w:p>
      <w:pPr>
        <w:spacing w:after="90"/>
      </w:pPr>
      <w:r>
        <w:rPr>
          <w:rFonts w:ascii="Segoe UI" w:cs="Segoe UI" w:eastAsia="Segoe UI" w:hAnsi="Segoe UI"/>
          <w:b/>
          <w:bCs/>
        </w:rPr>
        <w:t xml:space="preserve">Jurisdiction: </w:t>
      </w:r>
      <w:r>
        <w:rPr>
          <w:rFonts w:ascii="Segoe UI" w:cs="Segoe UI" w:eastAsia="Segoe UI" w:hAnsi="Segoe UI"/>
          <w:color w:val="5B6470"/>
        </w:rPr>
        <w:t xml:space="preserve">[City] — [Fire Dept / Building &amp; Safety division name]</w:t>
      </w:r>
    </w:p>
    <w:p>
      <w:pPr>
        <w:spacing w:after="90"/>
      </w:pPr>
      <w:r>
        <w:rPr>
          <w:rFonts w:ascii="Segoe UI" w:cs="Segoe UI" w:eastAsia="Segoe UI" w:hAnsi="Segoe UI"/>
          <w:b/>
          <w:bCs/>
        </w:rPr>
        <w:t xml:space="preserve">Prepared for: </w:t>
      </w:r>
      <w:r>
        <w:rPr>
          <w:rFonts w:ascii="Segoe UI" w:cs="Segoe UI" w:eastAsia="Segoe UI" w:hAnsi="Segoe UI"/>
          <w:color w:val="5B6470"/>
        </w:rPr>
        <w:t xml:space="preserve">[Engineer name, PE], [Firm]</w:t>
      </w:r>
    </w:p>
    <w:p>
      <w:pPr>
        <w:spacing w:after="90"/>
      </w:pPr>
      <w:r>
        <w:rPr>
          <w:rFonts w:ascii="Segoe UI" w:cs="Segoe UI" w:eastAsia="Segoe UI" w:hAnsi="Segoe UI"/>
          <w:b/>
          <w:bCs/>
        </w:rPr>
        <w:t xml:space="preserve">Prepared by: </w:t>
      </w:r>
      <w:r>
        <w:rPr>
          <w:rFonts w:ascii="Segoe UI" w:cs="Segoe UI" w:eastAsia="Segoe UI" w:hAnsi="Segoe UI"/>
        </w:rPr>
        <w:t xml:space="preserve">Uriel Rojas · PermitWright LLC · uriel@permitwright.com</w:t>
      </w:r>
    </w:p>
    <w:p>
      <w:pPr>
        <w:spacing w:after="500"/>
      </w:pPr>
      <w:r>
        <w:rPr>
          <w:rFonts w:ascii="Segoe UI" w:cs="Segoe UI" w:eastAsia="Segoe UI" w:hAnsi="Segoe UI"/>
          <w:b/>
          <w:bCs/>
        </w:rPr>
        <w:t xml:space="preserve">Date: </w:t>
      </w:r>
      <w:r>
        <w:rPr>
          <w:rFonts w:ascii="Segoe UI" w:cs="Segoe UI" w:eastAsia="Segoe UI" w:hAnsi="Segoe UI"/>
          <w:color w:val="5B6470"/>
        </w:rPr>
        <w:t xml:space="preserve">[date]</w:t>
      </w:r>
      <w:r>
        <w:rPr>
          <w:rFonts w:ascii="Segoe UI" w:cs="Segoe UI" w:eastAsia="Segoe UI" w:hAnsi="Segoe UI"/>
          <w:b/>
          <w:bCs/>
        </w:rPr>
        <w:t xml:space="preserve">      Package version: </w:t>
      </w:r>
      <w:r>
        <w:rPr>
          <w:rFonts w:ascii="Segoe UI" w:cs="Segoe UI" w:eastAsia="Segoe UI" w:hAnsi="Segoe UI"/>
        </w:rPr>
        <w:t xml:space="preserve">v1.0</w:t>
      </w:r>
    </w:p>
    <w:p>
      <w:pPr>
        <w:spacing w:after="400"/>
      </w:pPr>
      <w:r>
        <w:rPr>
          <w:rFonts w:ascii="Segoe UI" w:cs="Segoe UI" w:eastAsia="Segoe UI" w:hAnsi="Segoe UI"/>
          <w:i/>
          <w:iCs/>
          <w:color w:val="5B6470"/>
          <w:sz w:val="19"/>
          <w:szCs w:val="19"/>
        </w:rPr>
        <w:t xml:space="preserve">Researched against the 2025 California Building Standards Code (2025 CFC, effective January 1, 2026) and ASCE 7-22, plus [City] local amendments as of [date].</w:t>
      </w:r>
    </w:p>
    <w:p>
      <w:pPr>
        <w:pBdr>
          <w:top w:val="single" w:color="1F5FA6" w:sz="8" w:space="8"/>
          <w:bottom w:val="single" w:color="1F5FA6" w:sz="8" w:space="8"/>
          <w:left w:val="single" w:color="1F5FA6" w:sz="24" w:space="10"/>
          <w:right w:val="single" w:color="1F5FA6" w:sz="8" w:space="8"/>
        </w:pBdr>
        <w:shd w:fill="F5F7FA" w:val="clear"/>
        <w:spacing w:after="100"/>
      </w:pPr>
      <w:r>
        <w:rPr>
          <w:rFonts w:ascii="Segoe UI" w:cs="Segoe UI" w:eastAsia="Segoe UI" w:hAnsi="Segoe UI"/>
          <w:b/>
          <w:bCs/>
          <w:color w:val="1F5FA6"/>
          <w:sz w:val="17"/>
          <w:szCs w:val="17"/>
        </w:rPr>
        <w:t xml:space="preserve">ENGINEER OF RECORD</w:t>
      </w:r>
    </w:p>
    <w:p>
      <w:pPr>
        <w:pBdr>
          <w:bottom w:val="single" w:color="1F5FA6" w:sz="8" w:space="8"/>
          <w:left w:val="single" w:color="1F5FA6" w:sz="24" w:space="10"/>
          <w:right w:val="single" w:color="1F5FA6" w:sz="8" w:space="8"/>
        </w:pBdr>
        <w:shd w:fill="F5F7FA" w:val="clear"/>
      </w:pPr>
      <w:r>
        <w:rPr>
          <w:rFonts w:ascii="Segoe UI" w:cs="Segoe UI" w:eastAsia="Segoe UI" w:hAnsi="Segoe UI"/>
          <w:i/>
          <w:iCs/>
          <w:color w:val="1C2230"/>
          <w:sz w:val="20"/>
          <w:szCs w:val="20"/>
        </w:rPr>
        <w:t xml:space="preserve">PermitWright provides code research and document preparation only. All engineering judgment, design decisions, and responsible charge remain with the licensed engineer of record.</w:t>
      </w:r>
    </w:p>
    <w:p>
      <w:pPr>
        <w:pStyle w:val="Heading1"/>
        <w:pageBreakBefore/>
      </w:pPr>
      <w:r>
        <w:rPr>
          <w:rFonts w:ascii="Segoe UI" w:cs="Segoe UI" w:eastAsia="Segoe UI" w:hAnsi="Segoe UI"/>
          <w:b/>
          <w:bCs/>
          <w:color w:val="1C2230"/>
          <w:sz w:val="26"/>
          <w:szCs w:val="26"/>
        </w:rPr>
        <w:t xml:space="preserve">PROJECT INTAKE SNAPSHOT</w:t>
      </w:r>
    </w:p>
    <w:p>
      <w:pPr>
        <w:spacing w:after="160"/>
      </w:pPr>
      <w:r>
        <w:rPr>
          <w:rFonts w:ascii="Segoe UI" w:cs="Segoe UI" w:eastAsia="Segoe UI" w:hAnsi="Segoe UI"/>
          <w:i/>
          <w:iCs/>
          <w:color w:val="5B6470"/>
          <w:sz w:val="19"/>
          <w:szCs w:val="19"/>
        </w:rPr>
        <w:t xml:space="preserve">The five-minute email answers, restated so the engineer confirms scope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Site address &amp; jurisdiction: </w:t>
      </w:r>
      <w:r>
        <w:rPr>
          <w:rFonts w:ascii="Segoe UI" w:cs="Segoe UI" w:eastAsia="Segoe UI" w:hAnsi="Segoe UI"/>
          <w:color w:val="5B6470"/>
        </w:rPr>
        <w:t xml:space="preserve">[address] — [jurisdiction]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Building: </w:t>
      </w:r>
      <w:r>
        <w:rPr>
          <w:rFonts w:ascii="Segoe UI" w:cs="Segoe UI" w:eastAsia="Segoe UI" w:hAnsi="Segoe UI"/>
          <w:color w:val="5B6470"/>
        </w:rPr>
        <w:t xml:space="preserve">[type of construction] · sprinklered? [yes/no — system type/density if known] · total building area [X sf]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Storage: </w:t>
      </w:r>
      <w:r>
        <w:rPr>
          <w:rFonts w:ascii="Segoe UI" w:cs="Segoe UI" w:eastAsia="Segoe UI" w:hAnsi="Segoe UI"/>
          <w:color w:val="5B6470"/>
        </w:rPr>
        <w:t xml:space="preserve">[max storage height X ft] · [aisle widths X ft] · [rack / floor-pile / shelf]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Commodities: </w:t>
      </w:r>
      <w:r>
        <w:rPr>
          <w:rFonts w:ascii="Segoe UI" w:cs="Segoe UI" w:eastAsia="Segoe UI" w:hAnsi="Segoe UI"/>
          <w:color w:val="5B6470"/>
        </w:rPr>
        <w:t xml:space="preserve">[what's stored] · packaging [cartoned / exposed / encapsulated / pallets — wood/plastic]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HPS area: </w:t>
      </w:r>
      <w:r>
        <w:rPr>
          <w:rFonts w:ascii="Segoe UI" w:cs="Segoe UI" w:eastAsia="Segoe UI" w:hAnsi="Segoe UI"/>
          <w:color w:val="5B6470"/>
        </w:rPr>
        <w:t xml:space="preserve">[X sf of high-piled storage area(s)]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Existing permits / prior HPS approvals: </w:t>
      </w:r>
      <w:r>
        <w:rPr>
          <w:rFonts w:ascii="Segoe UI" w:cs="Segoe UI" w:eastAsia="Segoe UI" w:hAnsi="Segoe UI"/>
          <w:color w:val="5B6470"/>
        </w:rPr>
        <w:t xml:space="preserve">[none known / list]</w:t>
      </w:r>
    </w:p>
    <w:p>
      <w:pPr>
        <w:pStyle w:val="Heading1"/>
        <w:pageBreakBefore/>
      </w:pPr>
      <w:r>
        <w:rPr>
          <w:rFonts w:ascii="Segoe UI" w:cs="Segoe UI" w:eastAsia="Segoe UI" w:hAnsi="Segoe UI"/>
          <w:b/>
          <w:bCs/>
          <w:color w:val="1C2230"/>
          <w:sz w:val="26"/>
          <w:szCs w:val="26"/>
        </w:rPr>
        <w:t xml:space="preserve">SECTION 1 — AHJ SUBMITTAL CHECKLIST</w:t>
      </w:r>
    </w:p>
    <w:p>
      <w:pPr>
        <w:spacing w:after="160"/>
      </w:pPr>
      <w:r>
        <w:rPr>
          <w:rFonts w:ascii="Segoe UI" w:cs="Segoe UI" w:eastAsia="Segoe UI" w:hAnsi="Segoe UI"/>
          <w:i/>
          <w:iCs/>
          <w:color w:val="5B6470"/>
          <w:sz w:val="19"/>
          <w:szCs w:val="19"/>
        </w:rPr>
        <w:t xml:space="preserve">What [City] actually requires to accept the application. Sourced from the AHJ's published HPS submittal guideline, permit portal, and plan-review bulletins.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Governing authority &amp; filing: </w:t>
      </w:r>
      <w:r>
        <w:rPr>
          <w:rFonts w:ascii="Segoe UI" w:cs="Segoe UI" w:eastAsia="Segoe UI" w:hAnsi="Segoe UI"/>
          <w:color w:val="5B6470"/>
        </w:rPr>
        <w:t xml:space="preserve">[fire dept vs. building dept; portal name / link]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Required documents: </w:t>
      </w:r>
      <w:r>
        <w:rPr>
          <w:rFonts w:ascii="Segoe UI" w:cs="Segoe UI" w:eastAsia="Segoe UI" w:hAnsi="Segoe UI"/>
          <w:color w:val="5B6470"/>
        </w:rPr>
        <w:t xml:space="preserve">[application form #, site plan, floor plan showing HPS areas, rack elevations, commodity letter, sprinkler calcs / TI reference, …]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Plan format requirements: </w:t>
      </w:r>
      <w:r>
        <w:rPr>
          <w:rFonts w:ascii="Segoe UI" w:cs="Segoe UI" w:eastAsia="Segoe UI" w:hAnsi="Segoe UI"/>
          <w:color w:val="5B6470"/>
        </w:rPr>
        <w:t xml:space="preserve">[scale, sheet size, digital submittal specs]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Fees &amp; review timeline (as published): </w:t>
      </w:r>
      <w:r>
        <w:rPr>
          <w:rFonts w:ascii="Segoe UI" w:cs="Segoe UI" w:eastAsia="Segoe UI" w:hAnsi="Segoe UI"/>
          <w:color w:val="5B6470"/>
        </w:rPr>
        <w:t xml:space="preserve">[fees] · [timeline]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Local quirks: </w:t>
      </w:r>
      <w:r>
        <w:rPr>
          <w:rFonts w:ascii="Segoe UI" w:cs="Segoe UI" w:eastAsia="Segoe UI" w:hAnsi="Segoe UI"/>
          <w:color w:val="5B6470"/>
        </w:rPr>
        <w:t xml:space="preserve">[reviewer preferences, common correction letters, local amendments to Ch. 32, unwritten expectations — from bulletins, correction-letter patterns, and portal notes]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</w:rPr>
        <w:t xml:space="preserve">AHJ contact: </w:t>
      </w:r>
      <w:r>
        <w:rPr>
          <w:rFonts w:ascii="Segoe UI" w:cs="Segoe UI" w:eastAsia="Segoe UI" w:hAnsi="Segoe UI"/>
          <w:color w:val="5B6470"/>
        </w:rPr>
        <w:t xml:space="preserve">[plan-review counter phone / email]</w:t>
      </w:r>
    </w:p>
    <w:p>
      <w:pPr>
        <w:pStyle w:val="Heading1"/>
        <w:pageBreakBefore/>
      </w:pPr>
      <w:r>
        <w:rPr>
          <w:rFonts w:ascii="Segoe UI" w:cs="Segoe UI" w:eastAsia="Segoe UI" w:hAnsi="Segoe UI"/>
          <w:b/>
          <w:bCs/>
          <w:color w:val="1C2230"/>
          <w:sz w:val="26"/>
          <w:szCs w:val="26"/>
        </w:rPr>
        <w:t xml:space="preserve">SECTION 2 — APPLICABLE 2025 CFC CHAPTER 32 SECTIONS</w:t>
      </w:r>
    </w:p>
    <w:p>
      <w:pPr>
        <w:spacing w:after="160"/>
      </w:pPr>
      <w:r>
        <w:rPr>
          <w:rFonts w:ascii="Segoe UI" w:cs="Segoe UI" w:eastAsia="Segoe UI" w:hAnsi="Segoe UI"/>
          <w:i/>
          <w:iCs/>
          <w:color w:val="5B6470"/>
          <w:sz w:val="19"/>
          <w:szCs w:val="19"/>
        </w:rPr>
        <w:t xml:space="preserve">The specific provisions this project triggers — cited, quoted where short, and mapped to the project. Not a Chapter 32 dump; only what applies, with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3100"/>
        <w:gridCol w:w="2310"/>
      </w:tblGrid>
      <w:tr>
        <w:trPr>
          <w:tblHeader/>
        </w:trPr>
        <w:tc>
          <w:tcPr>
            <w:tcW w:type="dxa" w:w="12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Section §</w:t>
            </w:r>
          </w:p>
        </w:tc>
        <w:tc>
          <w:tcPr>
            <w:tcW w:type="dxa" w:w="27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Requirement (plain-English summary)</w:t>
            </w:r>
          </w:p>
        </w:tc>
        <w:tc>
          <w:tcPr>
            <w:tcW w:type="dxa" w:w="31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How it applies to this project</w:t>
            </w:r>
          </w:p>
        </w:tc>
        <w:tc>
          <w:tcPr>
            <w:tcW w:type="dxa" w:w="231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Notes / local amendment</w:t>
            </w:r>
          </w:p>
        </w:tc>
      </w:tr>
      <w:tr>
        <w:tc>
          <w:tcPr>
            <w:tcW w:type="dxa" w:w="12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§3201 / §3202</w:t>
            </w:r>
          </w:p>
        </w:tc>
        <w:tc>
          <w:tcPr>
            <w:tcW w:type="dxa" w:w="27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Scope &amp; definitions</w:t>
            </w:r>
          </w:p>
        </w:tc>
        <w:tc>
          <w:tcPr>
            <w:tcW w:type="dxa" w:w="31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[How this project falls within HPS scope]</w:t>
            </w:r>
          </w:p>
        </w:tc>
        <w:tc>
          <w:tcPr>
            <w:tcW w:type="dxa" w:w="231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2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§3203</w:t>
            </w:r>
          </w:p>
        </w:tc>
        <w:tc>
          <w:tcPr>
            <w:tcW w:type="dxa" w:w="27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Commodity classification basis</w:t>
            </w:r>
          </w:p>
        </w:tc>
        <w:tc>
          <w:tcPr>
            <w:tcW w:type="dxa" w:w="31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[Cross-reference Section 3 — proposed classification]</w:t>
            </w:r>
          </w:p>
        </w:tc>
        <w:tc>
          <w:tcPr>
            <w:tcW w:type="dxa" w:w="231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2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Table 3206.2</w:t>
            </w:r>
          </w:p>
        </w:tc>
        <w:tc>
          <w:tcPr>
            <w:tcW w:type="dxa" w:w="27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Governing protection row (commodity class × HPS area)</w:t>
            </w:r>
          </w:p>
        </w:tc>
        <w:tc>
          <w:tcPr>
            <w:tcW w:type="dxa" w:w="31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[Governing row and the requirements it imposes]</w:t>
            </w:r>
          </w:p>
        </w:tc>
        <w:tc>
          <w:tcPr>
            <w:tcW w:type="dxa" w:w="231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2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§3206.10</w:t>
            </w:r>
          </w:p>
        </w:tc>
        <w:tc>
          <w:tcPr>
            <w:tcW w:type="dxa" w:w="27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Aisles</w:t>
            </w:r>
          </w:p>
        </w:tc>
        <w:tc>
          <w:tcPr>
            <w:tcW w:type="dxa" w:w="31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[Project aisle widths vs. requirement]</w:t>
            </w:r>
          </w:p>
        </w:tc>
        <w:tc>
          <w:tcPr>
            <w:tcW w:type="dxa" w:w="231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2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[§3207–§3209]</w:t>
            </w:r>
          </w:p>
        </w:tc>
        <w:tc>
          <w:tcPr>
            <w:tcW w:type="dxa" w:w="27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[Storage configuration — piles / racks, as applicable]</w:t>
            </w:r>
          </w:p>
        </w:tc>
        <w:tc>
          <w:tcPr>
            <w:tcW w:type="dxa" w:w="31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231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2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[§ ]</w:t>
            </w:r>
          </w:p>
        </w:tc>
        <w:tc>
          <w:tcPr>
            <w:tcW w:type="dxa" w:w="27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[Smoke removal / FD access / hose connections, if triggered]</w:t>
            </w:r>
          </w:p>
        </w:tc>
        <w:tc>
          <w:tcPr>
            <w:tcW w:type="dxa" w:w="31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231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2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[§ ]</w:t>
            </w:r>
          </w:p>
        </w:tc>
        <w:tc>
          <w:tcPr>
            <w:tcW w:type="dxa" w:w="27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31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231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</w:tbl>
    <w:p>
      <w:pPr>
        <w:spacing w:before="160"/>
      </w:pPr>
      <w:r>
        <w:rPr>
          <w:rFonts w:ascii="Segoe UI" w:cs="Segoe UI" w:eastAsia="Segoe UI" w:hAnsi="Segoe UI"/>
          <w:b/>
          <w:bCs/>
          <w:color w:val="1C2230"/>
        </w:rPr>
        <w:t xml:space="preserve">[EOR: Anything ambiguous is marked for engineer judgment rather than resolved by PermitWright.]</w:t>
      </w:r>
    </w:p>
    <w:p>
      <w:pPr>
        <w:pStyle w:val="Heading1"/>
        <w:pageBreakBefore/>
      </w:pPr>
      <w:r>
        <w:rPr>
          <w:rFonts w:ascii="Segoe UI" w:cs="Segoe UI" w:eastAsia="Segoe UI" w:hAnsi="Segoe UI"/>
          <w:b/>
          <w:bCs/>
          <w:color w:val="1C2230"/>
          <w:sz w:val="26"/>
          <w:szCs w:val="26"/>
        </w:rPr>
        <w:t xml:space="preserve">SECTION 3 — COMMODITY CLASSIFICATION WORKSHEET</w:t>
      </w:r>
    </w:p>
    <w:p>
      <w:pPr>
        <w:spacing w:after="160"/>
      </w:pPr>
      <w:r>
        <w:rPr>
          <w:rFonts w:ascii="Segoe UI" w:cs="Segoe UI" w:eastAsia="Segoe UI" w:hAnsi="Segoe UI"/>
          <w:i/>
          <w:iCs/>
          <w:color w:val="5B6470"/>
          <w:sz w:val="19"/>
          <w:szCs w:val="19"/>
        </w:rPr>
        <w:t xml:space="preserve">Prepared classification for the engineer to review and adopt or adjust.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1400"/>
        <w:gridCol w:w="1800"/>
        <w:gridCol w:w="2260"/>
      </w:tblGrid>
      <w:tr>
        <w:trPr>
          <w:tblHeader/>
        </w:trPr>
        <w:tc>
          <w:tcPr>
            <w:tcW w:type="dxa" w:w="21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Product</w:t>
            </w:r>
          </w:p>
        </w:tc>
        <w:tc>
          <w:tcPr>
            <w:tcW w:type="dxa" w:w="17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Packaging</w:t>
            </w:r>
          </w:p>
        </w:tc>
        <w:tc>
          <w:tcPr>
            <w:tcW w:type="dxa" w:w="14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Pallet type</w:t>
            </w:r>
          </w:p>
        </w:tc>
        <w:tc>
          <w:tcPr>
            <w:tcW w:type="dxa" w:w="18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Proposed class (I–IV / High-Hazard / Group A %)</w:t>
            </w:r>
          </w:p>
        </w:tc>
        <w:tc>
          <w:tcPr>
            <w:tcW w:type="dxa" w:w="22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Basis (CFC §3203 / NFPA 13 ref)</w:t>
            </w:r>
          </w:p>
        </w:tc>
      </w:tr>
      <w:tr>
        <w:tc>
          <w:tcPr>
            <w:tcW w:type="dxa" w:w="21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7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22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1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7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22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1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7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22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1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7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22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100" w:before="200"/>
      </w:pPr>
      <w:r>
        <w:rPr>
          <w:rFonts w:ascii="Segoe UI" w:cs="Segoe UI" w:eastAsia="Segoe UI" w:hAnsi="Segoe UI"/>
          <w:b/>
          <w:bCs/>
        </w:rPr>
        <w:t xml:space="preserve">Governing (worst-case) commodity determination: </w:t>
      </w:r>
      <w:r>
        <w:rPr>
          <w:rFonts w:ascii="Segoe UI" w:cs="Segoe UI" w:eastAsia="Segoe UI" w:hAnsi="Segoe UI"/>
          <w:color w:val="5B6470"/>
        </w:rPr>
        <w:t xml:space="preserve">[class + why]</w:t>
      </w:r>
    </w:p>
    <w:p>
      <w:pPr>
        <w:spacing w:after="100"/>
      </w:pPr>
      <w:r>
        <w:rPr>
          <w:rFonts w:ascii="Segoe UI" w:cs="Segoe UI" w:eastAsia="Segoe UI" w:hAnsi="Segoe UI"/>
          <w:b/>
          <w:bCs/>
        </w:rPr>
        <w:t xml:space="preserve">Mixed-commodity notes: </w:t>
      </w:r>
      <w:r>
        <w:rPr>
          <w:rFonts w:ascii="Segoe UI" w:cs="Segoe UI" w:eastAsia="Segoe UI" w:hAnsi="Segoe UI"/>
          <w:color w:val="5B6470"/>
        </w:rPr>
        <w:t xml:space="preserve">[if applicable]</w:t>
      </w:r>
    </w:p>
    <w:p>
      <w:pPr>
        <w:spacing w:before="120"/>
      </w:pPr>
      <w:r>
        <w:rPr>
          <w:rFonts w:ascii="Segoe UI" w:cs="Segoe UI" w:eastAsia="Segoe UI" w:hAnsi="Segoe UI"/>
          <w:b/>
          <w:bCs/>
          <w:i/>
          <w:iCs/>
        </w:rPr>
        <w:t xml:space="preserve">Classification proposed for EOR review — final determination is the engineer's.</w:t>
      </w:r>
    </w:p>
    <w:p>
      <w:pPr>
        <w:pStyle w:val="Heading1"/>
        <w:pageBreakBefore/>
      </w:pPr>
      <w:r>
        <w:rPr>
          <w:rFonts w:ascii="Segoe UI" w:cs="Segoe UI" w:eastAsia="Segoe UI" w:hAnsi="Segoe UI"/>
          <w:b/>
          <w:bCs/>
          <w:color w:val="1C2230"/>
          <w:sz w:val="26"/>
          <w:szCs w:val="26"/>
        </w:rPr>
        <w:t xml:space="preserve">SECTION 4 — STORAGE HEIGHT &amp; AREA TRIGGER ANALYSIS</w:t>
      </w:r>
    </w:p>
    <w:p>
      <w:pPr>
        <w:spacing w:after="160"/>
      </w:pPr>
      <w:r>
        <w:rPr>
          <w:rFonts w:ascii="Segoe UI" w:cs="Segoe UI" w:eastAsia="Segoe UI" w:hAnsi="Segoe UI"/>
          <w:i/>
          <w:iCs/>
          <w:color w:val="5B6470"/>
          <w:sz w:val="19"/>
          <w:szCs w:val="19"/>
        </w:rPr>
        <w:t xml:space="preserve">Which thresholds this project crosses and what each crossing requires.</w:t>
      </w:r>
    </w:p>
    <w:p>
      <w:pPr>
        <w:spacing w:after="100"/>
      </w:pPr>
      <w:r>
        <w:rPr>
          <w:rFonts w:ascii="Segoe UI" w:cs="Segoe UI" w:eastAsia="Segoe UI" w:hAnsi="Segoe UI"/>
          <w:b/>
          <w:bCs/>
        </w:rPr>
        <w:t xml:space="preserve">Key numbers: </w:t>
      </w:r>
      <w:r>
        <w:rPr>
          <w:rFonts w:ascii="Segoe UI" w:cs="Segoe UI" w:eastAsia="Segoe UI" w:hAnsi="Segoe UI"/>
          <w:color w:val="5B6470"/>
        </w:rPr>
        <w:t xml:space="preserve">storage height [X ft] · HPS area [X sf] · commodity class [from Section 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50"/>
        <w:gridCol w:w="105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Threshold</w:t>
            </w:r>
          </w:p>
        </w:tc>
        <w:tc>
          <w:tcPr>
            <w:tcW w:type="dxa" w:w="14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This project</w:t>
            </w:r>
          </w:p>
        </w:tc>
        <w:tc>
          <w:tcPr>
            <w:tcW w:type="dxa" w:w="10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Crossed?</w:t>
            </w:r>
          </w:p>
        </w:tc>
        <w:tc>
          <w:tcPr>
            <w:tcW w:type="dxa" w:w="43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Consequence (permit scope · protection · documents)</w:t>
            </w:r>
          </w:p>
        </w:tc>
      </w:tr>
      <w:tr>
        <w:tc>
          <w:tcPr>
            <w:tcW w:type="dxa" w:w="25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Storage height &gt; 12 ft (HPS trigger; &gt; 6 ft high-hazard)</w:t>
            </w:r>
          </w:p>
        </w:tc>
        <w:tc>
          <w:tcPr>
            <w:tcW w:type="dxa" w:w="14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[X ft]</w:t>
            </w:r>
          </w:p>
        </w:tc>
        <w:tc>
          <w:tcPr>
            <w:tcW w:type="dxa" w:w="10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[Yes/No]</w:t>
            </w:r>
          </w:p>
        </w:tc>
        <w:tc>
          <w:tcPr>
            <w:tcW w:type="dxa" w:w="43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HPS area ≥ 500 sf</w:t>
            </w:r>
          </w:p>
        </w:tc>
        <w:tc>
          <w:tcPr>
            <w:tcW w:type="dxa" w:w="14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[X sf]</w:t>
            </w:r>
          </w:p>
        </w:tc>
        <w:tc>
          <w:tcPr>
            <w:tcW w:type="dxa" w:w="10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[Yes/No]</w:t>
            </w:r>
          </w:p>
        </w:tc>
        <w:tc>
          <w:tcPr>
            <w:tcW w:type="dxa" w:w="43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HPS area &gt; 2,500 sf</w:t>
            </w:r>
          </w:p>
        </w:tc>
        <w:tc>
          <w:tcPr>
            <w:tcW w:type="dxa" w:w="14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[X sf]</w:t>
            </w:r>
          </w:p>
        </w:tc>
        <w:tc>
          <w:tcPr>
            <w:tcW w:type="dxa" w:w="10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[Yes/No]</w:t>
            </w:r>
          </w:p>
        </w:tc>
        <w:tc>
          <w:tcPr>
            <w:tcW w:type="dxa" w:w="43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HPS area &gt; 12,000 sf</w:t>
            </w:r>
          </w:p>
        </w:tc>
        <w:tc>
          <w:tcPr>
            <w:tcW w:type="dxa" w:w="14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[X sf]</w:t>
            </w:r>
          </w:p>
        </w:tc>
        <w:tc>
          <w:tcPr>
            <w:tcW w:type="dxa" w:w="10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[Yes/No]</w:t>
            </w:r>
          </w:p>
        </w:tc>
        <w:tc>
          <w:tcPr>
            <w:tcW w:type="dxa" w:w="43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HPS area &gt; 500,000 sf</w:t>
            </w:r>
          </w:p>
        </w:tc>
        <w:tc>
          <w:tcPr>
            <w:tcW w:type="dxa" w:w="14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[X sf]</w:t>
            </w:r>
          </w:p>
        </w:tc>
        <w:tc>
          <w:tcPr>
            <w:tcW w:type="dxa" w:w="10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[Yes/No]</w:t>
            </w:r>
          </w:p>
        </w:tc>
        <w:tc>
          <w:tcPr>
            <w:tcW w:type="dxa" w:w="43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Sprinkler design implications</w:t>
            </w:r>
          </w:p>
        </w:tc>
        <w:tc>
          <w:tcPr>
            <w:tcW w:type="dxa" w:w="14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[EOR: flagged for the engineer of record / fire protection engineer — not designed by PermitWright]</w:t>
            </w:r>
          </w:p>
        </w:tc>
      </w:tr>
      <w:tr>
        <w:tc>
          <w:tcPr>
            <w:tcW w:type="dxa" w:w="25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[Additional threshold]</w:t>
            </w:r>
          </w:p>
        </w:tc>
        <w:tc>
          <w:tcPr>
            <w:tcW w:type="dxa" w:w="14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105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43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</w:tbl>
    <w:p>
      <w:pPr>
        <w:spacing w:before="200"/>
      </w:pPr>
      <w:r>
        <w:rPr>
          <w:rFonts w:ascii="Segoe UI" w:cs="Segoe UI" w:eastAsia="Segoe UI" w:hAnsi="Segoe UI"/>
          <w:b/>
          <w:bCs/>
        </w:rPr>
        <w:t xml:space="preserve">Summary: </w:t>
      </w:r>
      <w:r>
        <w:rPr>
          <w:rFonts w:ascii="Segoe UI" w:cs="Segoe UI" w:eastAsia="Segoe UI" w:hAnsi="Segoe UI"/>
          <w:color w:val="5B6470"/>
        </w:rPr>
        <w:t xml:space="preserve">[One-paragraph plain-English summary: “This project is a [class] / [area] HPS application requiring [scope].”]</w:t>
      </w:r>
    </w:p>
    <w:p>
      <w:pPr>
        <w:pStyle w:val="Heading1"/>
        <w:pageBreakBefore/>
      </w:pPr>
      <w:r>
        <w:rPr>
          <w:rFonts w:ascii="Segoe UI" w:cs="Segoe UI" w:eastAsia="Segoe UI" w:hAnsi="Segoe UI"/>
          <w:b/>
          <w:bCs/>
          <w:color w:val="1C2230"/>
          <w:sz w:val="26"/>
          <w:szCs w:val="26"/>
        </w:rPr>
        <w:t xml:space="preserve">SECTION 5 — DRAFT PERMIT NARRATIVE</w:t>
      </w:r>
    </w:p>
    <w:p>
      <w:pPr>
        <w:spacing w:after="160"/>
      </w:pPr>
      <w:r>
        <w:rPr>
          <w:rFonts w:ascii="Segoe UI" w:cs="Segoe UI" w:eastAsia="Segoe UI" w:hAnsi="Segoe UI"/>
          <w:i/>
          <w:iCs/>
          <w:color w:val="5B6470"/>
          <w:sz w:val="19"/>
          <w:szCs w:val="19"/>
        </w:rPr>
        <w:t xml:space="preserve">Formatted to [City]'s conventions, written to be adapted, finalized, and stamped by the engineer of record.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1C2230"/>
          <w:sz w:val="21"/>
          <w:szCs w:val="21"/>
        </w:rPr>
        <w:t xml:space="preserve">Project Description</w:t>
      </w:r>
    </w:p>
    <w:p>
      <w:pPr>
        <w:spacing w:after="100"/>
      </w:pPr>
      <w:r>
        <w:rPr>
          <w:rFonts w:ascii="Segoe UI" w:cs="Segoe UI" w:eastAsia="Segoe UI" w:hAnsi="Segoe UI"/>
          <w:color w:val="5B6470"/>
        </w:rPr>
        <w:t xml:space="preserve">[Project description paragraph — site, building, proposed storage operation]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1C2230"/>
          <w:sz w:val="21"/>
          <w:szCs w:val="21"/>
        </w:rPr>
        <w:t xml:space="preserve">Code Analysis Summary</w:t>
      </w:r>
    </w:p>
    <w:p>
      <w:pPr>
        <w:spacing w:after="100"/>
      </w:pPr>
      <w:r>
        <w:rPr>
          <w:rFonts w:ascii="Segoe UI" w:cs="Segoe UI" w:eastAsia="Segoe UI" w:hAnsi="Segoe UI"/>
          <w:color w:val="5B6470"/>
        </w:rPr>
        <w:t xml:space="preserve">[Pulls Sections 2–4 into the AHJ's expected narrative structure]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1C2230"/>
        </w:rPr>
        <w:t xml:space="preserve">[EOR: confirm the analysis reflects your independent review before adoption]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1C2230"/>
          <w:sz w:val="21"/>
          <w:szCs w:val="21"/>
        </w:rPr>
        <w:t xml:space="preserve">Commodity &amp; Storage Configuration Statement</w:t>
      </w:r>
    </w:p>
    <w:p>
      <w:pPr>
        <w:spacing w:after="100"/>
      </w:pPr>
      <w:r>
        <w:rPr>
          <w:rFonts w:ascii="Segoe UI" w:cs="Segoe UI" w:eastAsia="Segoe UI" w:hAnsi="Segoe UI"/>
          <w:color w:val="5B6470"/>
        </w:rPr>
        <w:t xml:space="preserve">[Commodity classes, storage arrangement, heights, aisles]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1C2230"/>
          <w:sz w:val="21"/>
          <w:szCs w:val="21"/>
        </w:rPr>
        <w:t xml:space="preserve">Protection Summary</w:t>
      </w:r>
    </w:p>
    <w:p>
      <w:pPr>
        <w:spacing w:after="100"/>
      </w:pPr>
      <w:r>
        <w:rPr>
          <w:rFonts w:ascii="Segoe UI" w:cs="Segoe UI" w:eastAsia="Segoe UI" w:hAnsi="Segoe UI"/>
          <w:color w:val="5B6470"/>
        </w:rPr>
        <w:t xml:space="preserve">[Existing / proposed systems — referencing, not performing, the engineering]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1C2230"/>
        </w:rPr>
        <w:t xml:space="preserve">[EOR: protection design statements require engineer/fire-protection-engineer input]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1C2230"/>
          <w:sz w:val="21"/>
          <w:szCs w:val="21"/>
        </w:rPr>
        <w:t xml:space="preserve">Engineer of Record — Information &amp; Stamp</w:t>
      </w:r>
    </w:p>
    <w:p>
      <w:pPr>
        <w:spacing w:after="100"/>
      </w:pPr>
      <w:r>
        <w:rPr>
          <w:rFonts w:ascii="Segoe UI" w:cs="Segoe UI" w:eastAsia="Segoe UI" w:hAnsi="Segoe UI"/>
          <w:b/>
          <w:bCs/>
        </w:rPr>
        <w:t xml:space="preserve">Engineer: </w:t>
      </w:r>
      <w:r>
        <w:rPr>
          <w:rFonts w:ascii="Segoe UI" w:cs="Segoe UI" w:eastAsia="Segoe UI" w:hAnsi="Segoe UI"/>
          <w:color w:val="5B6470"/>
        </w:rPr>
        <w:t xml:space="preserve">[name, PE]</w:t>
      </w:r>
      <w:r>
        <w:rPr>
          <w:rFonts w:ascii="Segoe UI" w:cs="Segoe UI" w:eastAsia="Segoe UI" w:hAnsi="Segoe UI"/>
          <w:b/>
          <w:bCs/>
        </w:rPr>
        <w:t xml:space="preserve">      License: </w:t>
      </w:r>
      <w:r>
        <w:rPr>
          <w:rFonts w:ascii="Segoe UI" w:cs="Segoe UI" w:eastAsia="Segoe UI" w:hAnsi="Segoe UI"/>
          <w:color w:val="5B6470"/>
        </w:rPr>
        <w:t xml:space="preserve">[number]</w:t>
      </w:r>
    </w:p>
    <w:p>
      <w:pPr>
        <w:spacing w:after="100"/>
      </w:pPr>
      <w:r>
        <w:rPr>
          <w:rFonts w:ascii="Segoe UI" w:cs="Segoe UI" w:eastAsia="Segoe UI" w:hAnsi="Segoe UI"/>
          <w:b/>
          <w:bCs/>
        </w:rPr>
        <w:t xml:space="preserve">Firm: </w:t>
      </w:r>
      <w:r>
        <w:rPr>
          <w:rFonts w:ascii="Segoe UI" w:cs="Segoe UI" w:eastAsia="Segoe UI" w:hAnsi="Segoe UI"/>
          <w:color w:val="5B6470"/>
        </w:rPr>
        <w:t xml:space="preserve">[firm]</w:t>
      </w:r>
      <w:r>
        <w:rPr>
          <w:rFonts w:ascii="Segoe UI" w:cs="Segoe UI" w:eastAsia="Segoe UI" w:hAnsi="Segoe UI"/>
          <w:b/>
          <w:bCs/>
        </w:rPr>
        <w:t xml:space="preserve">      Date: </w:t>
      </w:r>
      <w:r>
        <w:rPr>
          <w:rFonts w:ascii="Segoe UI" w:cs="Segoe UI" w:eastAsia="Segoe UI" w:hAnsi="Segoe UI"/>
          <w:color w:val="5B6470"/>
        </w:rPr>
        <w:t xml:space="preserve">[date]</w:t>
      </w:r>
    </w:p>
    <w:p>
      <w:pPr>
        <w:spacing w:after="100"/>
      </w:pPr>
      <w:r>
        <w:rPr>
          <w:rFonts w:ascii="Segoe UI" w:cs="Segoe UI" w:eastAsia="Segoe UI" w:hAnsi="Segoe UI"/>
          <w:b/>
          <w:bCs/>
        </w:rPr>
        <w:t xml:space="preserve">Signature: </w:t>
      </w:r>
      <w:r>
        <w:rPr>
          <w:rFonts w:ascii="Segoe UI" w:cs="Segoe UI" w:eastAsia="Segoe UI" w:hAnsi="Segoe UI"/>
        </w:rPr>
        <w:t xml:space="preserve">_______________________________</w:t>
      </w:r>
    </w:p>
    <w:p>
      <w:pPr>
        <w:pBdr>
          <w:top w:val="single" w:color="5B6470" w:sz="6" w:space="12"/>
          <w:left w:val="single" w:color="5B6470" w:sz="6" w:space="12"/>
          <w:right w:val="single" w:color="5B6470" w:sz="6" w:space="12"/>
        </w:pBdr>
        <w:spacing w:before="240"/>
      </w:pPr>
      <w:r>
        <w:rPr>
          <w:rFonts w:ascii="Segoe UI" w:cs="Segoe UI" w:eastAsia="Segoe UI" w:hAnsi="Segoe UI"/>
          <w:color w:val="5B6470"/>
          <w:sz w:val="17"/>
          <w:szCs w:val="17"/>
        </w:rPr>
        <w:t xml:space="preserve">STAMP</w:t>
      </w:r>
    </w:p>
    <w:p>
      <w:pPr>
        <w:pBdr>
          <w:left w:val="single" w:color="5B6470" w:sz="6" w:space="12"/>
          <w:right w:val="single" w:color="5B6470" w:sz="6" w:space="12"/>
        </w:pBdr>
      </w:pPr>
      <w:r>
        <w:rPr>
          <w:rFonts w:ascii="Segoe UI" w:cs="Segoe UI" w:eastAsia="Segoe UI" w:hAnsi="Segoe UI"/>
          <w:sz w:val="40"/>
          <w:szCs w:val="40"/>
        </w:rPr>
        <w:t xml:space="preserve"> </w:t>
      </w:r>
    </w:p>
    <w:p>
      <w:pPr>
        <w:pBdr>
          <w:left w:val="single" w:color="5B6470" w:sz="6" w:space="12"/>
          <w:right w:val="single" w:color="5B6470" w:sz="6" w:space="12"/>
        </w:pBdr>
      </w:pPr>
      <w:r>
        <w:rPr>
          <w:rFonts w:ascii="Segoe UI" w:cs="Segoe UI" w:eastAsia="Segoe UI" w:hAnsi="Segoe UI"/>
          <w:sz w:val="40"/>
          <w:szCs w:val="40"/>
        </w:rPr>
        <w:t xml:space="preserve"> </w:t>
      </w:r>
    </w:p>
    <w:p>
      <w:pPr>
        <w:pBdr>
          <w:left w:val="single" w:color="5B6470" w:sz="6" w:space="12"/>
          <w:right w:val="single" w:color="5B6470" w:sz="6" w:space="12"/>
        </w:pBdr>
      </w:pPr>
      <w:r>
        <w:rPr>
          <w:rFonts w:ascii="Segoe UI" w:cs="Segoe UI" w:eastAsia="Segoe UI" w:hAnsi="Segoe UI"/>
          <w:sz w:val="40"/>
          <w:szCs w:val="40"/>
        </w:rPr>
        <w:t xml:space="preserve"> </w:t>
      </w:r>
    </w:p>
    <w:p>
      <w:pPr>
        <w:pBdr>
          <w:bottom w:val="single" w:color="5B6470" w:sz="6" w:space="12"/>
          <w:left w:val="single" w:color="5B6470" w:sz="6" w:space="12"/>
          <w:right w:val="single" w:color="5B6470" w:sz="6" w:space="12"/>
        </w:pBdr>
      </w:pPr>
      <w:r>
        <w:rPr>
          <w:rFonts w:ascii="Segoe UI" w:cs="Segoe UI" w:eastAsia="Segoe UI" w:hAnsi="Segoe UI"/>
          <w:sz w:val="20"/>
          <w:szCs w:val="20"/>
        </w:rPr>
        <w:t xml:space="preserve"> </w:t>
      </w:r>
    </w:p>
    <w:p>
      <w:pPr>
        <w:pStyle w:val="Heading1"/>
        <w:pageBreakBefore/>
      </w:pPr>
      <w:r>
        <w:rPr>
          <w:rFonts w:ascii="Segoe UI" w:cs="Segoe UI" w:eastAsia="Segoe UI" w:hAnsi="Segoe UI"/>
          <w:b/>
          <w:bCs/>
          <w:color w:val="1C2230"/>
          <w:sz w:val="26"/>
          <w:szCs w:val="26"/>
        </w:rPr>
        <w:t xml:space="preserve">SOURCES &amp; VERSION</w:t>
      </w:r>
    </w:p>
    <w:p>
      <w:pPr>
        <w:spacing w:after="160"/>
      </w:pPr>
      <w:r>
        <w:rPr>
          <w:rFonts w:ascii="Segoe UI" w:cs="Segoe UI" w:eastAsia="Segoe UI" w:hAnsi="Segoe UI"/>
          <w:i/>
          <w:iCs/>
          <w:color w:val="5B6470"/>
          <w:sz w:val="19"/>
          <w:szCs w:val="19"/>
        </w:rPr>
        <w:t xml:space="preserve">Every source cited — code sections (with edition), AHJ documents (with retrieval date and URL), portal 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5B6470"/>
        </w:rPr>
        <w:t xml:space="preserve">[Code sections cited, with edition]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5B6470"/>
        </w:rPr>
        <w:t xml:space="preserve">[AHJ document — title, retrieval date, URL]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5B6470"/>
        </w:rPr>
        <w:t xml:space="preserve">[Portal reference — record type / examples, retrieval date]</w:t>
      </w:r>
    </w:p>
    <w:p>
      <w:pPr>
        <w:spacing w:after="200" w:before="160"/>
      </w:pPr>
      <w:r>
        <w:rPr>
          <w:rFonts w:ascii="Segoe UI" w:cs="Segoe UI" w:eastAsia="Segoe UI" w:hAnsi="Segoe UI"/>
          <w:b/>
          <w:bCs/>
        </w:rPr>
        <w:t xml:space="preserve">Current as of: </w:t>
      </w:r>
      <w:r>
        <w:rPr>
          <w:rFonts w:ascii="Segoe UI" w:cs="Segoe UI" w:eastAsia="Segoe UI" w:hAnsi="Segoe UI"/>
          <w:color w:val="5B6470"/>
        </w:rPr>
        <w:t xml:space="preserve">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223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[date]</w:t>
            </w:r>
          </w:p>
        </w:tc>
        <w:tc>
          <w:tcPr>
            <w:tcW w:type="dxa" w:w="58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Initial issue</w:t>
            </w:r>
          </w:p>
        </w:tc>
      </w:tr>
      <w:tr>
        <w:tc>
          <w:tcPr>
            <w:tcW w:type="dxa" w:w="15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  <w:tc>
          <w:tcPr>
            <w:tcW w:type="dxa" w:w="5860"/>
            <w:tcBorders>
              <w:top w:val="single" w:color="D8DDE5" w:sz="4"/>
              <w:left w:val="single" w:color="D8DDE5" w:sz="4"/>
              <w:bottom w:val="single" w:color="D8DDE5" w:sz="4"/>
              <w:right w:val="single" w:color="D8DD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B6470"/>
                <w:sz w:val="19"/>
                <w:szCs w:val="19"/>
              </w:rPr>
              <w:t xml:space="preserve">[ ]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DE5" w:sz="4" w:space="4"/>
      </w:pBdr>
      <w:jc w:val="center"/>
    </w:pPr>
    <w:r>
      <w:rPr>
        <w:rFonts w:ascii="Segoe UI" w:cs="Segoe UI" w:eastAsia="Segoe UI" w:hAnsi="Segoe UI"/>
        <w:color w:val="5B6470"/>
        <w:sz w:val="16"/>
        <w:szCs w:val="16"/>
      </w:rPr>
      <w:t xml:space="preserve">PermitWright · Jurisdiction Research Package · </w:t>
    </w:r>
    <w:r>
      <w:rPr>
        <w:rFonts w:ascii="Segoe UI" w:cs="Segoe UI" w:eastAsia="Segoe UI" w:hAnsi="Segoe UI"/>
        <w:color w:val="5B6470"/>
        <w:sz w:val="16"/>
        <w:szCs w:val="16"/>
      </w:rPr>
      <w:t xml:space="preserve">[Project]</w:t>
    </w:r>
    <w:r>
      <w:rPr>
        <w:rFonts w:ascii="Segoe UI" w:cs="Segoe UI" w:eastAsia="Segoe UI" w:hAnsi="Segoe UI"/>
        <w:color w:val="5B6470"/>
        <w:sz w:val="16"/>
        <w:szCs w:val="16"/>
      </w:rPr>
      <w:t xml:space="preserve"> · Page </w:t>
    </w:r>
    <w:r>
      <w:rPr>
        <w:rFonts w:ascii="Segoe UI" w:cs="Segoe UI" w:eastAsia="Segoe UI" w:hAnsi="Segoe UI"/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jc w:val="center"/>
    </w:pPr>
    <w:r>
      <w:rPr>
        <w:rFonts w:ascii="Segoe UI" w:cs="Segoe UI" w:eastAsia="Segoe UI" w:hAnsi="Segoe UI"/>
        <w:i/>
        <w:iCs/>
        <w:color w:val="5B6470"/>
        <w:sz w:val="15"/>
        <w:szCs w:val="15"/>
      </w:rPr>
      <w:t xml:space="preserve">Code research current to the 2025 California Building Standards Code.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C22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A6" w:sz="8" w:space="4"/>
      </w:pBdr>
      <w:spacing w:after="160" w:before="120"/>
      <w:outlineLvl w:val="0"/>
    </w:pPr>
    <w:rPr>
      <w:rFonts w:ascii="Segoe UI" w:cs="Segoe UI" w:eastAsia="Segoe UI" w:hAnsi="Segoe UI"/>
      <w:b/>
      <w:bCs/>
      <w:color w:val="1C223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Segoe UI" w:cs="Segoe UI" w:eastAsia="Segoe UI" w:hAnsi="Segoe UI"/>
      <w:b/>
      <w:bCs/>
      <w:color w:val="1C223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PermitWright — Jurisdiction Research Package (Template)</dc:title>
  <dc:creator>PermitWright</dc:creator>
  <dc:description>High-piled storage permit research package template. Code research and document preparation only; all engineering judgment remains with the engineer of record.</dc:description>
  <cp:lastModifiedBy>Un-named</cp:lastModifiedBy>
  <cp:revision>1</cp:revision>
  <dcterms:created xsi:type="dcterms:W3CDTF">2026-07-08T17:48:55.106Z</dcterms:created>
  <dcterms:modified xsi:type="dcterms:W3CDTF">2026-07-08T17:48:55.106Z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