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Segoe UI" w:cs="Segoe UI" w:eastAsia="Segoe UI" w:hAnsi="Segoe UI"/>
        </w:rPr>
        <w:t xml:space="preserve"/>
      </w:r>
    </w:p>
    <w:p>
      <w:pPr>
        <w:pBdr>
          <w:bottom w:val="single" w:color="1F5FA6" w:sz="12" w:space="6"/>
        </w:pBdr>
        <w:spacing w:after="40"/>
      </w:pPr>
      <w:r>
        <w:rPr>
          <w:rFonts w:ascii="Segoe UI" w:cs="Segoe UI" w:eastAsia="Segoe UI" w:hAnsi="Segoe UI"/>
          <w:b/>
          <w:bCs/>
          <w:color w:val="1C2230"/>
          <w:sz w:val="60"/>
          <w:szCs w:val="60"/>
        </w:rPr>
        <w:t xml:space="preserve">Permit</w:t>
      </w:r>
      <w:r>
        <w:rPr>
          <w:rFonts w:ascii="Segoe UI" w:cs="Segoe UI" w:eastAsia="Segoe UI" w:hAnsi="Segoe UI"/>
          <w:b/>
          <w:bCs/>
          <w:color w:val="1F5FA6"/>
          <w:sz w:val="60"/>
          <w:szCs w:val="60"/>
        </w:rPr>
        <w:t xml:space="preserve">Wright</w:t>
      </w:r>
    </w:p>
    <w:p>
      <w:pPr>
        <w:spacing w:after="300" w:before="120"/>
      </w:pPr>
      <w:r>
        <w:rPr>
          <w:rFonts w:ascii="Segoe UI" w:cs="Segoe UI" w:eastAsia="Segoe UI" w:hAnsi="Segoe UI"/>
          <w:color w:val="5B6470"/>
          <w:sz w:val="28"/>
          <w:szCs w:val="28"/>
        </w:rPr>
        <w:t xml:space="preserve">High-Piled Storage Permit Research Package</w:t>
      </w:r>
    </w:p>
    <w:p>
      <w:pPr>
        <w:pBdr>
          <w:top w:val="single" w:color="E09B3D" w:sz="12" w:space="8"/>
          <w:bottom w:val="single" w:color="E09B3D" w:sz="12" w:space="8"/>
          <w:left w:val="single" w:color="E09B3D" w:sz="12" w:space="10"/>
          <w:right w:val="single" w:color="E09B3D" w:sz="12" w:space="8"/>
        </w:pBdr>
        <w:shd w:fill="FFF4E5" w:val="clear"/>
        <w:spacing w:after="300"/>
      </w:pPr>
      <w:r>
        <w:rPr>
          <w:rFonts w:ascii="Segoe UI" w:cs="Segoe UI" w:eastAsia="Segoe UI" w:hAnsi="Segoe UI"/>
          <w:b/>
          <w:bCs/>
          <w:color w:val="7A4D12"/>
          <w:sz w:val="20"/>
          <w:szCs w:val="20"/>
        </w:rPr>
        <w:t xml:space="preserve">SAMPLE PACKAGE — DEMONSTRATION ONLY. </w:t>
      </w:r>
      <w:r>
        <w:rPr>
          <w:rFonts w:ascii="Segoe UI" w:cs="Segoe UI" w:eastAsia="Segoe UI" w:hAnsi="Segoe UI"/>
          <w:color w:val="7A4D12"/>
          <w:sz w:val="19"/>
          <w:szCs w:val="19"/>
        </w:rPr>
        <w:t xml:space="preserve">Prepared on a fictional representative project to show the deliverable's format and depth. Not for submittal. A purchased package is researched fresh for your project and jurisdiction.</w:t>
      </w:r>
    </w:p>
    <w:p>
      <w:pPr>
        <w:spacing w:after="90"/>
      </w:pPr>
      <w:r>
        <w:rPr>
          <w:rFonts w:ascii="Segoe UI" w:cs="Segoe UI" w:eastAsia="Segoe UI" w:hAnsi="Segoe UI"/>
          <w:b/>
          <w:bCs/>
        </w:rPr>
        <w:t xml:space="preserve">Project: </w:t>
      </w:r>
      <w:r>
        <w:rPr>
          <w:rFonts w:ascii="Segoe UI" w:cs="Segoe UI" w:eastAsia="Segoe UI" w:hAnsi="Segoe UI"/>
        </w:rPr>
        <w:t xml:space="preserve">Sample — Fontana Distribution Center (fictional demonstration site)</w:t>
      </w:r>
    </w:p>
    <w:p>
      <w:pPr>
        <w:spacing w:after="90"/>
      </w:pPr>
      <w:r>
        <w:rPr>
          <w:rFonts w:ascii="Segoe UI" w:cs="Segoe UI" w:eastAsia="Segoe UI" w:hAnsi="Segoe UI"/>
          <w:b/>
          <w:bCs/>
        </w:rPr>
        <w:t xml:space="preserve">Jurisdiction: </w:t>
      </w:r>
      <w:r>
        <w:rPr>
          <w:rFonts w:ascii="Segoe UI" w:cs="Segoe UI" w:eastAsia="Segoe UI" w:hAnsi="Segoe UI"/>
        </w:rPr>
        <w:t xml:space="preserve">City of Fontana — Fontana Fire, Fire Prevention (FHPS record) · Building &amp; Safety (rack permit)</w:t>
      </w:r>
    </w:p>
    <w:p>
      <w:pPr>
        <w:spacing w:after="90"/>
      </w:pPr>
      <w:r>
        <w:rPr>
          <w:rFonts w:ascii="Segoe UI" w:cs="Segoe UI" w:eastAsia="Segoe UI" w:hAnsi="Segoe UI"/>
          <w:b/>
          <w:bCs/>
        </w:rPr>
        <w:t xml:space="preserve">Prepared for: </w:t>
      </w:r>
      <w:r>
        <w:rPr>
          <w:rFonts w:ascii="Segoe UI" w:cs="Segoe UI" w:eastAsia="Segoe UI" w:hAnsi="Segoe UI"/>
          <w:color w:val="5B6470"/>
        </w:rPr>
        <w:t xml:space="preserve">[Engineer name, PE], [Firm]</w:t>
      </w:r>
    </w:p>
    <w:p>
      <w:pPr>
        <w:spacing w:after="90"/>
      </w:pPr>
      <w:r>
        <w:rPr>
          <w:rFonts w:ascii="Segoe UI" w:cs="Segoe UI" w:eastAsia="Segoe UI" w:hAnsi="Segoe UI"/>
          <w:b/>
          <w:bCs/>
        </w:rPr>
        <w:t xml:space="preserve">Prepared by: </w:t>
      </w:r>
      <w:r>
        <w:rPr>
          <w:rFonts w:ascii="Segoe UI" w:cs="Segoe UI" w:eastAsia="Segoe UI" w:hAnsi="Segoe UI"/>
        </w:rPr>
        <w:t xml:space="preserve">Uriel Rojas · PermitWright LLC · uriel@permitwright.com</w:t>
      </w:r>
    </w:p>
    <w:p>
      <w:pPr>
        <w:spacing w:after="400"/>
      </w:pPr>
      <w:r>
        <w:rPr>
          <w:rFonts w:ascii="Segoe UI" w:cs="Segoe UI" w:eastAsia="Segoe UI" w:hAnsi="Segoe UI"/>
          <w:b/>
          <w:bCs/>
        </w:rPr>
        <w:t xml:space="preserve">Date: </w:t>
      </w:r>
      <w:r>
        <w:rPr>
          <w:rFonts w:ascii="Segoe UI" w:cs="Segoe UI" w:eastAsia="Segoe UI" w:hAnsi="Segoe UI"/>
        </w:rPr>
        <w:t xml:space="preserve">July 7, 2026</w:t>
      </w:r>
      <w:r>
        <w:rPr>
          <w:rFonts w:ascii="Segoe UI" w:cs="Segoe UI" w:eastAsia="Segoe UI" w:hAnsi="Segoe UI"/>
          <w:b/>
          <w:bCs/>
        </w:rPr>
        <w:t xml:space="preserve">      Package version: </w:t>
      </w:r>
      <w:r>
        <w:rPr>
          <w:rFonts w:ascii="Segoe UI" w:cs="Segoe UI" w:eastAsia="Segoe UI" w:hAnsi="Segoe UI"/>
        </w:rPr>
        <w:t xml:space="preserve">v1.1 (sample)</w:t>
      </w:r>
    </w:p>
    <w:p>
      <w:pPr>
        <w:spacing w:after="300"/>
      </w:pPr>
      <w:r>
        <w:rPr>
          <w:rFonts w:ascii="Segoe UI" w:cs="Segoe UI" w:eastAsia="Segoe UI" w:hAnsi="Segoe UI"/>
          <w:i/>
          <w:iCs/>
          <w:color w:val="5B6470"/>
          <w:sz w:val="19"/>
          <w:szCs w:val="19"/>
        </w:rPr>
        <w:t xml:space="preserve">Researched against the 2025 California Building Standards Code (2025 CFC, effective January 1, 2026) and ASCE 7-22, plus City of Fontana local practice as of July 7, 2026.</w:t>
      </w:r>
    </w:p>
    <w:p>
      <w:pPr>
        <w:pBdr>
          <w:top w:val="single" w:color="1F5FA6" w:sz="8" w:space="8"/>
          <w:bottom w:val="single" w:color="1F5FA6" w:sz="8" w:space="8"/>
          <w:left w:val="single" w:color="1F5FA6" w:sz="24" w:space="10"/>
          <w:right w:val="single" w:color="1F5FA6" w:sz="8" w:space="8"/>
        </w:pBdr>
        <w:shd w:fill="F5F7FA" w:val="clear"/>
        <w:spacing w:after="100"/>
      </w:pPr>
      <w:r>
        <w:rPr>
          <w:rFonts w:ascii="Segoe UI" w:cs="Segoe UI" w:eastAsia="Segoe UI" w:hAnsi="Segoe UI"/>
          <w:b/>
          <w:bCs/>
          <w:color w:val="1F5FA6"/>
          <w:sz w:val="17"/>
          <w:szCs w:val="17"/>
        </w:rPr>
        <w:t xml:space="preserve">ENGINEER OF RECORD</w:t>
      </w:r>
    </w:p>
    <w:p>
      <w:pPr>
        <w:pBdr>
          <w:bottom w:val="single" w:color="1F5FA6" w:sz="8" w:space="8"/>
          <w:left w:val="single" w:color="1F5FA6" w:sz="24" w:space="10"/>
          <w:right w:val="single" w:color="1F5FA6" w:sz="8" w:space="8"/>
        </w:pBdr>
        <w:shd w:fill="F5F7FA" w:val="clear"/>
      </w:pPr>
      <w:r>
        <w:rPr>
          <w:rFonts w:ascii="Segoe UI" w:cs="Segoe UI" w:eastAsia="Segoe UI" w:hAnsi="Segoe UI"/>
          <w:i/>
          <w:iCs/>
          <w:color w:val="1C2230"/>
          <w:sz w:val="20"/>
          <w:szCs w:val="20"/>
        </w:rPr>
        <w:t xml:space="preserve">PermitWright provides code research and document preparation only. All engineering judgment, design decisions, and responsible charge remain with the licensed engineer of record.</w:t>
      </w:r>
    </w:p>
    <w:p>
      <w:pPr>
        <w:pStyle w:val="Heading1"/>
        <w:pageBreakBefore/>
      </w:pPr>
      <w:r>
        <w:rPr>
          <w:rFonts w:ascii="Segoe UI" w:cs="Segoe UI" w:eastAsia="Segoe UI" w:hAnsi="Segoe UI"/>
          <w:b/>
          <w:bCs/>
          <w:color w:val="1C2230"/>
          <w:sz w:val="26"/>
          <w:szCs w:val="26"/>
        </w:rPr>
        <w:t xml:space="preserve">PROJECT INTAKE SNAPSHOT</w:t>
      </w:r>
    </w:p>
    <w:p>
      <w:pPr>
        <w:spacing w:after="160"/>
      </w:pPr>
      <w:r>
        <w:rPr>
          <w:rFonts w:ascii="Segoe UI" w:cs="Segoe UI" w:eastAsia="Segoe UI" w:hAnsi="Segoe UI"/>
          <w:i/>
          <w:iCs/>
          <w:color w:val="5B6470"/>
          <w:sz w:val="19"/>
          <w:szCs w:val="19"/>
        </w:rPr>
        <w:t xml:space="preserve">The five-minute email answers, restated so the engineer confirms scope at a glance. (Demonstration values.)</w:t>
      </w:r>
    </w:p>
    <w:p>
      <w:pPr>
        <w:pStyle w:val="ListParagraph"/>
        <w:numPr>
          <w:ilvl w:val="0"/>
          <w:numId w:val="2"/>
        </w:numPr>
        <w:spacing w:after="60"/>
      </w:pPr>
      <w:r>
        <w:rPr>
          <w:rFonts w:ascii="Segoe UI" w:cs="Segoe UI" w:eastAsia="Segoe UI" w:hAnsi="Segoe UI"/>
          <w:b/>
          <w:bCs/>
        </w:rPr>
        <w:t xml:space="preserve">Site address &amp; jurisdiction: </w:t>
      </w:r>
      <w:r>
        <w:rPr>
          <w:rFonts w:ascii="Segoe UI" w:cs="Segoe UI" w:eastAsia="Segoe UI" w:hAnsi="Segoe UI"/>
        </w:rPr>
        <w:t xml:space="preserve">12345 Example Blvd, Fontana, CA 92335 (fictional) — City of Fontana</w:t>
      </w:r>
    </w:p>
    <w:p>
      <w:pPr>
        <w:pStyle w:val="ListParagraph"/>
        <w:numPr>
          <w:ilvl w:val="0"/>
          <w:numId w:val="2"/>
        </w:numPr>
        <w:spacing w:after="60"/>
      </w:pPr>
      <w:r>
        <w:rPr>
          <w:rFonts w:ascii="Segoe UI" w:cs="Segoe UI" w:eastAsia="Segoe UI" w:hAnsi="Segoe UI"/>
          <w:b/>
          <w:bCs/>
        </w:rPr>
        <w:t xml:space="preserve">Building: </w:t>
      </w:r>
      <w:r>
        <w:rPr>
          <w:rFonts w:ascii="Segoe UI" w:cs="Segoe UI" w:eastAsia="Segoe UI" w:hAnsi="Segoe UI"/>
        </w:rPr>
        <w:t xml:space="preserve">existing ~152,400 sf concrete tilt-up; fully sprinklered, ESFR K-16.8 @ 52 psi (per demo intake); 36 ft clear height</w:t>
      </w:r>
    </w:p>
    <w:p>
      <w:pPr>
        <w:pStyle w:val="ListParagraph"/>
        <w:numPr>
          <w:ilvl w:val="0"/>
          <w:numId w:val="2"/>
        </w:numPr>
        <w:spacing w:after="60"/>
      </w:pPr>
      <w:r>
        <w:rPr>
          <w:rFonts w:ascii="Segoe UI" w:cs="Segoe UI" w:eastAsia="Segoe UI" w:hAnsi="Segoe UI"/>
          <w:b/>
          <w:bCs/>
        </w:rPr>
        <w:t xml:space="preserve">Storage: </w:t>
      </w:r>
      <w:r>
        <w:rPr>
          <w:rFonts w:ascii="Segoe UI" w:cs="Segoe UI" w:eastAsia="Segoe UI" w:hAnsi="Segoe UI"/>
        </w:rPr>
        <w:t xml:space="preserve">selective pallet rack, double-row; top of storage 32 ft 0 in; 10 ft 0 in aisles; 4 beam levels</w:t>
      </w:r>
    </w:p>
    <w:p>
      <w:pPr>
        <w:pStyle w:val="ListParagraph"/>
        <w:numPr>
          <w:ilvl w:val="0"/>
          <w:numId w:val="2"/>
        </w:numPr>
        <w:spacing w:after="60"/>
      </w:pPr>
      <w:r>
        <w:rPr>
          <w:rFonts w:ascii="Segoe UI" w:cs="Segoe UI" w:eastAsia="Segoe UI" w:hAnsi="Segoe UI"/>
          <w:b/>
          <w:bCs/>
        </w:rPr>
        <w:t xml:space="preserve">Commodities: </w:t>
      </w:r>
      <w:r>
        <w:rPr>
          <w:rFonts w:ascii="Segoe UI" w:cs="Segoe UI" w:eastAsia="Segoe UI" w:hAnsi="Segoe UI"/>
        </w:rPr>
        <w:t xml:space="preserve">cartoned consumer electronics (Group A plastic content), cartoned apparel, PET beverage cases shrink-wrapped on wood pallets</w:t>
      </w:r>
    </w:p>
    <w:p>
      <w:pPr>
        <w:pStyle w:val="ListParagraph"/>
        <w:numPr>
          <w:ilvl w:val="0"/>
          <w:numId w:val="2"/>
        </w:numPr>
        <w:spacing w:after="60"/>
      </w:pPr>
      <w:r>
        <w:rPr>
          <w:rFonts w:ascii="Segoe UI" w:cs="Segoe UI" w:eastAsia="Segoe UI" w:hAnsi="Segoe UI"/>
          <w:b/>
          <w:bCs/>
        </w:rPr>
        <w:t xml:space="preserve">HPS area: </w:t>
      </w:r>
      <w:r>
        <w:rPr>
          <w:rFonts w:ascii="Segoe UI" w:cs="Segoe UI" w:eastAsia="Segoe UI" w:hAnsi="Segoe UI"/>
        </w:rPr>
        <w:t xml:space="preserve">85,600 sf (single high-piled storage area)</w:t>
      </w:r>
    </w:p>
    <w:p>
      <w:pPr>
        <w:pStyle w:val="ListParagraph"/>
        <w:numPr>
          <w:ilvl w:val="0"/>
          <w:numId w:val="2"/>
        </w:numPr>
        <w:spacing w:after="60"/>
      </w:pPr>
      <w:r>
        <w:rPr>
          <w:rFonts w:ascii="Segoe UI" w:cs="Segoe UI" w:eastAsia="Segoe UI" w:hAnsi="Segoe UI"/>
          <w:b/>
          <w:bCs/>
        </w:rPr>
        <w:t xml:space="preserve">Existing permits / prior HPS approvals: </w:t>
      </w:r>
      <w:r>
        <w:rPr>
          <w:rFonts w:ascii="Segoe UI" w:cs="Segoe UI" w:eastAsia="Segoe UI" w:hAnsi="Segoe UI"/>
        </w:rPr>
        <w:t xml:space="preserve">none on file for this site (per demo intake)</w:t>
      </w:r>
    </w:p>
    <w:p>
      <w:pPr>
        <w:pStyle w:val="Heading1"/>
        <w:pageBreakBefore/>
      </w:pPr>
      <w:r>
        <w:rPr>
          <w:rFonts w:ascii="Segoe UI" w:cs="Segoe UI" w:eastAsia="Segoe UI" w:hAnsi="Segoe UI"/>
          <w:b/>
          <w:bCs/>
          <w:color w:val="1C2230"/>
          <w:sz w:val="26"/>
          <w:szCs w:val="26"/>
        </w:rPr>
        <w:t xml:space="preserve">SECTION 1 — AHJ SUBMITTAL CHECKLIST</w:t>
      </w:r>
    </w:p>
    <w:p>
      <w:pPr>
        <w:spacing w:after="160"/>
      </w:pPr>
      <w:r>
        <w:rPr>
          <w:rFonts w:ascii="Segoe UI" w:cs="Segoe UI" w:eastAsia="Segoe UI" w:hAnsi="Segoe UI"/>
          <w:i/>
          <w:iCs/>
          <w:color w:val="5B6470"/>
          <w:sz w:val="19"/>
          <w:szCs w:val="19"/>
        </w:rPr>
        <w:t xml:space="preserve">What the City of Fontana actually requires to accept the application. Sourced from the city's published pages and the Fontana Accela permit portal (records reviewed July 6–7, 2026). Confirm current at submittal — portals and forms change without notice.</w:t>
      </w:r>
    </w:p>
    <w:p>
      <w:pPr>
        <w:pStyle w:val="ListParagraph"/>
        <w:numPr>
          <w:ilvl w:val="0"/>
          <w:numId w:val="2"/>
        </w:numPr>
        <w:spacing w:after="60"/>
      </w:pPr>
      <w:r>
        <w:rPr>
          <w:rFonts w:ascii="Segoe UI" w:cs="Segoe UI" w:eastAsia="Segoe UI" w:hAnsi="Segoe UI"/>
          <w:b/>
          <w:bCs/>
        </w:rPr>
        <w:t xml:space="preserve">Governing authority &amp; filing: </w:t>
      </w:r>
      <w:r>
        <w:rPr>
          <w:rFonts w:ascii="Segoe UI" w:cs="Segoe UI" w:eastAsia="Segoe UI" w:hAnsi="Segoe UI"/>
        </w:rPr>
        <w:t xml:space="preserve">High-piled storage is a dedicated Fire-module record type (FHPS-YY-####) filed with Fontana Fire — Fire Prevention via the city's Accela portal (aca-prod.accela.com/FONTANA). The rack installation (structural/anchorage) permit is filed separately with Building &amp; Safety through the Build Fontana portal (build.fontanaca.gov); Building &amp; Safety refers fire-scope plans to the Fire Department for review and permit issuance.</w:t>
      </w:r>
    </w:p>
    <w:p>
      <w:pPr>
        <w:pStyle w:val="ListParagraph"/>
        <w:numPr>
          <w:ilvl w:val="0"/>
          <w:numId w:val="2"/>
        </w:numPr>
        <w:spacing w:after="60"/>
      </w:pPr>
      <w:r>
        <w:rPr>
          <w:rFonts w:ascii="Segoe UI" w:cs="Segoe UI" w:eastAsia="Segoe UI" w:hAnsi="Segoe UI"/>
          <w:b/>
          <w:bCs/>
        </w:rPr>
        <w:t xml:space="preserve">Required documents (assemble per the 14-item 2025 CFC §3201.3 construction-documents list): </w:t>
      </w:r>
      <w:r>
        <w:rPr>
          <w:rFonts w:ascii="Segoe UI" w:cs="Segoe UI" w:eastAsia="Segoe UI" w:hAnsi="Segoe UI"/>
        </w:rPr>
        <w:t xml:space="preserve">site/floor plan showing HPS area boundaries and dimensions; usable storage height per area; rack elevations and tier counts; aisle dimensions; commodity classification letter (Section 3); type of fire protection systems (existing ESFR data, deflector clearance); ceiling and in-rack sprinkler valve locations; smoke removal and curtain board specifications; transverse/longitudinal flue-space dimensions; fire department access door locations; separate stamped rack structural/anchorage calcs to Building &amp; Safety.</w:t>
      </w:r>
    </w:p>
    <w:p>
      <w:pPr>
        <w:pStyle w:val="ListParagraph"/>
        <w:numPr>
          <w:ilvl w:val="0"/>
          <w:numId w:val="2"/>
        </w:numPr>
        <w:spacing w:after="60"/>
      </w:pPr>
      <w:r>
        <w:rPr>
          <w:rFonts w:ascii="Segoe UI" w:cs="Segoe UI" w:eastAsia="Segoe UI" w:hAnsi="Segoe UI"/>
          <w:b/>
          <w:bCs/>
        </w:rPr>
        <w:t xml:space="preserve">Plan format: </w:t>
      </w:r>
      <w:r>
        <w:rPr>
          <w:rFonts w:ascii="Segoe UI" w:cs="Segoe UI" w:eastAsia="Segoe UI" w:hAnsi="Segoe UI"/>
        </w:rPr>
        <w:t xml:space="preserve">digital submittal through the portals above; confirm current sheet-size/scale conventions with the plan-review counter at intake.</w:t>
      </w:r>
      <w:r>
        <w:rPr>
          <w:rFonts w:ascii="Segoe UI" w:cs="Segoe UI" w:eastAsia="Segoe UI" w:hAnsi="Segoe UI"/>
          <w:b/>
          <w:bCs/>
          <w:color w:val="1C2230"/>
        </w:rPr>
        <w:t xml:space="preserve"> [EOR: confirm electronic-seal requirements for stamped sheets.]</w:t>
      </w:r>
    </w:p>
    <w:p>
      <w:pPr>
        <w:pStyle w:val="ListParagraph"/>
        <w:numPr>
          <w:ilvl w:val="0"/>
          <w:numId w:val="2"/>
        </w:numPr>
        <w:spacing w:after="60"/>
      </w:pPr>
      <w:r>
        <w:rPr>
          <w:rFonts w:ascii="Segoe UI" w:cs="Segoe UI" w:eastAsia="Segoe UI" w:hAnsi="Segoe UI"/>
          <w:b/>
          <w:bCs/>
        </w:rPr>
        <w:t xml:space="preserve">Fees &amp; review timeline: </w:t>
      </w:r>
      <w:r>
        <w:rPr>
          <w:rFonts w:ascii="Segoe UI" w:cs="Segoe UI" w:eastAsia="Segoe UI" w:hAnsi="Segoe UI"/>
        </w:rPr>
        <w:t xml:space="preserve">published fee schedule applies per record type; observed FHPS records show ~12-month permit expirations from issue. Confirm current fees at filing.</w:t>
      </w:r>
    </w:p>
    <w:p>
      <w:pPr>
        <w:pStyle w:val="ListParagraph"/>
        <w:numPr>
          <w:ilvl w:val="0"/>
          <w:numId w:val="2"/>
        </w:numPr>
        <w:spacing w:after="60"/>
      </w:pPr>
      <w:r>
        <w:rPr>
          <w:rFonts w:ascii="Segoe UI" w:cs="Segoe UI" w:eastAsia="Segoe UI" w:hAnsi="Segoe UI"/>
          <w:b/>
          <w:bCs/>
        </w:rPr>
        <w:t xml:space="preserve">Local quirks (from portal record patterns): </w:t>
      </w:r>
      <w:r>
        <w:rPr>
          <w:rFonts w:ascii="Segoe UI" w:cs="Segoe UI" w:eastAsia="Segoe UI" w:hAnsi="Segoe UI"/>
        </w:rPr>
        <w:t xml:space="preserve">Fontana accepts the fire consultant as applicant of record on FHPS filings (no separate licensed professional listed on many issued records); inspector-requested revisions get filed as new FHPS records referencing the original (e.g., a revision record citing its parent permit); expansions of previously-permitted HPS areas are filed as new FHPS records; ~22 FHPS filings in the current series (~3/month) — an active, familiar review desk.</w:t>
      </w:r>
    </w:p>
    <w:p>
      <w:pPr>
        <w:pStyle w:val="ListParagraph"/>
        <w:numPr>
          <w:ilvl w:val="0"/>
          <w:numId w:val="2"/>
        </w:numPr>
        <w:spacing w:after="60"/>
      </w:pPr>
      <w:r>
        <w:rPr>
          <w:rFonts w:ascii="Segoe UI" w:cs="Segoe UI" w:eastAsia="Segoe UI" w:hAnsi="Segoe UI"/>
          <w:b/>
          <w:bCs/>
        </w:rPr>
        <w:t xml:space="preserve">AHJ contact: </w:t>
      </w:r>
      <w:r>
        <w:rPr>
          <w:rFonts w:ascii="Segoe UI" w:cs="Segoe UI" w:eastAsia="Segoe UI" w:hAnsi="Segoe UI"/>
        </w:rPr>
        <w:t xml:space="preserve">Building &amp; Safety (909) 350-7640; plan-submittal questions (909) 428-8891; Development Services Office, 8353 Sierra Avenue, Fontana, CA 92335. Confirm the Fire Prevention plan-review contact at filing.</w:t>
      </w:r>
    </w:p>
    <w:p>
      <w:pPr>
        <w:pStyle w:val="Heading1"/>
        <w:pageBreakBefore/>
      </w:pPr>
      <w:r>
        <w:rPr>
          <w:rFonts w:ascii="Segoe UI" w:cs="Segoe UI" w:eastAsia="Segoe UI" w:hAnsi="Segoe UI"/>
          <w:b/>
          <w:bCs/>
          <w:color w:val="1C2230"/>
          <w:sz w:val="26"/>
          <w:szCs w:val="26"/>
        </w:rPr>
        <w:t xml:space="preserve">SECTION 2 — APPLICABLE 2025 CFC CHAPTER 32 SECTIONS</w:t>
      </w:r>
    </w:p>
    <w:p>
      <w:pPr>
        <w:spacing w:after="160"/>
      </w:pPr>
      <w:r>
        <w:rPr>
          <w:rFonts w:ascii="Segoe UI" w:cs="Segoe UI" w:eastAsia="Segoe UI" w:hAnsi="Segoe UI"/>
          <w:i/>
          <w:iCs/>
          <w:color w:val="5B6470"/>
          <w:sz w:val="19"/>
          <w:szCs w:val="19"/>
        </w:rPr>
        <w:t xml:space="preserve">The specific provisions this project triggers — cited and mapped to the project. Not a Chapter 32 dump; only what applies, with why. Citations below are verified against the published 2025 CFC (January 2026 errata edition); the same verification pass precedes every purchased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3100"/>
        <w:gridCol w:w="2310"/>
      </w:tblGrid>
      <w:tr>
        <w:trPr>
          <w:tblHeader/>
        </w:trPr>
        <w:tc>
          <w:tcPr>
            <w:tcW w:type="dxa" w:w="125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Section §</w:t>
            </w:r>
          </w:p>
        </w:tc>
        <w:tc>
          <w:tcPr>
            <w:tcW w:type="dxa" w:w="27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Requirement (plain-English summary)</w:t>
            </w:r>
          </w:p>
        </w:tc>
        <w:tc>
          <w:tcPr>
            <w:tcW w:type="dxa" w:w="31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How it applies to this project</w:t>
            </w:r>
          </w:p>
        </w:tc>
        <w:tc>
          <w:tcPr>
            <w:tcW w:type="dxa" w:w="231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Notes / local amendment</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§3201 / §3202; Ch. 2 definition</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Scope; high-piled storage defined in CFC Chapter 2 (via §3202) — over 12 ft, or over 6 ft for high-hazard commodities where required by the fire code official</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Storage in racks to 32 ft — well above the 12-ft definition threshold — makes the 85,600 sf area high-piled combustible storage subject to Chapter 32.</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No Fontana amendment identified; confirm at intake</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§3201.3</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Construction documents — the 14-item list of what the plans must show</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Drives the Section 1 document list: HPS area plan, storage height, commodity classes, aisles, flue spaces, type of fire protection systems, sprinkler valve locations, smoke removal/curtain board specifications, FD access door locations.</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Confirmed — 2025 CFC, Jan 2026 errata</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§3203.1 / §3203.9</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Commodity classification — Class I–IV / high-hazard per §3203.1; Group A plastics limits per §3203.9</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Mixed cartoned goods with Group A plastic content — proposed governing class in Section 3.</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b/>
                <w:bCs/>
                <w:color w:val="1C2230"/>
                <w:sz w:val="19"/>
                <w:szCs w:val="19"/>
              </w:rPr>
              <w:t xml:space="preserve">[EOR: adopt/adjust the proposed classification]</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Table 3206.2</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General fire-protection &amp; life-safety requirements by commodity class × HPS area</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Class I–IV band, HPS area 85,600 sf (over the 12,000 sf band): automatic sprinkler protection throughout the building or to 1-hour fire barriers per §3208.2; smoke-and-heat removal, subject to the Table 3206.2 note h ESFR exemption; and fire-department access provisions govern.</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b/>
                <w:bCs/>
                <w:color w:val="1C2230"/>
                <w:sz w:val="19"/>
                <w:szCs w:val="19"/>
              </w:rPr>
              <w:t xml:space="preserve">[EOR: confirm the governing row, each required option, and note h applicability — this building runs ESFR]</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§3206.10</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Aisles — access to exits and FD access doors; minimum widths</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HPS area exceeds 500 sf, so aisle provisions apply. 10 ft 0 in aisles provided; code minimums observed in the 2025 text: 44 in unobstructed during mechanical stocking; 24 in employee-access cross aisles.</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Layout complies as drawn; confirm final rack plan</w:t>
            </w:r>
          </w:p>
        </w:tc>
      </w:tr>
      <w:tr>
        <w:tc>
          <w:tcPr>
            <w:tcW w:type="dxa" w:w="12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§3208.3 / Table 3208.3</w:t>
            </w:r>
          </w:p>
        </w:tc>
        <w:tc>
          <w:tcPr>
            <w:tcW w:type="dxa" w:w="27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Rack storage — transverse/longitudinal flue-space requirements</w:t>
            </w:r>
          </w:p>
        </w:tc>
        <w:tc>
          <w:tcPr>
            <w:tcW w:type="dxa" w:w="31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Double-row racks under ceiling-only ESFR: flue-space widths per Table 3208.3 apply to the rack layout drawings.</w:t>
            </w:r>
          </w:p>
        </w:tc>
        <w:tc>
          <w:tcPr>
            <w:tcW w:type="dxa" w:w="231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Confirmed — 2025 CFC, Jan 2026 errata</w:t>
            </w:r>
          </w:p>
        </w:tc>
      </w:tr>
    </w:tbl>
    <w:p>
      <w:pPr>
        <w:spacing w:before="160"/>
      </w:pPr>
      <w:r>
        <w:rPr>
          <w:rFonts w:ascii="Segoe UI" w:cs="Segoe UI" w:eastAsia="Segoe UI" w:hAnsi="Segoe UI"/>
          <w:b/>
          <w:bCs/>
          <w:color w:val="1C2230"/>
        </w:rPr>
        <w:t xml:space="preserve">[EOR: Anything ambiguous above is marked for engineer judgment rather than resolved by PermitWright.]</w:t>
      </w:r>
    </w:p>
    <w:p>
      <w:pPr>
        <w:pStyle w:val="Heading1"/>
        <w:pageBreakBefore/>
      </w:pPr>
      <w:r>
        <w:rPr>
          <w:rFonts w:ascii="Segoe UI" w:cs="Segoe UI" w:eastAsia="Segoe UI" w:hAnsi="Segoe UI"/>
          <w:b/>
          <w:bCs/>
          <w:color w:val="1C2230"/>
          <w:sz w:val="26"/>
          <w:szCs w:val="26"/>
        </w:rPr>
        <w:t xml:space="preserve">SECTION 3 — COMMODITY CLASSIFICATION WORKSHEET</w:t>
      </w:r>
    </w:p>
    <w:p>
      <w:pPr>
        <w:spacing w:after="160"/>
      </w:pPr>
      <w:r>
        <w:rPr>
          <w:rFonts w:ascii="Segoe UI" w:cs="Segoe UI" w:eastAsia="Segoe UI" w:hAnsi="Segoe UI"/>
          <w:i/>
          <w:iCs/>
          <w:color w:val="5B6470"/>
          <w:sz w:val="19"/>
          <w:szCs w:val="19"/>
        </w:rPr>
        <w:t xml:space="preserve">Prepared classification for the engineer to review and adopt or adjust. (Demonstration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750"/>
        <w:gridCol w:w="1400"/>
        <w:gridCol w:w="1800"/>
        <w:gridCol w:w="2260"/>
      </w:tblGrid>
      <w:tr>
        <w:trPr>
          <w:tblHeader/>
        </w:trPr>
        <w:tc>
          <w:tcPr>
            <w:tcW w:type="dxa" w:w="215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Product</w:t>
            </w:r>
          </w:p>
        </w:tc>
        <w:tc>
          <w:tcPr>
            <w:tcW w:type="dxa" w:w="175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Packaging</w:t>
            </w:r>
          </w:p>
        </w:tc>
        <w:tc>
          <w:tcPr>
            <w:tcW w:type="dxa" w:w="14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Pallet type</w:t>
            </w:r>
          </w:p>
        </w:tc>
        <w:tc>
          <w:tcPr>
            <w:tcW w:type="dxa" w:w="18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Proposed class (I–IV / High-Hazard / Group A %)</w:t>
            </w:r>
          </w:p>
        </w:tc>
        <w:tc>
          <w:tcPr>
            <w:tcW w:type="dxa" w:w="226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Basis (CFC §3203 / NFPA 13 ref)</w:t>
            </w:r>
          </w:p>
        </w:tc>
      </w:tr>
      <w:tr>
        <w:tc>
          <w:tcPr>
            <w:tcW w:type="dxa" w:w="21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Consumer electronics</w:t>
            </w:r>
          </w:p>
        </w:tc>
        <w:tc>
          <w:tcPr>
            <w:tcW w:type="dxa" w:w="17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Corrugated cartons</w:t>
            </w:r>
          </w:p>
        </w:tc>
        <w:tc>
          <w:tcPr>
            <w:tcW w:type="dxa" w:w="14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Wood</w:t>
            </w:r>
          </w:p>
        </w:tc>
        <w:tc>
          <w:tcPr>
            <w:tcW w:type="dxa" w:w="18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Class IV (Group A plastic content in cartons)</w:t>
            </w:r>
          </w:p>
        </w:tc>
        <w:tc>
          <w:tcPr>
            <w:tcW w:type="dxa" w:w="22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CFC §3203.1; NFPA 13 commodity examples</w:t>
            </w:r>
          </w:p>
        </w:tc>
      </w:tr>
      <w:tr>
        <w:tc>
          <w:tcPr>
            <w:tcW w:type="dxa" w:w="21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Apparel, cartoned</w:t>
            </w:r>
          </w:p>
        </w:tc>
        <w:tc>
          <w:tcPr>
            <w:tcW w:type="dxa" w:w="17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Corrugated cartons</w:t>
            </w:r>
          </w:p>
        </w:tc>
        <w:tc>
          <w:tcPr>
            <w:tcW w:type="dxa" w:w="14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Wood</w:t>
            </w:r>
          </w:p>
        </w:tc>
        <w:tc>
          <w:tcPr>
            <w:tcW w:type="dxa" w:w="18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Class III (natural-fiber dominant)</w:t>
            </w:r>
          </w:p>
        </w:tc>
        <w:tc>
          <w:tcPr>
            <w:tcW w:type="dxa" w:w="22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CFC §3203.1</w:t>
            </w:r>
          </w:p>
        </w:tc>
      </w:tr>
      <w:tr>
        <w:tc>
          <w:tcPr>
            <w:tcW w:type="dxa" w:w="21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PET beverage cases</w:t>
            </w:r>
          </w:p>
        </w:tc>
        <w:tc>
          <w:tcPr>
            <w:tcW w:type="dxa" w:w="17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Shrink-wrapped trays</w:t>
            </w:r>
          </w:p>
        </w:tc>
        <w:tc>
          <w:tcPr>
            <w:tcW w:type="dxa" w:w="14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Wood</w:t>
            </w:r>
          </w:p>
        </w:tc>
        <w:tc>
          <w:tcPr>
            <w:tcW w:type="dxa" w:w="18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Group A plastics, unexpanded (proposed governing)</w:t>
            </w:r>
          </w:p>
        </w:tc>
        <w:tc>
          <w:tcPr>
            <w:tcW w:type="dxa" w:w="22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CFC §3203.1 / §3203.9; NFPA 13 plastics provisions</w:t>
            </w:r>
          </w:p>
        </w:tc>
      </w:tr>
      <w:tr>
        <w:tc>
          <w:tcPr>
            <w:tcW w:type="dxa" w:w="21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[additional products at fill time]</w:t>
            </w:r>
          </w:p>
        </w:tc>
        <w:tc>
          <w:tcPr>
            <w:tcW w:type="dxa" w:w="17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 ]</w:t>
            </w:r>
          </w:p>
        </w:tc>
        <w:tc>
          <w:tcPr>
            <w:tcW w:type="dxa" w:w="14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 ]</w:t>
            </w:r>
          </w:p>
        </w:tc>
        <w:tc>
          <w:tcPr>
            <w:tcW w:type="dxa" w:w="18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 ]</w:t>
            </w:r>
          </w:p>
        </w:tc>
        <w:tc>
          <w:tcPr>
            <w:tcW w:type="dxa" w:w="22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color w:val="5B6470"/>
                <w:sz w:val="19"/>
                <w:szCs w:val="19"/>
              </w:rPr>
              <w:t xml:space="preserve">[ ]</w:t>
            </w:r>
          </w:p>
        </w:tc>
      </w:tr>
    </w:tbl>
    <w:p>
      <w:pPr>
        <w:spacing w:after="100" w:before="200"/>
      </w:pPr>
      <w:r>
        <w:rPr>
          <w:rFonts w:ascii="Segoe UI" w:cs="Segoe UI" w:eastAsia="Segoe UI" w:hAnsi="Segoe UI"/>
          <w:b/>
          <w:bCs/>
        </w:rPr>
        <w:t xml:space="preserve">Governing (worst-case) commodity determination: </w:t>
      </w:r>
      <w:r>
        <w:rPr>
          <w:rFonts w:ascii="Segoe UI" w:cs="Segoe UI" w:eastAsia="Segoe UI" w:hAnsi="Segoe UI"/>
        </w:rPr>
        <w:t xml:space="preserve">PET beverage cases — unexpanded Group A plastics drive the protection requirements; proposed governing classification Class IV / Group A (unexpanded) for the full HPS area.</w:t>
      </w:r>
    </w:p>
    <w:p>
      <w:pPr>
        <w:spacing w:after="100"/>
      </w:pPr>
      <w:r>
        <w:rPr>
          <w:rFonts w:ascii="Segoe UI" w:cs="Segoe UI" w:eastAsia="Segoe UI" w:hAnsi="Segoe UI"/>
          <w:b/>
          <w:bCs/>
        </w:rPr>
        <w:t xml:space="preserve">Mixed-commodity notes: </w:t>
      </w:r>
      <w:r>
        <w:rPr>
          <w:rFonts w:ascii="Segoe UI" w:cs="Segoe UI" w:eastAsia="Segoe UI" w:hAnsi="Segoe UI"/>
        </w:rPr>
        <w:t xml:space="preserve">commodities are intermixed on shared racking with no segregated zones (per demo intake), so the worst-case class governs throughout.</w:t>
      </w:r>
    </w:p>
    <w:p>
      <w:pPr>
        <w:spacing w:before="120"/>
      </w:pPr>
      <w:r>
        <w:rPr>
          <w:rFonts w:ascii="Segoe UI" w:cs="Segoe UI" w:eastAsia="Segoe UI" w:hAnsi="Segoe UI"/>
          <w:b/>
          <w:bCs/>
          <w:i/>
          <w:iCs/>
        </w:rPr>
        <w:t xml:space="preserve">Classification proposed for EOR review — final determination is the engineer's.</w:t>
      </w:r>
    </w:p>
    <w:p>
      <w:pPr>
        <w:pStyle w:val="Heading1"/>
        <w:pageBreakBefore/>
      </w:pPr>
      <w:r>
        <w:rPr>
          <w:rFonts w:ascii="Segoe UI" w:cs="Segoe UI" w:eastAsia="Segoe UI" w:hAnsi="Segoe UI"/>
          <w:b/>
          <w:bCs/>
          <w:color w:val="1C2230"/>
          <w:sz w:val="26"/>
          <w:szCs w:val="26"/>
        </w:rPr>
        <w:t xml:space="preserve">SECTION 4 — STORAGE HEIGHT &amp; AREA TRIGGER ANALYSIS</w:t>
      </w:r>
    </w:p>
    <w:p>
      <w:pPr>
        <w:spacing w:after="160"/>
      </w:pPr>
      <w:r>
        <w:rPr>
          <w:rFonts w:ascii="Segoe UI" w:cs="Segoe UI" w:eastAsia="Segoe UI" w:hAnsi="Segoe UI"/>
          <w:i/>
          <w:iCs/>
          <w:color w:val="5B6470"/>
          <w:sz w:val="19"/>
          <w:szCs w:val="19"/>
        </w:rPr>
        <w:t xml:space="preserve">Which thresholds this project crosses and what each crossing requires.</w:t>
      </w:r>
    </w:p>
    <w:p>
      <w:pPr>
        <w:spacing w:after="100"/>
      </w:pPr>
      <w:r>
        <w:rPr>
          <w:rFonts w:ascii="Segoe UI" w:cs="Segoe UI" w:eastAsia="Segoe UI" w:hAnsi="Segoe UI"/>
          <w:b/>
          <w:bCs/>
        </w:rPr>
        <w:t xml:space="preserve">Key numbers: </w:t>
      </w:r>
      <w:r>
        <w:rPr>
          <w:rFonts w:ascii="Segoe UI" w:cs="Segoe UI" w:eastAsia="Segoe UI" w:hAnsi="Segoe UI"/>
        </w:rPr>
        <w:t xml:space="preserve">storage height 32 ft 0 in · HPS area 85,600 sf · proposed Class IV / Group A unexpanded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050"/>
        <w:gridCol w:w="4360"/>
      </w:tblGrid>
      <w:tr>
        <w:trPr>
          <w:tblHeader/>
        </w:trPr>
        <w:tc>
          <w:tcPr>
            <w:tcW w:type="dxa" w:w="25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Threshold</w:t>
            </w:r>
          </w:p>
        </w:tc>
        <w:tc>
          <w:tcPr>
            <w:tcW w:type="dxa" w:w="145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This project</w:t>
            </w:r>
          </w:p>
        </w:tc>
        <w:tc>
          <w:tcPr>
            <w:tcW w:type="dxa" w:w="105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Crossed?</w:t>
            </w:r>
          </w:p>
        </w:tc>
        <w:tc>
          <w:tcPr>
            <w:tcW w:type="dxa" w:w="436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Consequence (permit scope · protection · documents)</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Storage height &gt; 12 ft (CFC Ch. 2 definition via §3202; &gt; 6 ft for high-hazard where required by the fire code official)</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32 ft 0 in</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YES</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Chapter 32 applies in full; FHPS permit required from Fontana Fire.</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HPS area ≥ 500 sf</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85,600 sf</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YES</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Aisle and access provisions of §3206.10 apply; permit and plan submittal required.</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HPS area &gt; 2,500 sf</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85,600 sf</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YES</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Full Table 3206.2 protection options band engaged (vs. the reduced small-area allowances).</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HPS area &gt; 12,000 sf</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85,600 sf</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YES</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Automatic sprinkler protection throughout the building or to 1-hour fire barriers per §3208.2; smoke-and-heat removal — Table 3206.2 note h exempts ESFR-protected buildings (≤250 ft exit access travel, ≤12 sprinklers per §903.3.1.1) </w:t>
            </w:r>
            <w:r>
              <w:rPr>
                <w:rFonts w:ascii="Segoe UI" w:cs="Segoe UI" w:eastAsia="Segoe UI" w:hAnsi="Segoe UI"/>
                <w:b/>
                <w:bCs/>
                <w:color w:val="1C2230"/>
                <w:sz w:val="19"/>
                <w:szCs w:val="19"/>
              </w:rPr>
              <w:t xml:space="preserve">[EOR: confirm note h applies — this building runs ESFR K-16.8]</w:t>
            </w:r>
            <w:r>
              <w:rPr>
                <w:rFonts w:ascii="Segoe UI" w:cs="Segoe UI" w:eastAsia="Segoe UI" w:hAnsi="Segoe UI"/>
                <w:sz w:val="19"/>
                <w:szCs w:val="19"/>
              </w:rPr>
              <w:t xml:space="preserve">; FD access per the governing row.</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HPS area &gt; 500,000 sf</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85,600 sf</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No</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Not applicable.</w:t>
            </w:r>
          </w:p>
        </w:tc>
      </w:tr>
      <w:tr>
        <w:tc>
          <w:tcPr>
            <w:tcW w:type="dxa" w:w="2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Sprinkler design implications</w:t>
            </w:r>
          </w:p>
        </w:tc>
        <w:tc>
          <w:tcPr>
            <w:tcW w:type="dxa" w:w="14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ESFR K-16.8 @ 52 psi existing</w:t>
            </w:r>
          </w:p>
        </w:tc>
        <w:tc>
          <w:tcPr>
            <w:tcW w:type="dxa" w:w="105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w:t>
            </w:r>
          </w:p>
        </w:tc>
        <w:tc>
          <w:tcPr>
            <w:tcW w:type="dxa" w:w="43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b/>
                <w:bCs/>
                <w:color w:val="1C2230"/>
                <w:sz w:val="19"/>
                <w:szCs w:val="19"/>
              </w:rPr>
              <w:t xml:space="preserve">[EOR: adequacy of the existing ESFR scheme for Group A unexpanded plastics at 32 ft storage / 36 ft ceiling is a fire-protection-engineering determination — flagged, not designed by PermitWright.]</w:t>
            </w:r>
          </w:p>
        </w:tc>
      </w:tr>
    </w:tbl>
    <w:p>
      <w:pPr>
        <w:spacing w:before="120"/>
      </w:pPr>
      <w:r>
        <w:rPr>
          <w:rFonts w:ascii="Segoe UI" w:cs="Segoe UI" w:eastAsia="Segoe UI" w:hAnsi="Segoe UI"/>
          <w:i/>
          <w:iCs/>
          <w:color w:val="5B6470"/>
          <w:sz w:val="19"/>
          <w:szCs w:val="19"/>
        </w:rPr>
        <w:t xml:space="preserve">Area bands above are the Class I–IV columns of Table 3206.2; high-hazard commodity bands differ (top band 300,000 sf).</w:t>
      </w:r>
    </w:p>
    <w:p>
      <w:pPr>
        <w:spacing w:before="200"/>
      </w:pPr>
      <w:r>
        <w:rPr>
          <w:rFonts w:ascii="Segoe UI" w:cs="Segoe UI" w:eastAsia="Segoe UI" w:hAnsi="Segoe UI"/>
          <w:b/>
          <w:bCs/>
        </w:rPr>
        <w:t xml:space="preserve">Summary: </w:t>
      </w:r>
      <w:r>
        <w:rPr>
          <w:rFonts w:ascii="Segoe UI" w:cs="Segoe UI" w:eastAsia="Segoe UI" w:hAnsi="Segoe UI"/>
        </w:rPr>
        <w:t xml:space="preserve">This project is a proposed Class IV / Group A (unexpanded), 85,600 sf high-piled storage application requiring an FHPS permit from Fontana Fire with sprinkler-adequacy verification by the engineer of record, plus a separate rack structural/anchorage permit through Building &amp; Safety.</w:t>
      </w:r>
    </w:p>
    <w:p>
      <w:pPr>
        <w:pStyle w:val="Heading1"/>
        <w:pageBreakBefore/>
      </w:pPr>
      <w:r>
        <w:rPr>
          <w:rFonts w:ascii="Segoe UI" w:cs="Segoe UI" w:eastAsia="Segoe UI" w:hAnsi="Segoe UI"/>
          <w:b/>
          <w:bCs/>
          <w:color w:val="1C2230"/>
          <w:sz w:val="26"/>
          <w:szCs w:val="26"/>
        </w:rPr>
        <w:t xml:space="preserve">SECTION 5 — DRAFT PERMIT NARRATIVE</w:t>
      </w:r>
    </w:p>
    <w:p>
      <w:pPr>
        <w:spacing w:after="160"/>
      </w:pPr>
      <w:r>
        <w:rPr>
          <w:rFonts w:ascii="Segoe UI" w:cs="Segoe UI" w:eastAsia="Segoe UI" w:hAnsi="Segoe UI"/>
          <w:i/>
          <w:iCs/>
          <w:color w:val="5B6470"/>
          <w:sz w:val="19"/>
          <w:szCs w:val="19"/>
        </w:rPr>
        <w:t xml:space="preserve">Formatted to Fontana's conventions, written to be adapted, finalized, and stamped by the engineer of record.</w:t>
      </w:r>
    </w:p>
    <w:p>
      <w:pPr>
        <w:pStyle w:val="Heading2"/>
      </w:pPr>
      <w:r>
        <w:rPr>
          <w:rFonts w:ascii="Segoe UI" w:cs="Segoe UI" w:eastAsia="Segoe UI" w:hAnsi="Segoe UI"/>
          <w:b/>
          <w:bCs/>
          <w:color w:val="1C2230"/>
          <w:sz w:val="21"/>
          <w:szCs w:val="21"/>
        </w:rPr>
        <w:t xml:space="preserve">Project Description</w:t>
      </w:r>
    </w:p>
    <w:p>
      <w:pPr>
        <w:spacing w:after="100"/>
      </w:pPr>
      <w:r>
        <w:rPr>
          <w:rFonts w:ascii="Segoe UI" w:cs="Segoe UI" w:eastAsia="Segoe UI" w:hAnsi="Segoe UI"/>
        </w:rPr>
        <w:t xml:space="preserve">The applicant proposes high-piled combustible storage within an existing ~152,400 sf concrete tilt-up warehouse at 12345 Example Blvd, Fontana (fictional demonstration site). Storage will occupy a single 85,600 sf high-piled storage area on selective double-row pallet racks with four beam levels and a maximum top-of-storage height of 32 ft 0 in under a 36 ft clear ceiling. The building is fully sprinklered with an existing ESFR system (K-16.8 at 52 psi, per intake).</w:t>
      </w:r>
    </w:p>
    <w:p>
      <w:pPr>
        <w:pStyle w:val="Heading2"/>
      </w:pPr>
      <w:r>
        <w:rPr>
          <w:rFonts w:ascii="Segoe UI" w:cs="Segoe UI" w:eastAsia="Segoe UI" w:hAnsi="Segoe UI"/>
          <w:b/>
          <w:bCs/>
          <w:color w:val="1C2230"/>
          <w:sz w:val="21"/>
          <w:szCs w:val="21"/>
        </w:rPr>
        <w:t xml:space="preserve">Code Analysis Summary</w:t>
      </w:r>
    </w:p>
    <w:p>
      <w:pPr>
        <w:spacing w:after="100"/>
      </w:pPr>
      <w:r>
        <w:rPr>
          <w:rFonts w:ascii="Segoe UI" w:cs="Segoe UI" w:eastAsia="Segoe UI" w:hAnsi="Segoe UI"/>
        </w:rPr>
        <w:t xml:space="preserve">Storage height exceeds the 12-ft high-piled-storage definition (CFC Chapter 2, via §3202), placing the project under 2025 CFC Chapter 32. The 85,600 sf HPS area crosses the 500 / 2,500 / 12,000 sf thresholds, engaging the governing Table 3206.2 row for Class I–IV commodities over 12,000 sf: automatic sprinkler protection throughout the building or to 1-hour fire barriers per §3208.2, smoke-and-heat removal subject to the Table 3206.2 note h ESFR exemption, and fire-department access provisions. Aisle widths (10 ft provided) satisfy the §3206.10 minimums as laid out. Rack flue-space requirements per §3208.3 / Table 3208.3 apply to the rack drawings.</w:t>
      </w:r>
    </w:p>
    <w:p>
      <w:pPr>
        <w:spacing w:after="100"/>
      </w:pPr>
      <w:r>
        <w:rPr>
          <w:rFonts w:ascii="Segoe UI" w:cs="Segoe UI" w:eastAsia="Segoe UI" w:hAnsi="Segoe UI"/>
          <w:b/>
          <w:bCs/>
          <w:color w:val="1C2230"/>
        </w:rPr>
        <w:t xml:space="preserve">[EOR: confirm the analysis reflects your independent review before adoption.]</w:t>
      </w:r>
    </w:p>
    <w:p>
      <w:pPr>
        <w:pStyle w:val="Heading2"/>
      </w:pPr>
      <w:r>
        <w:rPr>
          <w:rFonts w:ascii="Segoe UI" w:cs="Segoe UI" w:eastAsia="Segoe UI" w:hAnsi="Segoe UI"/>
          <w:b/>
          <w:bCs/>
          <w:color w:val="1C2230"/>
          <w:sz w:val="21"/>
          <w:szCs w:val="21"/>
        </w:rPr>
        <w:t xml:space="preserve">Commodity &amp; Storage Configuration Statement</w:t>
      </w:r>
    </w:p>
    <w:p>
      <w:pPr>
        <w:spacing w:after="100"/>
      </w:pPr>
      <w:r>
        <w:rPr>
          <w:rFonts w:ascii="Segoe UI" w:cs="Segoe UI" w:eastAsia="Segoe UI" w:hAnsi="Segoe UI"/>
        </w:rPr>
        <w:t xml:space="preserve">Stored commodities are cartoned consumer electronics, cartoned apparel, and shrink-wrapped PET beverage cases on wood pallets, intermixed on shared racking. The proposed governing classification is Class IV / Group A plastics (unexpanded), per the Section 3 worksheet, prepared for the engineer of record's adoption or adjustment.</w:t>
      </w:r>
    </w:p>
    <w:p>
      <w:pPr>
        <w:pStyle w:val="Heading2"/>
      </w:pPr>
      <w:r>
        <w:rPr>
          <w:rFonts w:ascii="Segoe UI" w:cs="Segoe UI" w:eastAsia="Segoe UI" w:hAnsi="Segoe UI"/>
          <w:b/>
          <w:bCs/>
          <w:color w:val="1C2230"/>
          <w:sz w:val="21"/>
          <w:szCs w:val="21"/>
        </w:rPr>
        <w:t xml:space="preserve">Protection Summary</w:t>
      </w:r>
    </w:p>
    <w:p>
      <w:pPr>
        <w:spacing w:after="100"/>
      </w:pPr>
      <w:r>
        <w:rPr>
          <w:rFonts w:ascii="Segoe UI" w:cs="Segoe UI" w:eastAsia="Segoe UI" w:hAnsi="Segoe UI"/>
        </w:rPr>
        <w:t xml:space="preserve">The building's existing ESFR system (K-16.8 at 52 psi per intake) is referenced as the protection basis. Whether the existing scheme is adequate for Group A unexpanded plastics at 32 ft storage beneath a 36 ft ceiling — including any in-rack sprinkler requirement — is an engineering determination outside this package's scope.</w:t>
      </w:r>
    </w:p>
    <w:p>
      <w:pPr>
        <w:spacing w:after="100"/>
      </w:pPr>
      <w:r>
        <w:rPr>
          <w:rFonts w:ascii="Segoe UI" w:cs="Segoe UI" w:eastAsia="Segoe UI" w:hAnsi="Segoe UI"/>
          <w:b/>
          <w:bCs/>
          <w:color w:val="1C2230"/>
        </w:rPr>
        <w:t xml:space="preserve">[EOR: protection design statements require engineer / fire-protection-engineer input.]</w:t>
      </w:r>
    </w:p>
    <w:p>
      <w:pPr>
        <w:pStyle w:val="Heading2"/>
      </w:pPr>
      <w:r>
        <w:rPr>
          <w:rFonts w:ascii="Segoe UI" w:cs="Segoe UI" w:eastAsia="Segoe UI" w:hAnsi="Segoe UI"/>
          <w:b/>
          <w:bCs/>
          <w:color w:val="1C2230"/>
          <w:sz w:val="21"/>
          <w:szCs w:val="21"/>
        </w:rPr>
        <w:t xml:space="preserve">Engineer of Record — Information &amp; Stamp</w:t>
      </w:r>
    </w:p>
    <w:p>
      <w:pPr>
        <w:spacing w:after="100"/>
      </w:pPr>
      <w:r>
        <w:rPr>
          <w:rFonts w:ascii="Segoe UI" w:cs="Segoe UI" w:eastAsia="Segoe UI" w:hAnsi="Segoe UI"/>
          <w:b/>
          <w:bCs/>
        </w:rPr>
        <w:t xml:space="preserve">Engineer: </w:t>
      </w:r>
      <w:r>
        <w:rPr>
          <w:rFonts w:ascii="Segoe UI" w:cs="Segoe UI" w:eastAsia="Segoe UI" w:hAnsi="Segoe UI"/>
          <w:color w:val="5B6470"/>
        </w:rPr>
        <w:t xml:space="preserve">[name, PE]</w:t>
      </w:r>
      <w:r>
        <w:rPr>
          <w:rFonts w:ascii="Segoe UI" w:cs="Segoe UI" w:eastAsia="Segoe UI" w:hAnsi="Segoe UI"/>
          <w:b/>
          <w:bCs/>
        </w:rPr>
        <w:t xml:space="preserve">      License: </w:t>
      </w:r>
      <w:r>
        <w:rPr>
          <w:rFonts w:ascii="Segoe UI" w:cs="Segoe UI" w:eastAsia="Segoe UI" w:hAnsi="Segoe UI"/>
          <w:color w:val="5B6470"/>
        </w:rPr>
        <w:t xml:space="preserve">[number]</w:t>
      </w:r>
    </w:p>
    <w:p>
      <w:pPr>
        <w:spacing w:after="100"/>
      </w:pPr>
      <w:r>
        <w:rPr>
          <w:rFonts w:ascii="Segoe UI" w:cs="Segoe UI" w:eastAsia="Segoe UI" w:hAnsi="Segoe UI"/>
          <w:b/>
          <w:bCs/>
        </w:rPr>
        <w:t xml:space="preserve">Firm: </w:t>
      </w:r>
      <w:r>
        <w:rPr>
          <w:rFonts w:ascii="Segoe UI" w:cs="Segoe UI" w:eastAsia="Segoe UI" w:hAnsi="Segoe UI"/>
          <w:color w:val="5B6470"/>
        </w:rPr>
        <w:t xml:space="preserve">[firm]</w:t>
      </w:r>
      <w:r>
        <w:rPr>
          <w:rFonts w:ascii="Segoe UI" w:cs="Segoe UI" w:eastAsia="Segoe UI" w:hAnsi="Segoe UI"/>
          <w:b/>
          <w:bCs/>
        </w:rPr>
        <w:t xml:space="preserve">      Date: </w:t>
      </w:r>
      <w:r>
        <w:rPr>
          <w:rFonts w:ascii="Segoe UI" w:cs="Segoe UI" w:eastAsia="Segoe UI" w:hAnsi="Segoe UI"/>
          <w:color w:val="5B6470"/>
        </w:rPr>
        <w:t xml:space="preserve">[date]</w:t>
      </w:r>
    </w:p>
    <w:p>
      <w:pPr>
        <w:spacing w:after="100"/>
      </w:pPr>
      <w:r>
        <w:rPr>
          <w:rFonts w:ascii="Segoe UI" w:cs="Segoe UI" w:eastAsia="Segoe UI" w:hAnsi="Segoe UI"/>
          <w:b/>
          <w:bCs/>
        </w:rPr>
        <w:t xml:space="preserve">Signature: </w:t>
      </w:r>
      <w:r>
        <w:rPr>
          <w:rFonts w:ascii="Segoe UI" w:cs="Segoe UI" w:eastAsia="Segoe UI" w:hAnsi="Segoe UI"/>
        </w:rPr>
        <w:t xml:space="preserve">_______________________________</w:t>
      </w:r>
    </w:p>
    <w:p>
      <w:pPr>
        <w:pBdr>
          <w:top w:val="single" w:color="5B6470" w:sz="6" w:space="12"/>
          <w:left w:val="single" w:color="5B6470" w:sz="6" w:space="12"/>
          <w:right w:val="single" w:color="5B6470" w:sz="6" w:space="12"/>
        </w:pBdr>
        <w:spacing w:before="240"/>
      </w:pPr>
      <w:r>
        <w:rPr>
          <w:rFonts w:ascii="Segoe UI" w:cs="Segoe UI" w:eastAsia="Segoe UI" w:hAnsi="Segoe UI"/>
          <w:color w:val="5B6470"/>
          <w:sz w:val="17"/>
          <w:szCs w:val="17"/>
        </w:rPr>
        <w:t xml:space="preserve">STAMP</w:t>
      </w:r>
    </w:p>
    <w:p>
      <w:pPr>
        <w:pBdr>
          <w:left w:val="single" w:color="5B6470" w:sz="6" w:space="12"/>
          <w:right w:val="single" w:color="5B6470" w:sz="6" w:space="12"/>
        </w:pBdr>
      </w:pPr>
      <w:r>
        <w:rPr>
          <w:rFonts w:ascii="Segoe UI" w:cs="Segoe UI" w:eastAsia="Segoe UI" w:hAnsi="Segoe UI"/>
          <w:sz w:val="40"/>
          <w:szCs w:val="40"/>
        </w:rPr>
        <w:t xml:space="preserve"> </w:t>
      </w:r>
    </w:p>
    <w:p>
      <w:pPr>
        <w:pBdr>
          <w:left w:val="single" w:color="5B6470" w:sz="6" w:space="12"/>
          <w:right w:val="single" w:color="5B6470" w:sz="6" w:space="12"/>
        </w:pBdr>
      </w:pPr>
      <w:r>
        <w:rPr>
          <w:rFonts w:ascii="Segoe UI" w:cs="Segoe UI" w:eastAsia="Segoe UI" w:hAnsi="Segoe UI"/>
          <w:sz w:val="40"/>
          <w:szCs w:val="40"/>
        </w:rPr>
        <w:t xml:space="preserve"> </w:t>
      </w:r>
    </w:p>
    <w:p>
      <w:pPr>
        <w:pBdr>
          <w:left w:val="single" w:color="5B6470" w:sz="6" w:space="12"/>
          <w:right w:val="single" w:color="5B6470" w:sz="6" w:space="12"/>
        </w:pBdr>
      </w:pPr>
      <w:r>
        <w:rPr>
          <w:rFonts w:ascii="Segoe UI" w:cs="Segoe UI" w:eastAsia="Segoe UI" w:hAnsi="Segoe UI"/>
          <w:sz w:val="40"/>
          <w:szCs w:val="40"/>
        </w:rPr>
        <w:t xml:space="preserve"> </w:t>
      </w:r>
    </w:p>
    <w:p>
      <w:pPr>
        <w:pBdr>
          <w:bottom w:val="single" w:color="5B6470" w:sz="6" w:space="12"/>
          <w:left w:val="single" w:color="5B6470" w:sz="6" w:space="12"/>
          <w:right w:val="single" w:color="5B6470" w:sz="6" w:space="12"/>
        </w:pBdr>
      </w:pPr>
      <w:r>
        <w:rPr>
          <w:rFonts w:ascii="Segoe UI" w:cs="Segoe UI" w:eastAsia="Segoe UI" w:hAnsi="Segoe UI"/>
          <w:sz w:val="20"/>
          <w:szCs w:val="20"/>
        </w:rPr>
        <w:t xml:space="preserve"> </w:t>
      </w:r>
    </w:p>
    <w:p>
      <w:pPr>
        <w:pStyle w:val="Heading1"/>
        <w:pageBreakBefore/>
      </w:pPr>
      <w:r>
        <w:rPr>
          <w:rFonts w:ascii="Segoe UI" w:cs="Segoe UI" w:eastAsia="Segoe UI" w:hAnsi="Segoe UI"/>
          <w:b/>
          <w:bCs/>
          <w:color w:val="1C2230"/>
          <w:sz w:val="26"/>
          <w:szCs w:val="26"/>
        </w:rPr>
        <w:t xml:space="preserve">SOURCES &amp; VERSION</w:t>
      </w:r>
    </w:p>
    <w:p>
      <w:pPr>
        <w:spacing w:after="160"/>
      </w:pPr>
      <w:r>
        <w:rPr>
          <w:rFonts w:ascii="Segoe UI" w:cs="Segoe UI" w:eastAsia="Segoe UI" w:hAnsi="Segoe UI"/>
          <w:i/>
          <w:iCs/>
          <w:color w:val="5B6470"/>
          <w:sz w:val="19"/>
          <w:szCs w:val="19"/>
        </w:rPr>
        <w:t xml:space="preserve">Every source cited — code sections (with edition), AHJ documents (with retrieval date and URL), portal references.</w:t>
      </w:r>
    </w:p>
    <w:p>
      <w:pPr>
        <w:pStyle w:val="ListParagraph"/>
        <w:numPr>
          <w:ilvl w:val="0"/>
          <w:numId w:val="2"/>
        </w:numPr>
        <w:spacing w:after="60"/>
      </w:pPr>
      <w:r>
        <w:rPr>
          <w:rFonts w:ascii="Segoe UI" w:cs="Segoe UI" w:eastAsia="Segoe UI" w:hAnsi="Segoe UI"/>
        </w:rPr>
        <w:t xml:space="preserve">2025 California Fire Code (Title 24, Part 9; effective January 1, 2026; January 2026 errata edition) — Chapter 32 sections and Table 3206.2 as cited; all citations verified on codes.iccsafe.org, July 7, 2026.</w:t>
      </w:r>
    </w:p>
    <w:p>
      <w:pPr>
        <w:pStyle w:val="ListParagraph"/>
        <w:numPr>
          <w:ilvl w:val="0"/>
          <w:numId w:val="2"/>
        </w:numPr>
        <w:spacing w:after="60"/>
      </w:pPr>
      <w:r>
        <w:rPr>
          <w:rFonts w:ascii="Segoe UI" w:cs="Segoe UI" w:eastAsia="Segoe UI" w:hAnsi="Segoe UI"/>
        </w:rPr>
        <w:t xml:space="preserve">NFPA 13 — commodity classification and plastics provisions (edition per project basis; confirm the edition the AHJ enforces).</w:t>
      </w:r>
    </w:p>
    <w:p>
      <w:pPr>
        <w:pStyle w:val="ListParagraph"/>
        <w:numPr>
          <w:ilvl w:val="0"/>
          <w:numId w:val="2"/>
        </w:numPr>
        <w:spacing w:after="60"/>
      </w:pPr>
      <w:r>
        <w:rPr>
          <w:rFonts w:ascii="Segoe UI" w:cs="Segoe UI" w:eastAsia="Segoe UI" w:hAnsi="Segoe UI"/>
        </w:rPr>
        <w:t xml:space="preserve">City of Fontana — Building &amp; Safety (fontanaca.gov/136/Building-Safety) and Fire Prevention / Permits, Inspections &amp; Fees (fontanaca.gov/864/Fire-Prevention); retrieved June 23, 2026.</w:t>
      </w:r>
    </w:p>
    <w:p>
      <w:pPr>
        <w:pStyle w:val="ListParagraph"/>
        <w:numPr>
          <w:ilvl w:val="0"/>
          <w:numId w:val="2"/>
        </w:numPr>
        <w:spacing w:after="60"/>
      </w:pPr>
      <w:r>
        <w:rPr>
          <w:rFonts w:ascii="Segoe UI" w:cs="Segoe UI" w:eastAsia="Segoe UI" w:hAnsi="Segoe UI"/>
        </w:rPr>
        <w:t xml:space="preserve">Build Fontana portal (build.fontanaca.gov) — building-side plan submittal; retrieved June 23, 2026.</w:t>
      </w:r>
    </w:p>
    <w:p>
      <w:pPr>
        <w:pStyle w:val="ListParagraph"/>
        <w:numPr>
          <w:ilvl w:val="0"/>
          <w:numId w:val="2"/>
        </w:numPr>
        <w:spacing w:after="60"/>
      </w:pPr>
      <w:r>
        <w:rPr>
          <w:rFonts w:ascii="Segoe UI" w:cs="Segoe UI" w:eastAsia="Segoe UI" w:hAnsi="Segoe UI"/>
        </w:rPr>
        <w:t xml:space="preserve">Fontana Accela records portal (aca-prod.accela.com/FONTANA) — FHPS record series reviewed July 6–7, 2026 (filing patterns, applicant-of-record practice, expiration patterns).</w:t>
      </w:r>
    </w:p>
    <w:p>
      <w:pPr>
        <w:spacing w:after="200" w:before="160"/>
      </w:pPr>
      <w:r>
        <w:rPr>
          <w:rFonts w:ascii="Segoe UI" w:cs="Segoe UI" w:eastAsia="Segoe UI" w:hAnsi="Segoe UI"/>
          <w:b/>
          <w:bCs/>
        </w:rPr>
        <w:t xml:space="preserve">Current as of: </w:t>
      </w:r>
      <w:r>
        <w:rPr>
          <w:rFonts w:ascii="Segoe UI" w:cs="Segoe UI" w:eastAsia="Segoe UI" w:hAnsi="Segoe UI"/>
        </w:rPr>
        <w:t xml:space="preserve">July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Version</w:t>
            </w:r>
          </w:p>
        </w:tc>
        <w:tc>
          <w:tcPr>
            <w:tcW w:type="dxa" w:w="200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Date</w:t>
            </w:r>
          </w:p>
        </w:tc>
        <w:tc>
          <w:tcPr>
            <w:tcW w:type="dxa" w:w="5860"/>
            <w:tcBorders>
              <w:top w:val="single" w:color="D8DDE5" w:sz="4"/>
              <w:left w:val="single" w:color="D8DDE5" w:sz="4"/>
              <w:bottom w:val="single" w:color="D8DDE5" w:sz="4"/>
              <w:right w:val="single" w:color="D8DDE5" w:sz="4"/>
            </w:tcBorders>
            <w:shd w:fill="E8EEF7" w:val="clear"/>
            <w:tcMar>
              <w:top w:type="dxa" w:w="60"/>
              <w:left w:type="dxa" w:w="100"/>
              <w:bottom w:type="dxa" w:w="60"/>
              <w:right w:type="dxa" w:w="100"/>
            </w:tcMar>
          </w:tcPr>
          <w:p>
            <w:r>
              <w:rPr>
                <w:rFonts w:ascii="Segoe UI" w:cs="Segoe UI" w:eastAsia="Segoe UI" w:hAnsi="Segoe UI"/>
                <w:b/>
                <w:bCs/>
                <w:color w:val="1C2230"/>
                <w:sz w:val="19"/>
                <w:szCs w:val="19"/>
              </w:rPr>
              <w:t xml:space="preserve">Description</w:t>
            </w:r>
          </w:p>
        </w:tc>
      </w:tr>
      <w:tr>
        <w:tc>
          <w:tcPr>
            <w:tcW w:type="dxa" w:w="1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v1.0</w:t>
            </w:r>
          </w:p>
        </w:tc>
        <w:tc>
          <w:tcPr>
            <w:tcW w:type="dxa" w:w="20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07/07/2026</w:t>
            </w:r>
          </w:p>
        </w:tc>
        <w:tc>
          <w:tcPr>
            <w:tcW w:type="dxa" w:w="58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Sample issue — fictional demonstration project</w:t>
            </w:r>
          </w:p>
        </w:tc>
      </w:tr>
      <w:tr>
        <w:tc>
          <w:tcPr>
            <w:tcW w:type="dxa" w:w="15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v1.1</w:t>
            </w:r>
          </w:p>
        </w:tc>
        <w:tc>
          <w:tcPr>
            <w:tcW w:type="dxa" w:w="200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07/07/2026</w:t>
            </w:r>
          </w:p>
        </w:tc>
        <w:tc>
          <w:tcPr>
            <w:tcW w:type="dxa" w:w="5860"/>
            <w:tcBorders>
              <w:top w:val="single" w:color="D8DDE5" w:sz="4"/>
              <w:left w:val="single" w:color="D8DDE5" w:sz="4"/>
              <w:bottom w:val="single" w:color="D8DDE5" w:sz="4"/>
              <w:right w:val="single" w:color="D8DDE5" w:sz="4"/>
            </w:tcBorders>
            <w:tcMar>
              <w:top w:type="dxa" w:w="60"/>
              <w:left w:type="dxa" w:w="100"/>
              <w:bottom w:type="dxa" w:w="60"/>
              <w:right w:type="dxa" w:w="100"/>
            </w:tcMar>
          </w:tcPr>
          <w:p>
            <w:r>
              <w:rPr>
                <w:rFonts w:ascii="Segoe UI" w:cs="Segoe UI" w:eastAsia="Segoe UI" w:hAnsi="Segoe UI"/>
                <w:sz w:val="19"/>
                <w:szCs w:val="19"/>
              </w:rPr>
              <w:t xml:space="preserve">Citations verified against the published 2025 CFC (January 2026 errata); verification notes removed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5" w:sz="4" w:space="4"/>
      </w:pBdr>
      <w:jc w:val="center"/>
    </w:pPr>
    <w:r>
      <w:rPr>
        <w:rFonts w:ascii="Segoe UI" w:cs="Segoe UI" w:eastAsia="Segoe UI" w:hAnsi="Segoe UI"/>
        <w:color w:val="5B6470"/>
        <w:sz w:val="16"/>
        <w:szCs w:val="16"/>
      </w:rPr>
      <w:t xml:space="preserve">PermitWright · Jurisdiction Research Package · SAMPLE — Fontana Demo · Page </w:t>
    </w:r>
    <w:r>
      <w:rPr>
        <w:rFonts w:ascii="Segoe UI" w:cs="Segoe UI" w:eastAsia="Segoe UI" w:hAnsi="Segoe UI"/>
        <w:color w:val="5B6470"/>
        <w:sz w:val="16"/>
        <w:szCs w:val="16"/>
      </w:rPr>
      <w:fldChar w:fldCharType="begin"/>
      <w:instrText xml:space="preserve">PAGE</w:instrText>
      <w:fldChar w:fldCharType="separate"/>
      <w:fldChar w:fldCharType="end"/>
    </w:r>
  </w:p>
  <w:p>
    <w:pPr>
      <w:jc w:val="center"/>
    </w:pPr>
    <w:r>
      <w:rPr>
        <w:rFonts w:ascii="Segoe UI" w:cs="Segoe UI" w:eastAsia="Segoe UI" w:hAnsi="Segoe UI"/>
        <w:i/>
        <w:iCs/>
        <w:color w:val="5B6470"/>
        <w:sz w:val="15"/>
        <w:szCs w:val="15"/>
      </w:rPr>
      <w:t xml:space="preserve">Code research current to the 2025 California Building Standards Code. Demonstration document — not for submittal.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22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A6" w:sz="8" w:space="4"/>
      </w:pBdr>
      <w:spacing w:after="160" w:before="120"/>
      <w:outlineLvl w:val="0"/>
    </w:pPr>
    <w:rPr>
      <w:rFonts w:ascii="Segoe UI" w:cs="Segoe UI" w:eastAsia="Segoe UI" w:hAnsi="Segoe UI"/>
      <w:b/>
      <w:bCs/>
      <w:color w:val="1C2230"/>
      <w:sz w:val="26"/>
      <w:szCs w:val="26"/>
    </w:rPr>
  </w:style>
  <w:style w:type="paragraph" w:styleId="Heading2">
    <w:name w:val="Heading 2"/>
    <w:basedOn w:val="Normal"/>
    <w:next w:val="Normal"/>
    <w:qFormat/>
    <w:pPr>
      <w:spacing w:after="100" w:before="200"/>
      <w:outlineLvl w:val="1"/>
    </w:pPr>
    <w:rPr>
      <w:rFonts w:ascii="Segoe UI" w:cs="Segoe UI" w:eastAsia="Segoe UI" w:hAnsi="Segoe UI"/>
      <w:b/>
      <w:bCs/>
      <w:color w:val="1C223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PermitWright — Sample Research Package (Fontana Demonstration)</dc:title>
  <dc:creator>PermitWright</dc:creator>
  <dc:description>Sample high-piled storage permit research package on a fictional Fontana project. Code research and document preparation only; all engineering judgment remains with the engineer of record.</dc:description>
  <cp:lastModifiedBy>Un-named</cp:lastModifiedBy>
  <cp:revision>1</cp:revision>
  <dcterms:created xsi:type="dcterms:W3CDTF">2026-07-08T17:48:55.725Z</dcterms:created>
  <dcterms:modified xsi:type="dcterms:W3CDTF">2026-07-08T17:48:55.728Z</dcterms:modified>
</cp:coreProperties>
</file>

<file path=docProps/custom.xml><?xml version="1.0" encoding="utf-8"?>
<Properties xmlns="http://schemas.openxmlformats.org/officeDocument/2006/custom-properties" xmlns:vt="http://schemas.openxmlformats.org/officeDocument/2006/docPropsVTypes"/>
</file>