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DC2238">
      <w:pPr>
        <w:widowControl w:val="0"/>
        <w:spacing w:line="312" w:lineRule="auto"/>
        <w:rPr>
          <w:rFonts w:hint="eastAsia"/>
          <w:bCs/>
          <w:sz w:val="36"/>
          <w:szCs w:val="36"/>
        </w:rPr>
      </w:pPr>
    </w:p>
    <w:p w14:paraId="474F609E">
      <w:pPr>
        <w:widowControl w:val="0"/>
        <w:spacing w:line="312" w:lineRule="auto"/>
        <w:rPr>
          <w:rFonts w:hint="eastAsia"/>
          <w:bCs/>
          <w:sz w:val="36"/>
          <w:szCs w:val="36"/>
        </w:rPr>
      </w:pPr>
    </w:p>
    <w:p w14:paraId="2598B5B2">
      <w:pPr>
        <w:widowControl w:val="0"/>
        <w:spacing w:line="312" w:lineRule="auto"/>
        <w:rPr>
          <w:rFonts w:hint="eastAsia"/>
          <w:bCs/>
          <w:sz w:val="36"/>
          <w:szCs w:val="36"/>
        </w:rPr>
      </w:pPr>
    </w:p>
    <w:p w14:paraId="4765C780">
      <w:pPr>
        <w:widowControl w:val="0"/>
        <w:spacing w:line="312" w:lineRule="auto"/>
        <w:rPr>
          <w:rFonts w:hint="eastAsia"/>
          <w:bCs/>
          <w:sz w:val="36"/>
          <w:szCs w:val="36"/>
        </w:rPr>
      </w:pPr>
    </w:p>
    <w:p w14:paraId="5BF6C1FB">
      <w:pPr>
        <w:widowControl w:val="0"/>
        <w:spacing w:line="312" w:lineRule="auto"/>
        <w:rPr>
          <w:rFonts w:hint="eastAsia"/>
          <w:bCs/>
          <w:sz w:val="36"/>
          <w:szCs w:val="36"/>
        </w:rPr>
      </w:pPr>
    </w:p>
    <w:p w14:paraId="1CEA289A">
      <w:pPr>
        <w:widowControl w:val="0"/>
        <w:spacing w:line="312" w:lineRule="auto"/>
        <w:rPr>
          <w:rFonts w:hint="eastAsia"/>
          <w:bCs/>
          <w:sz w:val="36"/>
          <w:szCs w:val="36"/>
        </w:rPr>
      </w:pPr>
    </w:p>
    <w:p w14:paraId="4A1F0ECB">
      <w:pPr>
        <w:widowControl w:val="0"/>
        <w:spacing w:line="312" w:lineRule="auto"/>
        <w:rPr>
          <w:rFonts w:hint="eastAsia"/>
          <w:bCs/>
          <w:sz w:val="36"/>
          <w:szCs w:val="36"/>
        </w:rPr>
      </w:pPr>
    </w:p>
    <w:p w14:paraId="0ECDB51D">
      <w:pPr>
        <w:widowControl w:val="0"/>
        <w:spacing w:line="312" w:lineRule="auto"/>
        <w:rPr>
          <w:color w:val="6B6B6B"/>
          <w:kern w:val="0"/>
          <w:sz w:val="18"/>
          <w:szCs w:val="18"/>
        </w:rPr>
      </w:pPr>
    </w:p>
    <w:p w14:paraId="15CEFBC1">
      <w:pPr>
        <w:widowControl w:val="0"/>
        <w:spacing w:line="312" w:lineRule="auto"/>
        <w:rPr>
          <w:color w:val="6B6B6B"/>
          <w:kern w:val="0"/>
          <w:sz w:val="18"/>
          <w:szCs w:val="18"/>
        </w:rPr>
      </w:pPr>
    </w:p>
    <w:p w14:paraId="4F7F0D55">
      <w:pPr>
        <w:widowControl w:val="0"/>
        <w:spacing w:line="312" w:lineRule="auto"/>
        <w:jc w:val="center"/>
        <w:rPr>
          <w:color w:val="6B6B6B"/>
          <w:kern w:val="0"/>
          <w:sz w:val="18"/>
          <w:szCs w:val="18"/>
        </w:rPr>
      </w:pPr>
    </w:p>
    <w:p w14:paraId="3971F833">
      <w:pPr>
        <w:spacing w:after="959" w:line="259" w:lineRule="auto"/>
        <w:jc w:val="center"/>
        <w:rPr>
          <w:sz w:val="32"/>
          <w:szCs w:val="36"/>
        </w:rPr>
        <w:sectPr>
          <w:headerReference r:id="rId3" w:type="default"/>
          <w:pgSz w:w="11906" w:h="16838"/>
          <w:pgMar w:top="1440" w:right="1440" w:bottom="1440" w:left="1440" w:header="708" w:footer="708" w:gutter="0"/>
          <w:pgBorders>
            <w:top w:val="none" w:sz="0" w:space="0"/>
            <w:left w:val="none" w:sz="0" w:space="0"/>
            <w:bottom w:val="none" w:sz="0" w:space="0"/>
            <w:right w:val="none" w:sz="0" w:space="0"/>
          </w:pgBorders>
          <w:pgNumType w:fmt="upperRoman" w:start="1"/>
          <w:cols w:space="720" w:num="1"/>
          <w:docGrid w:linePitch="360" w:charSpace="0"/>
        </w:sectPr>
      </w:pPr>
      <w:r>
        <w:rPr>
          <w:rFonts w:hint="eastAsia" w:ascii="宋体" w:hAnsi="宋体" w:cs="宋体"/>
          <w:color w:val="000000"/>
          <w:sz w:val="48"/>
          <w:szCs w:val="48"/>
        </w:rPr>
        <w:t>基于深度学习的智能中药材识别系统</w:t>
      </w:r>
    </w:p>
    <w:p w14:paraId="5A5BE961">
      <w:pPr>
        <w:pStyle w:val="2"/>
        <w:spacing w:before="156" w:beforeLines="50" w:after="156" w:afterLines="50" w:line="312" w:lineRule="auto"/>
        <w:ind w:left="0"/>
        <w:jc w:val="center"/>
        <w:rPr>
          <w:rFonts w:ascii="Times New Roman" w:hAnsi="Times New Roman" w:eastAsia="宋体" w:cs="Times New Roman"/>
          <w:kern w:val="44"/>
          <w:lang w:val="en-US" w:eastAsia="zh-CN" w:bidi="ar-SA"/>
        </w:rPr>
      </w:pPr>
      <w:bookmarkStart w:id="0" w:name="_Toc8351"/>
      <w:r>
        <w:rPr>
          <w:rFonts w:ascii="Times New Roman" w:hAnsi="Times New Roman" w:eastAsia="宋体" w:cs="Times New Roman"/>
          <w:kern w:val="44"/>
          <w:lang w:val="en-US" w:eastAsia="zh-CN" w:bidi="ar-SA"/>
        </w:rPr>
        <w:t>摘</w:t>
      </w:r>
      <w:r>
        <w:rPr>
          <w:rFonts w:hint="eastAsia" w:ascii="Times New Roman" w:hAnsi="Times New Roman" w:eastAsia="宋体" w:cs="Times New Roman"/>
          <w:kern w:val="44"/>
          <w:lang w:val="en-US" w:eastAsia="zh-CN" w:bidi="ar-SA"/>
        </w:rPr>
        <w:t xml:space="preserve">  </w:t>
      </w:r>
      <w:r>
        <w:rPr>
          <w:rFonts w:ascii="Times New Roman" w:hAnsi="Times New Roman" w:eastAsia="宋体" w:cs="Times New Roman"/>
          <w:kern w:val="44"/>
          <w:lang w:val="en-US" w:eastAsia="zh-CN" w:bidi="ar-SA"/>
        </w:rPr>
        <w:t>要</w:t>
      </w:r>
      <w:bookmarkEnd w:id="0"/>
    </w:p>
    <w:p w14:paraId="48F3AEA5">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随着中医药现代化进程的推进，中药材的精准识别成为保障用药安全的关键环节。传统人工识别方法存在效率低、主观性强等局限，难以满足大规模药材流通需求。本研究提出一种融合本地深度学习模型与云端AI识别能力的智能中药材识别系统，采用改进的EfficientNetV2B0模型架构，通过引入注意力机制与特征增强技术提升识别性能。实验结果表明，该系统在26种常见中药材识别任务中实现了93.57%的验证准确率，显著提高了识别效率与可靠性。本研究为中医药信息化建设提供了新的技术方案，对推动中医药现代化具有重要意义。</w:t>
      </w:r>
    </w:p>
    <w:p w14:paraId="50F17C29">
      <w:pPr>
        <w:pStyle w:val="24"/>
        <w:keepNext w:val="0"/>
        <w:keepLines w:val="0"/>
        <w:pageBreakBefore w:val="0"/>
        <w:widowControl/>
        <w:kinsoku/>
        <w:wordWrap/>
        <w:overflowPunct/>
        <w:topLinePunct w:val="0"/>
        <w:autoSpaceDE/>
        <w:autoSpaceDN/>
        <w:bidi w:val="0"/>
        <w:adjustRightInd/>
        <w:snapToGrid/>
        <w:spacing w:before="0" w:after="0" w:line="312" w:lineRule="auto"/>
        <w:ind w:firstLine="480" w:firstLineChars="200"/>
        <w:jc w:val="both"/>
        <w:textAlignment w:val="auto"/>
        <w:rPr>
          <w:rFonts w:ascii="Times New Roman" w:hAnsi="Times New Roman" w:eastAsia="宋体"/>
          <w:color w:val="auto"/>
          <w:sz w:val="24"/>
        </w:rPr>
      </w:pPr>
    </w:p>
    <w:p w14:paraId="5DEA911A">
      <w:pPr>
        <w:widowControl w:val="0"/>
        <w:spacing w:line="312" w:lineRule="auto"/>
        <w:jc w:val="both"/>
        <w:rPr>
          <w:rFonts w:ascii="宋体" w:hAnsi="宋体"/>
          <w:b/>
          <w:kern w:val="2"/>
          <w:sz w:val="24"/>
          <w:szCs w:val="24"/>
          <w:lang w:val="en-US" w:eastAsia="zh-CN" w:bidi="ar-SA"/>
        </w:rPr>
        <w:sectPr>
          <w:footerReference r:id="rId4" w:type="default"/>
          <w:pgSz w:w="11906" w:h="16838"/>
          <w:pgMar w:top="1440" w:right="1440" w:bottom="1440" w:left="1440" w:header="708" w:footer="708" w:gutter="0"/>
          <w:pgBorders>
            <w:top w:val="none" w:sz="0" w:space="0"/>
            <w:left w:val="none" w:sz="0" w:space="0"/>
            <w:bottom w:val="none" w:sz="0" w:space="0"/>
            <w:right w:val="none" w:sz="0" w:space="0"/>
          </w:pgBorders>
          <w:pgNumType w:fmt="upperRoman" w:start="1"/>
          <w:cols w:space="720" w:num="1"/>
          <w:docGrid w:linePitch="360" w:charSpace="0"/>
        </w:sectPr>
      </w:pPr>
      <w:r>
        <w:rPr>
          <w:rFonts w:ascii="宋体" w:hAnsi="宋体"/>
          <w:b/>
          <w:kern w:val="2"/>
          <w:sz w:val="24"/>
          <w:szCs w:val="24"/>
          <w:lang w:val="en-US" w:eastAsia="zh-CN" w:bidi="ar-SA"/>
        </w:rPr>
        <w:t>关键词：中药材识别；深度学习；EfficientNetV2；注意力机制；特征增强</w:t>
      </w:r>
    </w:p>
    <w:p w14:paraId="41FD52E2">
      <w:pPr>
        <w:pStyle w:val="24"/>
        <w:rPr>
          <w:rFonts w:ascii="Times New Roman" w:hAnsi="Times New Roman" w:eastAsia="宋体"/>
          <w:b/>
          <w:bCs/>
          <w:color w:val="auto"/>
          <w:sz w:val="24"/>
        </w:rPr>
      </w:pPr>
    </w:p>
    <w:p w14:paraId="7A38E387">
      <w:pPr>
        <w:pStyle w:val="2"/>
        <w:jc w:val="center"/>
      </w:pPr>
      <w:bookmarkStart w:id="1" w:name="_Toc198646004"/>
      <w:bookmarkStart w:id="2" w:name="_Toc197307034"/>
      <w:bookmarkStart w:id="3" w:name="_Toc114838957"/>
      <w:bookmarkStart w:id="4" w:name="_Toc198506037"/>
      <w:bookmarkStart w:id="5" w:name="_Toc198505744"/>
      <w:bookmarkStart w:id="6" w:name="_Toc114761740"/>
      <w:bookmarkStart w:id="7" w:name="_Toc20079"/>
      <w:r>
        <w:t>A</w:t>
      </w:r>
      <w:bookmarkEnd w:id="1"/>
      <w:bookmarkEnd w:id="2"/>
      <w:r>
        <w:t>BSTRACT</w:t>
      </w:r>
      <w:bookmarkEnd w:id="3"/>
      <w:bookmarkEnd w:id="4"/>
      <w:bookmarkEnd w:id="5"/>
      <w:bookmarkEnd w:id="6"/>
      <w:r>
        <w:fldChar w:fldCharType="begin"/>
      </w:r>
      <w:r>
        <w:instrText xml:space="preserve"> TC "</w:instrText>
      </w:r>
      <w:bookmarkStart w:id="8" w:name="_Toc198506038"/>
      <w:bookmarkStart w:id="9" w:name="_Toc198505745"/>
      <w:r>
        <w:instrText xml:space="preserve">ABSTRACT</w:instrText>
      </w:r>
      <w:bookmarkEnd w:id="8"/>
      <w:bookmarkEnd w:id="9"/>
      <w:r>
        <w:instrText xml:space="preserve">" \f C \l "1" </w:instrText>
      </w:r>
      <w:r>
        <w:fldChar w:fldCharType="end"/>
      </w:r>
      <w:bookmarkEnd w:id="7"/>
    </w:p>
    <w:p w14:paraId="22593103">
      <w:pPr>
        <w:pStyle w:val="24"/>
        <w:rPr>
          <w:rFonts w:ascii="Times New Roman" w:hAnsi="Times New Roman" w:eastAsia="宋体"/>
          <w:b/>
          <w:bCs/>
          <w:color w:val="auto"/>
          <w:sz w:val="24"/>
        </w:rPr>
      </w:pPr>
    </w:p>
    <w:p w14:paraId="70A8F672">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With the advancement of the modernization of traditional Chinese medicine, the precise identification of Chinese medicinal materials has become a key link to ensure the safety of medication. Traditional manual identification methods have limitations such as low efficiency and strong subjectivity, which are difficult to meet the demands of large-scale circulation of medicinal materials. This study proposes an intelligent Chinese medicinal material identification system that integrates local deep learning models with cloud AI recognition capabilities. It adopts an improved EfficientNetV2B0 model architecture and enhances recognition performance by introducing attention mechanisms and feature enhancement techniques. Experimental results show that the system achieved a validation accuracy of 93.57% in the identification task of 26 common Chinese medicinal materials, significantly improving recognition efficiency and reliability. This research provides a new technical solution for the informatization construction of traditional Chinese medicine and is of great significance for promoting the modernization of traditional Chinese medicine.</w:t>
      </w:r>
    </w:p>
    <w:p w14:paraId="35DD1C9D">
      <w:pPr>
        <w:pStyle w:val="24"/>
        <w:rPr>
          <w:rFonts w:hint="eastAsia" w:ascii="Times New Roman" w:hAnsi="Times New Roman" w:eastAsia="宋体"/>
          <w:b/>
          <w:bCs/>
          <w:color w:val="auto"/>
          <w:sz w:val="24"/>
        </w:rPr>
      </w:pPr>
    </w:p>
    <w:p w14:paraId="5205F437">
      <w:pPr>
        <w:pStyle w:val="24"/>
        <w:rPr>
          <w:rFonts w:hint="eastAsia" w:ascii="Times New Roman" w:hAnsi="Times New Roman" w:eastAsia="宋体"/>
          <w:b/>
          <w:bCs/>
          <w:color w:val="auto"/>
          <w:sz w:val="24"/>
        </w:rPr>
        <w:sectPr>
          <w:footerReference r:id="rId5" w:type="default"/>
          <w:pgSz w:w="11906" w:h="16838"/>
          <w:pgMar w:top="1440" w:right="1440" w:bottom="1440" w:left="1440" w:header="708" w:footer="708" w:gutter="0"/>
          <w:pgBorders>
            <w:top w:val="none" w:sz="0" w:space="0"/>
            <w:left w:val="none" w:sz="0" w:space="0"/>
            <w:bottom w:val="none" w:sz="0" w:space="0"/>
            <w:right w:val="none" w:sz="0" w:space="0"/>
          </w:pgBorders>
          <w:pgNumType w:fmt="upperRoman"/>
          <w:cols w:space="720" w:num="1"/>
          <w:docGrid w:linePitch="360" w:charSpace="0"/>
        </w:sectPr>
      </w:pPr>
      <w:r>
        <w:rPr>
          <w:rFonts w:ascii="Times New Roman" w:hAnsi="Times New Roman" w:eastAsia="宋体" w:cs="Times New Roman"/>
          <w:b/>
          <w:kern w:val="2"/>
          <w:sz w:val="24"/>
          <w:szCs w:val="21"/>
          <w:lang w:val="en-US" w:eastAsia="zh-CN" w:bidi="ar-SA"/>
        </w:rPr>
        <w:t>Keyword</w:t>
      </w:r>
      <w:r>
        <w:rPr>
          <w:rFonts w:hint="eastAsia" w:ascii="Times New Roman" w:hAnsi="Times New Roman" w:eastAsia="宋体" w:cs="Times New Roman"/>
          <w:b/>
          <w:kern w:val="2"/>
          <w:sz w:val="24"/>
          <w:szCs w:val="21"/>
          <w:lang w:val="en-US" w:eastAsia="zh-CN" w:bidi="ar-SA"/>
        </w:rPr>
        <w:t xml:space="preserve">: </w:t>
      </w:r>
      <w:r>
        <w:rPr>
          <w:rFonts w:hint="eastAsia" w:ascii="Times New Roman" w:hAnsi="Times New Roman" w:eastAsia="宋体" w:cs="Times New Roman"/>
          <w:color w:val="000000"/>
          <w:kern w:val="0"/>
          <w:sz w:val="24"/>
          <w:szCs w:val="24"/>
          <w:lang w:val="en-US" w:eastAsia="zh-CN" w:bidi="ar-SA"/>
        </w:rPr>
        <w:t>Chinese medicinal materials identification; Deep learning; EfficientNetV2; Attention mechanism; Feature enhancement</w:t>
      </w:r>
      <w:bookmarkStart w:id="62" w:name="_GoBack"/>
      <w:bookmarkEnd w:id="62"/>
    </w:p>
    <w:sdt>
      <w:sdtPr>
        <w:rPr>
          <w:rFonts w:ascii="宋体" w:hAnsi="宋体" w:eastAsia="宋体" w:cs="Times New Roman"/>
          <w:b/>
          <w:bCs/>
          <w:sz w:val="36"/>
          <w:szCs w:val="36"/>
        </w:rPr>
        <w:id w:val="147480004"/>
        <w15:color w:val="DBDBDB"/>
        <w:docPartObj>
          <w:docPartGallery w:val="Table of Contents"/>
          <w:docPartUnique/>
        </w:docPartObj>
      </w:sdtPr>
      <w:sdtEndPr>
        <w:rPr>
          <w:rFonts w:hint="eastAsia" w:ascii="Times New Roman" w:hAnsi="Times New Roman" w:eastAsia="宋体" w:cs="Times New Roman"/>
          <w:b/>
          <w:bCs/>
          <w:sz w:val="21"/>
          <w:szCs w:val="22"/>
          <w:shd w:val="clear" w:color="auto" w:fill="auto"/>
          <w:lang w:val="en-US" w:eastAsia="zh-CN"/>
        </w:rPr>
      </w:sdtEndPr>
      <w:sdtContent>
        <w:p w14:paraId="1BD77821">
          <w:pPr>
            <w:spacing w:before="0" w:beforeLines="0" w:after="0" w:afterLines="0" w:line="240" w:lineRule="auto"/>
            <w:ind w:left="0" w:leftChars="0" w:right="0" w:rightChars="0" w:firstLine="0" w:firstLineChars="0"/>
            <w:jc w:val="center"/>
            <w:rPr>
              <w:b/>
              <w:bCs/>
              <w:sz w:val="36"/>
              <w:szCs w:val="36"/>
            </w:rPr>
          </w:pPr>
          <w:r>
            <w:rPr>
              <w:rFonts w:ascii="宋体" w:hAnsi="宋体" w:eastAsia="宋体"/>
              <w:b/>
              <w:bCs/>
              <w:sz w:val="36"/>
              <w:szCs w:val="36"/>
            </w:rPr>
            <w:t>目录</w:t>
          </w:r>
        </w:p>
        <w:p w14:paraId="0E3159ED">
          <w:pPr>
            <w:pStyle w:val="12"/>
            <w:tabs>
              <w:tab w:val="right" w:leader="dot" w:pos="9026"/>
            </w:tabs>
          </w:pPr>
          <w:r>
            <w:rPr>
              <w:rFonts w:hint="eastAsia" w:ascii="Times New Roman" w:hAnsi="Times New Roman" w:eastAsia="宋体"/>
              <w:b/>
              <w:bCs/>
              <w:sz w:val="36"/>
              <w:shd w:val="clear" w:color="auto" w:fill="auto"/>
              <w:lang w:val="en-US" w:eastAsia="zh-CN"/>
            </w:rPr>
            <w:fldChar w:fldCharType="begin"/>
          </w:r>
          <w:r>
            <w:rPr>
              <w:rFonts w:hint="eastAsia" w:ascii="Times New Roman" w:hAnsi="Times New Roman" w:eastAsia="宋体"/>
              <w:b/>
              <w:bCs/>
              <w:sz w:val="36"/>
              <w:shd w:val="clear" w:color="auto" w:fill="auto"/>
              <w:lang w:val="en-US" w:eastAsia="zh-CN"/>
            </w:rPr>
            <w:instrText xml:space="preserve">TOC \o "1-3" \h \u </w:instrText>
          </w:r>
          <w:r>
            <w:rPr>
              <w:rFonts w:hint="eastAsia" w:ascii="Times New Roman" w:hAnsi="Times New Roman" w:eastAsia="宋体"/>
              <w:b/>
              <w:bCs/>
              <w:sz w:val="36"/>
              <w:shd w:val="clear" w:color="auto" w:fill="auto"/>
              <w:lang w:val="en-US" w:eastAsia="zh-CN"/>
            </w:rPr>
            <w:fldChar w:fldCharType="separate"/>
          </w: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_Toc8351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44"/>
              <w:lang w:val="en-US" w:eastAsia="zh-CN" w:bidi="ar-SA"/>
            </w:rPr>
            <w:t>摘</w:t>
          </w:r>
          <w:r>
            <w:rPr>
              <w:rFonts w:hint="eastAsia" w:ascii="Times New Roman" w:hAnsi="Times New Roman" w:eastAsia="宋体" w:cs="Times New Roman"/>
              <w:kern w:val="44"/>
              <w:lang w:val="en-US" w:eastAsia="zh-CN" w:bidi="ar-SA"/>
            </w:rPr>
            <w:t xml:space="preserve">  </w:t>
          </w:r>
          <w:r>
            <w:rPr>
              <w:rFonts w:ascii="Times New Roman" w:hAnsi="Times New Roman" w:eastAsia="宋体" w:cs="Times New Roman"/>
              <w:kern w:val="44"/>
              <w:lang w:val="en-US" w:eastAsia="zh-CN" w:bidi="ar-SA"/>
            </w:rPr>
            <w:t>要</w:t>
          </w:r>
          <w:r>
            <w:tab/>
          </w:r>
          <w:r>
            <w:fldChar w:fldCharType="begin"/>
          </w:r>
          <w:r>
            <w:instrText xml:space="preserve"> PAGEREF _Toc8351 \h </w:instrText>
          </w:r>
          <w:r>
            <w:fldChar w:fldCharType="separate"/>
          </w:r>
          <w:r>
            <w:t>I</w:t>
          </w:r>
          <w:r>
            <w:fldChar w:fldCharType="end"/>
          </w:r>
          <w:r>
            <w:rPr>
              <w:rFonts w:hint="eastAsia" w:ascii="Times New Roman" w:hAnsi="Times New Roman" w:eastAsia="宋体"/>
              <w:bCs/>
              <w:shd w:val="clear" w:color="auto" w:fill="auto"/>
              <w:lang w:val="en-US" w:eastAsia="zh-CN"/>
            </w:rPr>
            <w:fldChar w:fldCharType="end"/>
          </w:r>
        </w:p>
        <w:p w14:paraId="4D6B337B">
          <w:pPr>
            <w:pStyle w:val="12"/>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_Toc20079 </w:instrText>
          </w:r>
          <w:r>
            <w:rPr>
              <w:rFonts w:hint="eastAsia" w:ascii="Times New Roman" w:hAnsi="Times New Roman" w:eastAsia="宋体"/>
              <w:bCs/>
              <w:shd w:val="clear" w:color="auto" w:fill="auto"/>
              <w:lang w:val="en-US" w:eastAsia="zh-CN"/>
            </w:rPr>
            <w:fldChar w:fldCharType="separate"/>
          </w:r>
          <w:r>
            <w:t>ABSTRACT</w:t>
          </w:r>
          <w:r>
            <w:tab/>
          </w:r>
          <w:r>
            <w:fldChar w:fldCharType="begin"/>
          </w:r>
          <w:r>
            <w:instrText xml:space="preserve"> PAGEREF _Toc20079 \h </w:instrText>
          </w:r>
          <w:r>
            <w:fldChar w:fldCharType="separate"/>
          </w:r>
          <w:r>
            <w:t>II</w:t>
          </w:r>
          <w:r>
            <w:fldChar w:fldCharType="end"/>
          </w:r>
          <w:r>
            <w:rPr>
              <w:rFonts w:hint="eastAsia" w:ascii="Times New Roman" w:hAnsi="Times New Roman" w:eastAsia="宋体"/>
              <w:bCs/>
              <w:shd w:val="clear" w:color="auto" w:fill="auto"/>
              <w:lang w:val="en-US" w:eastAsia="zh-CN"/>
            </w:rPr>
            <w:fldChar w:fldCharType="end"/>
          </w:r>
        </w:p>
        <w:p w14:paraId="72E8C534">
          <w:pPr>
            <w:pStyle w:val="12"/>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_Toc7734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44"/>
              <w:lang w:val="en-US" w:eastAsia="zh-CN" w:bidi="ar-SA"/>
            </w:rPr>
            <w:t>1引言</w:t>
          </w:r>
          <w:r>
            <w:tab/>
          </w:r>
          <w:r>
            <w:fldChar w:fldCharType="begin"/>
          </w:r>
          <w:r>
            <w:instrText xml:space="preserve"> PAGEREF _Toc7734 \h </w:instrText>
          </w:r>
          <w:r>
            <w:fldChar w:fldCharType="separate"/>
          </w:r>
          <w:r>
            <w:t>1</w:t>
          </w:r>
          <w:r>
            <w:fldChar w:fldCharType="end"/>
          </w:r>
          <w:r>
            <w:rPr>
              <w:rFonts w:hint="eastAsia" w:ascii="Times New Roman" w:hAnsi="Times New Roman" w:eastAsia="宋体"/>
              <w:bCs/>
              <w:shd w:val="clear" w:color="auto" w:fill="auto"/>
              <w:lang w:val="en-US" w:eastAsia="zh-CN"/>
            </w:rPr>
            <w:fldChar w:fldCharType="end"/>
          </w:r>
        </w:p>
        <w:p w14:paraId="40F72AE9">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_Toc8171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2"/>
              <w:szCs w:val="30"/>
              <w:lang w:val="en-US" w:eastAsia="zh-CN" w:bidi="ar-SA"/>
            </w:rPr>
            <w:t>1.1 研究背景</w:t>
          </w:r>
          <w:r>
            <w:tab/>
          </w:r>
          <w:r>
            <w:fldChar w:fldCharType="begin"/>
          </w:r>
          <w:r>
            <w:instrText xml:space="preserve"> PAGEREF _Toc8171 \h </w:instrText>
          </w:r>
          <w:r>
            <w:fldChar w:fldCharType="separate"/>
          </w:r>
          <w:r>
            <w:t>1</w:t>
          </w:r>
          <w:r>
            <w:fldChar w:fldCharType="end"/>
          </w:r>
          <w:r>
            <w:rPr>
              <w:rFonts w:hint="eastAsia" w:ascii="Times New Roman" w:hAnsi="Times New Roman" w:eastAsia="宋体"/>
              <w:bCs/>
              <w:shd w:val="clear" w:color="auto" w:fill="auto"/>
              <w:lang w:val="en-US" w:eastAsia="zh-CN"/>
            </w:rPr>
            <w:fldChar w:fldCharType="end"/>
          </w:r>
        </w:p>
        <w:p w14:paraId="74B763B7">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_Toc4511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2"/>
              <w:szCs w:val="30"/>
              <w:lang w:val="en-US" w:eastAsia="zh-CN" w:bidi="ar-SA"/>
            </w:rPr>
            <w:t xml:space="preserve">1.2 </w:t>
          </w:r>
          <w:r>
            <w:rPr>
              <w:rFonts w:hint="eastAsia" w:ascii="Times New Roman" w:hAnsi="Times New Roman" w:eastAsia="宋体" w:cs="Times New Roman"/>
              <w:kern w:val="2"/>
              <w:szCs w:val="30"/>
              <w:lang w:val="en-US" w:eastAsia="zh-CN" w:bidi="ar-SA"/>
            </w:rPr>
            <w:t>国内外研究现状</w:t>
          </w:r>
          <w:r>
            <w:tab/>
          </w:r>
          <w:r>
            <w:fldChar w:fldCharType="begin"/>
          </w:r>
          <w:r>
            <w:instrText xml:space="preserve"> PAGEREF _Toc4511 \h </w:instrText>
          </w:r>
          <w:r>
            <w:fldChar w:fldCharType="separate"/>
          </w:r>
          <w:r>
            <w:t>1</w:t>
          </w:r>
          <w:r>
            <w:fldChar w:fldCharType="end"/>
          </w:r>
          <w:r>
            <w:rPr>
              <w:rFonts w:hint="eastAsia" w:ascii="Times New Roman" w:hAnsi="Times New Roman" w:eastAsia="宋体"/>
              <w:bCs/>
              <w:shd w:val="clear" w:color="auto" w:fill="auto"/>
              <w:lang w:val="en-US" w:eastAsia="zh-CN"/>
            </w:rPr>
            <w:fldChar w:fldCharType="end"/>
          </w:r>
        </w:p>
        <w:p w14:paraId="43F06C74">
          <w:pPr>
            <w:pStyle w:val="12"/>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_Toc14908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bCs/>
            </w:rPr>
            <w:t>2</w:t>
          </w:r>
          <w:r>
            <w:rPr>
              <w:rFonts w:hint="eastAsia" w:ascii="Times New Roman" w:hAnsi="Times New Roman" w:eastAsia="宋体"/>
              <w:bCs/>
              <w:lang w:val="en-US" w:eastAsia="zh-CN"/>
            </w:rPr>
            <w:t>深度学习</w:t>
          </w:r>
          <w:r>
            <w:tab/>
          </w:r>
          <w:r>
            <w:fldChar w:fldCharType="begin"/>
          </w:r>
          <w:r>
            <w:instrText xml:space="preserve"> PAGEREF _Toc14908 \h </w:instrText>
          </w:r>
          <w:r>
            <w:fldChar w:fldCharType="separate"/>
          </w:r>
          <w:r>
            <w:t>3</w:t>
          </w:r>
          <w:r>
            <w:fldChar w:fldCharType="end"/>
          </w:r>
          <w:r>
            <w:rPr>
              <w:rFonts w:hint="eastAsia" w:ascii="Times New Roman" w:hAnsi="Times New Roman" w:eastAsia="宋体"/>
              <w:bCs/>
              <w:shd w:val="clear" w:color="auto" w:fill="auto"/>
              <w:lang w:val="en-US" w:eastAsia="zh-CN"/>
            </w:rPr>
            <w:fldChar w:fldCharType="end"/>
          </w:r>
        </w:p>
        <w:p w14:paraId="78B8C7D8">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_Toc24749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2"/>
              <w:szCs w:val="30"/>
              <w:lang w:val="en-US" w:eastAsia="zh-CN" w:bidi="ar-SA"/>
            </w:rPr>
            <w:t xml:space="preserve">2.1 </w:t>
          </w:r>
          <w:r>
            <w:rPr>
              <w:rFonts w:hint="eastAsia" w:ascii="Times New Roman" w:hAnsi="Times New Roman" w:eastAsia="宋体" w:cs="Times New Roman"/>
              <w:kern w:val="2"/>
              <w:szCs w:val="30"/>
              <w:lang w:val="en-US" w:eastAsia="zh-CN" w:bidi="ar-SA"/>
            </w:rPr>
            <w:t>卷积神经网络</w:t>
          </w:r>
          <w:r>
            <w:tab/>
          </w:r>
          <w:r>
            <w:fldChar w:fldCharType="begin"/>
          </w:r>
          <w:r>
            <w:instrText xml:space="preserve"> PAGEREF _Toc24749 \h </w:instrText>
          </w:r>
          <w:r>
            <w:fldChar w:fldCharType="separate"/>
          </w:r>
          <w:r>
            <w:t>3</w:t>
          </w:r>
          <w:r>
            <w:fldChar w:fldCharType="end"/>
          </w:r>
          <w:r>
            <w:rPr>
              <w:rFonts w:hint="eastAsia" w:ascii="Times New Roman" w:hAnsi="Times New Roman" w:eastAsia="宋体"/>
              <w:bCs/>
              <w:shd w:val="clear" w:color="auto" w:fill="auto"/>
              <w:lang w:val="en-US" w:eastAsia="zh-CN"/>
            </w:rPr>
            <w:fldChar w:fldCharType="end"/>
          </w:r>
        </w:p>
        <w:p w14:paraId="0707D0C3">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_Toc46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2"/>
              <w:szCs w:val="30"/>
              <w:lang w:val="en-US" w:eastAsia="zh-CN" w:bidi="ar-SA"/>
            </w:rPr>
            <w:t xml:space="preserve">2.2 </w:t>
          </w:r>
          <w:r>
            <w:rPr>
              <w:rFonts w:hint="eastAsia" w:ascii="Times New Roman" w:hAnsi="Times New Roman" w:eastAsia="宋体" w:cs="Times New Roman"/>
              <w:kern w:val="2"/>
              <w:szCs w:val="30"/>
              <w:lang w:val="en-US" w:eastAsia="zh-CN" w:bidi="ar-SA"/>
            </w:rPr>
            <w:t>迁移学习</w:t>
          </w:r>
          <w:r>
            <w:tab/>
          </w:r>
          <w:r>
            <w:fldChar w:fldCharType="begin"/>
          </w:r>
          <w:r>
            <w:instrText xml:space="preserve"> PAGEREF _Toc46 \h </w:instrText>
          </w:r>
          <w:r>
            <w:fldChar w:fldCharType="separate"/>
          </w:r>
          <w:r>
            <w:t>4</w:t>
          </w:r>
          <w:r>
            <w:fldChar w:fldCharType="end"/>
          </w:r>
          <w:r>
            <w:rPr>
              <w:rFonts w:hint="eastAsia" w:ascii="Times New Roman" w:hAnsi="Times New Roman" w:eastAsia="宋体"/>
              <w:bCs/>
              <w:shd w:val="clear" w:color="auto" w:fill="auto"/>
              <w:lang w:val="en-US" w:eastAsia="zh-CN"/>
            </w:rPr>
            <w:fldChar w:fldCharType="end"/>
          </w:r>
        </w:p>
        <w:p w14:paraId="66D593D7">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_Toc19999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2"/>
              <w:szCs w:val="30"/>
              <w:lang w:val="en-US" w:eastAsia="zh-CN" w:bidi="ar-SA"/>
            </w:rPr>
            <w:t xml:space="preserve">2.3 </w:t>
          </w:r>
          <w:r>
            <w:rPr>
              <w:rFonts w:hint="eastAsia" w:ascii="Times New Roman" w:hAnsi="Times New Roman" w:eastAsia="宋体" w:cs="Times New Roman"/>
              <w:kern w:val="2"/>
              <w:szCs w:val="30"/>
              <w:lang w:val="en-US" w:eastAsia="zh-CN" w:bidi="ar-SA"/>
            </w:rPr>
            <w:t>EfficientNetV2B0网络</w:t>
          </w:r>
          <w:r>
            <w:tab/>
          </w:r>
          <w:r>
            <w:fldChar w:fldCharType="begin"/>
          </w:r>
          <w:r>
            <w:instrText xml:space="preserve"> PAGEREF _Toc19999 \h </w:instrText>
          </w:r>
          <w:r>
            <w:fldChar w:fldCharType="separate"/>
          </w:r>
          <w:r>
            <w:t>5</w:t>
          </w:r>
          <w:r>
            <w:fldChar w:fldCharType="end"/>
          </w:r>
          <w:r>
            <w:rPr>
              <w:rFonts w:hint="eastAsia" w:ascii="Times New Roman" w:hAnsi="Times New Roman" w:eastAsia="宋体"/>
              <w:bCs/>
              <w:shd w:val="clear" w:color="auto" w:fill="auto"/>
              <w:lang w:val="en-US" w:eastAsia="zh-CN"/>
            </w:rPr>
            <w:fldChar w:fldCharType="end"/>
          </w:r>
        </w:p>
        <w:p w14:paraId="2C4C7E28">
          <w:pPr>
            <w:pStyle w:val="12"/>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_Toc28708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bCs/>
            </w:rPr>
            <w:t>3</w:t>
          </w:r>
          <w:r>
            <w:rPr>
              <w:rFonts w:hint="eastAsia" w:ascii="Times New Roman" w:hAnsi="Times New Roman" w:eastAsia="宋体"/>
              <w:bCs/>
              <w:lang w:val="en-US" w:eastAsia="zh-CN"/>
            </w:rPr>
            <w:t>相似中草药的数据建立与处理</w:t>
          </w:r>
          <w:r>
            <w:tab/>
          </w:r>
          <w:r>
            <w:fldChar w:fldCharType="begin"/>
          </w:r>
          <w:r>
            <w:instrText xml:space="preserve"> PAGEREF _Toc28708 \h </w:instrText>
          </w:r>
          <w:r>
            <w:fldChar w:fldCharType="separate"/>
          </w:r>
          <w:r>
            <w:t>7</w:t>
          </w:r>
          <w:r>
            <w:fldChar w:fldCharType="end"/>
          </w:r>
          <w:r>
            <w:rPr>
              <w:rFonts w:hint="eastAsia" w:ascii="Times New Roman" w:hAnsi="Times New Roman" w:eastAsia="宋体"/>
              <w:bCs/>
              <w:shd w:val="clear" w:color="auto" w:fill="auto"/>
              <w:lang w:val="en-US" w:eastAsia="zh-CN"/>
            </w:rPr>
            <w:fldChar w:fldCharType="end"/>
          </w:r>
        </w:p>
        <w:p w14:paraId="5FA33FB9">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_Toc29435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2"/>
              <w:szCs w:val="30"/>
              <w:lang w:val="en-US" w:eastAsia="zh-CN" w:bidi="ar-SA"/>
            </w:rPr>
            <w:t xml:space="preserve">3.1 </w:t>
          </w:r>
          <w:r>
            <w:rPr>
              <w:rFonts w:hint="eastAsia" w:ascii="Times New Roman" w:hAnsi="Times New Roman" w:eastAsia="宋体" w:cs="Times New Roman"/>
              <w:kern w:val="2"/>
              <w:szCs w:val="30"/>
              <w:lang w:val="en-US" w:eastAsia="zh-CN" w:bidi="ar-SA"/>
            </w:rPr>
            <w:t>数据集的获取</w:t>
          </w:r>
          <w:r>
            <w:tab/>
          </w:r>
          <w:r>
            <w:fldChar w:fldCharType="begin"/>
          </w:r>
          <w:r>
            <w:instrText xml:space="preserve"> PAGEREF _Toc29435 \h </w:instrText>
          </w:r>
          <w:r>
            <w:fldChar w:fldCharType="separate"/>
          </w:r>
          <w:r>
            <w:t>7</w:t>
          </w:r>
          <w:r>
            <w:fldChar w:fldCharType="end"/>
          </w:r>
          <w:r>
            <w:rPr>
              <w:rFonts w:hint="eastAsia" w:ascii="Times New Roman" w:hAnsi="Times New Roman" w:eastAsia="宋体"/>
              <w:bCs/>
              <w:shd w:val="clear" w:color="auto" w:fill="auto"/>
              <w:lang w:val="en-US" w:eastAsia="zh-CN"/>
            </w:rPr>
            <w:fldChar w:fldCharType="end"/>
          </w:r>
        </w:p>
        <w:p w14:paraId="4F35080A">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_Toc19057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2"/>
              <w:szCs w:val="30"/>
              <w:lang w:val="en-US" w:eastAsia="zh-CN" w:bidi="ar-SA"/>
            </w:rPr>
            <w:t xml:space="preserve">3.2 </w:t>
          </w:r>
          <w:r>
            <w:rPr>
              <w:rFonts w:hint="eastAsia" w:ascii="Times New Roman" w:hAnsi="Times New Roman" w:eastAsia="宋体" w:cs="Times New Roman"/>
              <w:kern w:val="2"/>
              <w:szCs w:val="30"/>
              <w:lang w:val="en-US" w:eastAsia="zh-CN" w:bidi="ar-SA"/>
            </w:rPr>
            <w:t>中药材图像标注</w:t>
          </w:r>
          <w:r>
            <w:tab/>
          </w:r>
          <w:r>
            <w:fldChar w:fldCharType="begin"/>
          </w:r>
          <w:r>
            <w:instrText xml:space="preserve"> PAGEREF _Toc19057 \h </w:instrText>
          </w:r>
          <w:r>
            <w:fldChar w:fldCharType="separate"/>
          </w:r>
          <w:r>
            <w:t>8</w:t>
          </w:r>
          <w:r>
            <w:fldChar w:fldCharType="end"/>
          </w:r>
          <w:r>
            <w:rPr>
              <w:rFonts w:hint="eastAsia" w:ascii="Times New Roman" w:hAnsi="Times New Roman" w:eastAsia="宋体"/>
              <w:bCs/>
              <w:shd w:val="clear" w:color="auto" w:fill="auto"/>
              <w:lang w:val="en-US" w:eastAsia="zh-CN"/>
            </w:rPr>
            <w:fldChar w:fldCharType="end"/>
          </w:r>
        </w:p>
        <w:p w14:paraId="3E608998">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_Toc5132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2"/>
              <w:szCs w:val="30"/>
              <w:lang w:val="en-US" w:eastAsia="zh-CN" w:bidi="ar-SA"/>
            </w:rPr>
            <w:t>3.</w:t>
          </w:r>
          <w:r>
            <w:rPr>
              <w:rFonts w:hint="eastAsia" w:ascii="Times New Roman" w:hAnsi="Times New Roman" w:eastAsia="宋体" w:cs="Times New Roman"/>
              <w:kern w:val="2"/>
              <w:szCs w:val="30"/>
              <w:lang w:val="en-US" w:eastAsia="zh-CN" w:bidi="ar-SA"/>
            </w:rPr>
            <w:t>3</w:t>
          </w:r>
          <w:r>
            <w:rPr>
              <w:rFonts w:ascii="Times New Roman" w:hAnsi="Times New Roman" w:eastAsia="宋体" w:cs="Times New Roman"/>
              <w:kern w:val="2"/>
              <w:szCs w:val="30"/>
              <w:lang w:val="en-US" w:eastAsia="zh-CN" w:bidi="ar-SA"/>
            </w:rPr>
            <w:t xml:space="preserve"> </w:t>
          </w:r>
          <w:r>
            <w:rPr>
              <w:rFonts w:hint="eastAsia" w:ascii="Times New Roman" w:hAnsi="Times New Roman" w:eastAsia="宋体" w:cs="Times New Roman"/>
              <w:kern w:val="2"/>
              <w:szCs w:val="30"/>
              <w:lang w:val="en-US" w:eastAsia="zh-CN" w:bidi="ar-SA"/>
            </w:rPr>
            <w:t>中药材图像数据增强</w:t>
          </w:r>
          <w:r>
            <w:tab/>
          </w:r>
          <w:r>
            <w:fldChar w:fldCharType="begin"/>
          </w:r>
          <w:r>
            <w:instrText xml:space="preserve"> PAGEREF _Toc5132 \h </w:instrText>
          </w:r>
          <w:r>
            <w:fldChar w:fldCharType="separate"/>
          </w:r>
          <w:r>
            <w:t>8</w:t>
          </w:r>
          <w:r>
            <w:fldChar w:fldCharType="end"/>
          </w:r>
          <w:r>
            <w:rPr>
              <w:rFonts w:hint="eastAsia" w:ascii="Times New Roman" w:hAnsi="Times New Roman" w:eastAsia="宋体"/>
              <w:bCs/>
              <w:shd w:val="clear" w:color="auto" w:fill="auto"/>
              <w:lang w:val="en-US" w:eastAsia="zh-CN"/>
            </w:rPr>
            <w:fldChar w:fldCharType="end"/>
          </w:r>
        </w:p>
        <w:p w14:paraId="4C70A106">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_Toc14193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2"/>
              <w:szCs w:val="28"/>
              <w:lang w:val="en-US" w:eastAsia="zh-CN" w:bidi="ar-SA"/>
            </w:rPr>
            <w:t>3.</w:t>
          </w:r>
          <w:r>
            <w:rPr>
              <w:rFonts w:hint="eastAsia" w:ascii="Times New Roman" w:hAnsi="Times New Roman" w:eastAsia="宋体" w:cs="Times New Roman"/>
              <w:kern w:val="2"/>
              <w:szCs w:val="28"/>
              <w:lang w:val="en-US" w:eastAsia="zh-CN" w:bidi="ar-SA"/>
            </w:rPr>
            <w:t>3.1</w:t>
          </w:r>
          <w:r>
            <w:rPr>
              <w:rFonts w:ascii="Times New Roman" w:hAnsi="Times New Roman" w:eastAsia="宋体" w:cs="Times New Roman"/>
              <w:kern w:val="2"/>
              <w:szCs w:val="28"/>
              <w:lang w:val="en-US" w:eastAsia="zh-CN" w:bidi="ar-SA"/>
            </w:rPr>
            <w:t xml:space="preserve"> </w:t>
          </w:r>
          <w:r>
            <w:rPr>
              <w:rFonts w:hint="eastAsia" w:ascii="Times New Roman" w:hAnsi="Times New Roman" w:eastAsia="宋体" w:cs="Times New Roman"/>
              <w:kern w:val="2"/>
              <w:szCs w:val="28"/>
              <w:lang w:val="en-US" w:eastAsia="zh-CN" w:bidi="ar-SA"/>
            </w:rPr>
            <w:t>图像翻转</w:t>
          </w:r>
          <w:r>
            <w:tab/>
          </w:r>
          <w:r>
            <w:fldChar w:fldCharType="begin"/>
          </w:r>
          <w:r>
            <w:instrText xml:space="preserve"> PAGEREF _Toc14193 \h </w:instrText>
          </w:r>
          <w:r>
            <w:fldChar w:fldCharType="separate"/>
          </w:r>
          <w:r>
            <w:t>9</w:t>
          </w:r>
          <w:r>
            <w:fldChar w:fldCharType="end"/>
          </w:r>
          <w:r>
            <w:rPr>
              <w:rFonts w:hint="eastAsia" w:ascii="Times New Roman" w:hAnsi="Times New Roman" w:eastAsia="宋体"/>
              <w:bCs/>
              <w:shd w:val="clear" w:color="auto" w:fill="auto"/>
              <w:lang w:val="en-US" w:eastAsia="zh-CN"/>
            </w:rPr>
            <w:fldChar w:fldCharType="end"/>
          </w:r>
        </w:p>
        <w:p w14:paraId="5B9FA565">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_Toc15380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2"/>
              <w:szCs w:val="28"/>
              <w:lang w:val="en-US" w:eastAsia="zh-CN" w:bidi="ar-SA"/>
            </w:rPr>
            <w:t>3.</w:t>
          </w:r>
          <w:r>
            <w:rPr>
              <w:rFonts w:hint="eastAsia" w:ascii="Times New Roman" w:hAnsi="Times New Roman" w:eastAsia="宋体" w:cs="Times New Roman"/>
              <w:kern w:val="2"/>
              <w:szCs w:val="28"/>
              <w:lang w:val="en-US" w:eastAsia="zh-CN" w:bidi="ar-SA"/>
            </w:rPr>
            <w:t>3.2</w:t>
          </w:r>
          <w:r>
            <w:rPr>
              <w:rFonts w:ascii="Times New Roman" w:hAnsi="Times New Roman" w:eastAsia="宋体" w:cs="Times New Roman"/>
              <w:kern w:val="2"/>
              <w:szCs w:val="28"/>
              <w:lang w:val="en-US" w:eastAsia="zh-CN" w:bidi="ar-SA"/>
            </w:rPr>
            <w:t xml:space="preserve"> </w:t>
          </w:r>
          <w:r>
            <w:rPr>
              <w:rFonts w:hint="eastAsia" w:ascii="Times New Roman" w:hAnsi="Times New Roman" w:eastAsia="宋体" w:cs="Times New Roman"/>
              <w:kern w:val="2"/>
              <w:szCs w:val="28"/>
              <w:lang w:val="en-US" w:eastAsia="zh-CN" w:bidi="ar-SA"/>
            </w:rPr>
            <w:t>色调转换</w:t>
          </w:r>
          <w:r>
            <w:tab/>
          </w:r>
          <w:r>
            <w:fldChar w:fldCharType="begin"/>
          </w:r>
          <w:r>
            <w:instrText xml:space="preserve"> PAGEREF _Toc15380 \h </w:instrText>
          </w:r>
          <w:r>
            <w:fldChar w:fldCharType="separate"/>
          </w:r>
          <w:r>
            <w:t>9</w:t>
          </w:r>
          <w:r>
            <w:fldChar w:fldCharType="end"/>
          </w:r>
          <w:r>
            <w:rPr>
              <w:rFonts w:hint="eastAsia" w:ascii="Times New Roman" w:hAnsi="Times New Roman" w:eastAsia="宋体"/>
              <w:bCs/>
              <w:shd w:val="clear" w:color="auto" w:fill="auto"/>
              <w:lang w:val="en-US" w:eastAsia="zh-CN"/>
            </w:rPr>
            <w:fldChar w:fldCharType="end"/>
          </w:r>
        </w:p>
        <w:p w14:paraId="5BA8A7EE">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_Toc21351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cs="Times New Roman"/>
              <w:kern w:val="2"/>
              <w:szCs w:val="30"/>
              <w:lang w:val="en-US" w:eastAsia="zh-CN" w:bidi="ar-SA"/>
            </w:rPr>
            <w:t>3.</w:t>
          </w:r>
          <w:r>
            <w:rPr>
              <w:rFonts w:hint="eastAsia" w:ascii="Times New Roman" w:hAnsi="Times New Roman" w:eastAsia="宋体" w:cs="Times New Roman"/>
              <w:kern w:val="2"/>
              <w:szCs w:val="30"/>
              <w:lang w:val="en-US" w:eastAsia="zh-CN" w:bidi="ar-SA"/>
            </w:rPr>
            <w:t>4</w:t>
          </w:r>
          <w:r>
            <w:rPr>
              <w:rFonts w:ascii="Times New Roman" w:hAnsi="Times New Roman" w:eastAsia="宋体" w:cs="Times New Roman"/>
              <w:kern w:val="2"/>
              <w:szCs w:val="30"/>
              <w:lang w:val="en-US" w:eastAsia="zh-CN" w:bidi="ar-SA"/>
            </w:rPr>
            <w:t xml:space="preserve"> </w:t>
          </w:r>
          <w:r>
            <w:rPr>
              <w:rFonts w:hint="eastAsia" w:ascii="Times New Roman" w:hAnsi="Times New Roman" w:eastAsia="宋体" w:cs="Times New Roman"/>
              <w:kern w:val="2"/>
              <w:szCs w:val="30"/>
              <w:lang w:val="en-US" w:eastAsia="zh-CN" w:bidi="ar-SA"/>
            </w:rPr>
            <w:t>图像数据预处理</w:t>
          </w:r>
          <w:r>
            <w:tab/>
          </w:r>
          <w:r>
            <w:fldChar w:fldCharType="begin"/>
          </w:r>
          <w:r>
            <w:instrText xml:space="preserve"> PAGEREF _Toc21351 \h </w:instrText>
          </w:r>
          <w:r>
            <w:fldChar w:fldCharType="separate"/>
          </w:r>
          <w:r>
            <w:t>9</w:t>
          </w:r>
          <w:r>
            <w:fldChar w:fldCharType="end"/>
          </w:r>
          <w:r>
            <w:rPr>
              <w:rFonts w:hint="eastAsia" w:ascii="Times New Roman" w:hAnsi="Times New Roman" w:eastAsia="宋体"/>
              <w:bCs/>
              <w:shd w:val="clear" w:color="auto" w:fill="auto"/>
              <w:lang w:val="en-US" w:eastAsia="zh-CN"/>
            </w:rPr>
            <w:fldChar w:fldCharType="end"/>
          </w:r>
        </w:p>
        <w:p w14:paraId="7E9A965B">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_Toc2214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3.4.1 图像数据归一化</w:t>
          </w:r>
          <w:r>
            <w:tab/>
          </w:r>
          <w:r>
            <w:fldChar w:fldCharType="begin"/>
          </w:r>
          <w:r>
            <w:instrText xml:space="preserve"> PAGEREF _Toc2214 \h </w:instrText>
          </w:r>
          <w:r>
            <w:fldChar w:fldCharType="separate"/>
          </w:r>
          <w:r>
            <w:t>10</w:t>
          </w:r>
          <w:r>
            <w:fldChar w:fldCharType="end"/>
          </w:r>
          <w:r>
            <w:rPr>
              <w:rFonts w:hint="eastAsia" w:ascii="Times New Roman" w:hAnsi="Times New Roman" w:eastAsia="宋体"/>
              <w:bCs/>
              <w:shd w:val="clear" w:color="auto" w:fill="auto"/>
              <w:lang w:val="en-US" w:eastAsia="zh-CN"/>
            </w:rPr>
            <w:fldChar w:fldCharType="end"/>
          </w:r>
        </w:p>
        <w:p w14:paraId="7EA2C32C">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_Toc30327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3.5 数据集整合</w:t>
          </w:r>
          <w:r>
            <w:tab/>
          </w:r>
          <w:r>
            <w:fldChar w:fldCharType="begin"/>
          </w:r>
          <w:r>
            <w:instrText xml:space="preserve"> PAGEREF _Toc30327 \h </w:instrText>
          </w:r>
          <w:r>
            <w:fldChar w:fldCharType="separate"/>
          </w:r>
          <w:r>
            <w:t>10</w:t>
          </w:r>
          <w:r>
            <w:fldChar w:fldCharType="end"/>
          </w:r>
          <w:r>
            <w:rPr>
              <w:rFonts w:hint="eastAsia" w:ascii="Times New Roman" w:hAnsi="Times New Roman" w:eastAsia="宋体"/>
              <w:bCs/>
              <w:shd w:val="clear" w:color="auto" w:fill="auto"/>
              <w:lang w:val="en-US" w:eastAsia="zh-CN"/>
            </w:rPr>
            <w:fldChar w:fldCharType="end"/>
          </w:r>
        </w:p>
        <w:p w14:paraId="262FBA79">
          <w:pPr>
            <w:pStyle w:val="12"/>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_Toc18122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bCs/>
            </w:rPr>
            <w:t>4</w:t>
          </w:r>
          <w:r>
            <w:rPr>
              <w:rFonts w:hint="eastAsia" w:ascii="Times New Roman" w:hAnsi="Times New Roman" w:eastAsia="宋体"/>
              <w:bCs/>
              <w:lang w:val="en-US" w:eastAsia="zh-CN"/>
            </w:rPr>
            <w:t>模型建立</w:t>
          </w:r>
          <w:r>
            <w:tab/>
          </w:r>
          <w:r>
            <w:fldChar w:fldCharType="begin"/>
          </w:r>
          <w:r>
            <w:instrText xml:space="preserve"> PAGEREF _Toc18122 \h </w:instrText>
          </w:r>
          <w:r>
            <w:fldChar w:fldCharType="separate"/>
          </w:r>
          <w:r>
            <w:t>12</w:t>
          </w:r>
          <w:r>
            <w:fldChar w:fldCharType="end"/>
          </w:r>
          <w:r>
            <w:rPr>
              <w:rFonts w:hint="eastAsia" w:ascii="Times New Roman" w:hAnsi="Times New Roman" w:eastAsia="宋体"/>
              <w:bCs/>
              <w:shd w:val="clear" w:color="auto" w:fill="auto"/>
              <w:lang w:val="en-US" w:eastAsia="zh-CN"/>
            </w:rPr>
            <w:fldChar w:fldCharType="end"/>
          </w:r>
        </w:p>
        <w:p w14:paraId="127A7C68">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_Toc301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4.1 改进的 EfficientNetV2 模型</w:t>
          </w:r>
          <w:r>
            <w:tab/>
          </w:r>
          <w:r>
            <w:fldChar w:fldCharType="begin"/>
          </w:r>
          <w:r>
            <w:instrText xml:space="preserve"> PAGEREF _Toc301 \h </w:instrText>
          </w:r>
          <w:r>
            <w:fldChar w:fldCharType="separate"/>
          </w:r>
          <w:r>
            <w:t>12</w:t>
          </w:r>
          <w:r>
            <w:fldChar w:fldCharType="end"/>
          </w:r>
          <w:r>
            <w:rPr>
              <w:rFonts w:hint="eastAsia" w:ascii="Times New Roman" w:hAnsi="Times New Roman" w:eastAsia="宋体"/>
              <w:bCs/>
              <w:shd w:val="clear" w:color="auto" w:fill="auto"/>
              <w:lang w:val="en-US" w:eastAsia="zh-CN"/>
            </w:rPr>
            <w:fldChar w:fldCharType="end"/>
          </w:r>
        </w:p>
        <w:p w14:paraId="0A9AFC3B">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_Toc9695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4.2 特征提取层</w:t>
          </w:r>
          <w:r>
            <w:tab/>
          </w:r>
          <w:r>
            <w:fldChar w:fldCharType="begin"/>
          </w:r>
          <w:r>
            <w:instrText xml:space="preserve"> PAGEREF _Toc9695 \h </w:instrText>
          </w:r>
          <w:r>
            <w:fldChar w:fldCharType="separate"/>
          </w:r>
          <w:r>
            <w:t>12</w:t>
          </w:r>
          <w:r>
            <w:fldChar w:fldCharType="end"/>
          </w:r>
          <w:r>
            <w:rPr>
              <w:rFonts w:hint="eastAsia" w:ascii="Times New Roman" w:hAnsi="Times New Roman" w:eastAsia="宋体"/>
              <w:bCs/>
              <w:shd w:val="clear" w:color="auto" w:fill="auto"/>
              <w:lang w:val="en-US" w:eastAsia="zh-CN"/>
            </w:rPr>
            <w:fldChar w:fldCharType="end"/>
          </w:r>
        </w:p>
        <w:p w14:paraId="438795B9">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_Toc31340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4.3 注意力机制层</w:t>
          </w:r>
          <w:r>
            <w:tab/>
          </w:r>
          <w:r>
            <w:fldChar w:fldCharType="begin"/>
          </w:r>
          <w:r>
            <w:instrText xml:space="preserve"> PAGEREF _Toc31340 \h </w:instrText>
          </w:r>
          <w:r>
            <w:fldChar w:fldCharType="separate"/>
          </w:r>
          <w:r>
            <w:t>12</w:t>
          </w:r>
          <w:r>
            <w:fldChar w:fldCharType="end"/>
          </w:r>
          <w:r>
            <w:rPr>
              <w:rFonts w:hint="eastAsia" w:ascii="Times New Roman" w:hAnsi="Times New Roman" w:eastAsia="宋体"/>
              <w:bCs/>
              <w:shd w:val="clear" w:color="auto" w:fill="auto"/>
              <w:lang w:val="en-US" w:eastAsia="zh-CN"/>
            </w:rPr>
            <w:fldChar w:fldCharType="end"/>
          </w:r>
        </w:p>
        <w:p w14:paraId="0E5089F4">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_Toc14924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4.4 分类层</w:t>
          </w:r>
          <w:r>
            <w:tab/>
          </w:r>
          <w:r>
            <w:fldChar w:fldCharType="begin"/>
          </w:r>
          <w:r>
            <w:instrText xml:space="preserve"> PAGEREF _Toc14924 \h </w:instrText>
          </w:r>
          <w:r>
            <w:fldChar w:fldCharType="separate"/>
          </w:r>
          <w:r>
            <w:t>12</w:t>
          </w:r>
          <w:r>
            <w:fldChar w:fldCharType="end"/>
          </w:r>
          <w:r>
            <w:rPr>
              <w:rFonts w:hint="eastAsia" w:ascii="Times New Roman" w:hAnsi="Times New Roman" w:eastAsia="宋体"/>
              <w:bCs/>
              <w:shd w:val="clear" w:color="auto" w:fill="auto"/>
              <w:lang w:val="en-US" w:eastAsia="zh-CN"/>
            </w:rPr>
            <w:fldChar w:fldCharType="end"/>
          </w:r>
        </w:p>
        <w:p w14:paraId="04B0D387">
          <w:pPr>
            <w:pStyle w:val="12"/>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_Toc29125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bCs/>
            </w:rPr>
            <w:t>5实验与结果分析</w:t>
          </w:r>
          <w:r>
            <w:tab/>
          </w:r>
          <w:r>
            <w:fldChar w:fldCharType="begin"/>
          </w:r>
          <w:r>
            <w:instrText xml:space="preserve"> PAGEREF _Toc29125 \h </w:instrText>
          </w:r>
          <w:r>
            <w:fldChar w:fldCharType="separate"/>
          </w:r>
          <w:r>
            <w:t>14</w:t>
          </w:r>
          <w:r>
            <w:fldChar w:fldCharType="end"/>
          </w:r>
          <w:r>
            <w:rPr>
              <w:rFonts w:hint="eastAsia" w:ascii="Times New Roman" w:hAnsi="Times New Roman" w:eastAsia="宋体"/>
              <w:bCs/>
              <w:shd w:val="clear" w:color="auto" w:fill="auto"/>
              <w:lang w:val="en-US" w:eastAsia="zh-CN"/>
            </w:rPr>
            <w:fldChar w:fldCharType="end"/>
          </w:r>
        </w:p>
        <w:p w14:paraId="7A1F2F5D">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_Toc5891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5.1 实验环境</w:t>
          </w:r>
          <w:r>
            <w:tab/>
          </w:r>
          <w:r>
            <w:fldChar w:fldCharType="begin"/>
          </w:r>
          <w:r>
            <w:instrText xml:space="preserve"> PAGEREF _Toc5891 \h </w:instrText>
          </w:r>
          <w:r>
            <w:fldChar w:fldCharType="separate"/>
          </w:r>
          <w:r>
            <w:t>14</w:t>
          </w:r>
          <w:r>
            <w:fldChar w:fldCharType="end"/>
          </w:r>
          <w:r>
            <w:rPr>
              <w:rFonts w:hint="eastAsia" w:ascii="Times New Roman" w:hAnsi="Times New Roman" w:eastAsia="宋体"/>
              <w:bCs/>
              <w:shd w:val="clear" w:color="auto" w:fill="auto"/>
              <w:lang w:val="en-US" w:eastAsia="zh-CN"/>
            </w:rPr>
            <w:fldChar w:fldCharType="end"/>
          </w:r>
        </w:p>
        <w:p w14:paraId="76CB19F4">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_Toc29050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5.2 训练参数</w:t>
          </w:r>
          <w:r>
            <w:tab/>
          </w:r>
          <w:r>
            <w:fldChar w:fldCharType="begin"/>
          </w:r>
          <w:r>
            <w:instrText xml:space="preserve"> PAGEREF _Toc29050 \h </w:instrText>
          </w:r>
          <w:r>
            <w:fldChar w:fldCharType="separate"/>
          </w:r>
          <w:r>
            <w:t>14</w:t>
          </w:r>
          <w:r>
            <w:fldChar w:fldCharType="end"/>
          </w:r>
          <w:r>
            <w:rPr>
              <w:rFonts w:hint="eastAsia" w:ascii="Times New Roman" w:hAnsi="Times New Roman" w:eastAsia="宋体"/>
              <w:bCs/>
              <w:shd w:val="clear" w:color="auto" w:fill="auto"/>
              <w:lang w:val="en-US" w:eastAsia="zh-CN"/>
            </w:rPr>
            <w:fldChar w:fldCharType="end"/>
          </w:r>
        </w:p>
        <w:p w14:paraId="699C476C">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_Toc15340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5.3 实验结果</w:t>
          </w:r>
          <w:r>
            <w:tab/>
          </w:r>
          <w:r>
            <w:fldChar w:fldCharType="begin"/>
          </w:r>
          <w:r>
            <w:instrText xml:space="preserve"> PAGEREF _Toc15340 \h </w:instrText>
          </w:r>
          <w:r>
            <w:fldChar w:fldCharType="separate"/>
          </w:r>
          <w:r>
            <w:t>14</w:t>
          </w:r>
          <w:r>
            <w:fldChar w:fldCharType="end"/>
          </w:r>
          <w:r>
            <w:rPr>
              <w:rFonts w:hint="eastAsia" w:ascii="Times New Roman" w:hAnsi="Times New Roman" w:eastAsia="宋体"/>
              <w:bCs/>
              <w:shd w:val="clear" w:color="auto" w:fill="auto"/>
              <w:lang w:val="en-US" w:eastAsia="zh-CN"/>
            </w:rPr>
            <w:fldChar w:fldCharType="end"/>
          </w:r>
        </w:p>
        <w:p w14:paraId="611E8B6D">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_Toc26053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5.3.1 评价标准</w:t>
          </w:r>
          <w:r>
            <w:tab/>
          </w:r>
          <w:r>
            <w:fldChar w:fldCharType="begin"/>
          </w:r>
          <w:r>
            <w:instrText xml:space="preserve"> PAGEREF _Toc26053 \h </w:instrText>
          </w:r>
          <w:r>
            <w:fldChar w:fldCharType="separate"/>
          </w:r>
          <w:r>
            <w:t>14</w:t>
          </w:r>
          <w:r>
            <w:fldChar w:fldCharType="end"/>
          </w:r>
          <w:r>
            <w:rPr>
              <w:rFonts w:hint="eastAsia" w:ascii="Times New Roman" w:hAnsi="Times New Roman" w:eastAsia="宋体"/>
              <w:bCs/>
              <w:shd w:val="clear" w:color="auto" w:fill="auto"/>
              <w:lang w:val="en-US" w:eastAsia="zh-CN"/>
            </w:rPr>
            <w:fldChar w:fldCharType="end"/>
          </w:r>
        </w:p>
        <w:p w14:paraId="007CBBB6">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_Toc18590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 xml:space="preserve">5.3.2 </w:t>
          </w:r>
          <w:r>
            <w:rPr>
              <w:rFonts w:hint="default" w:ascii="Times New Roman" w:hAnsi="Times New Roman" w:eastAsia="宋体" w:cs="Times New Roman"/>
              <w:kern w:val="2"/>
              <w:szCs w:val="28"/>
              <w:lang w:val="en-US" w:eastAsia="zh-CN" w:bidi="ar-SA"/>
            </w:rPr>
            <w:t>训练与验证准确率变化分析</w:t>
          </w:r>
          <w:r>
            <w:tab/>
          </w:r>
          <w:r>
            <w:fldChar w:fldCharType="begin"/>
          </w:r>
          <w:r>
            <w:instrText xml:space="preserve"> PAGEREF _Toc18590 \h </w:instrText>
          </w:r>
          <w:r>
            <w:fldChar w:fldCharType="separate"/>
          </w:r>
          <w:r>
            <w:t>15</w:t>
          </w:r>
          <w:r>
            <w:fldChar w:fldCharType="end"/>
          </w:r>
          <w:r>
            <w:rPr>
              <w:rFonts w:hint="eastAsia" w:ascii="Times New Roman" w:hAnsi="Times New Roman" w:eastAsia="宋体"/>
              <w:bCs/>
              <w:shd w:val="clear" w:color="auto" w:fill="auto"/>
              <w:lang w:val="en-US" w:eastAsia="zh-CN"/>
            </w:rPr>
            <w:fldChar w:fldCharType="end"/>
          </w:r>
        </w:p>
        <w:p w14:paraId="0C2E40B5">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_Toc19219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5.3.3 测试集混淆矩阵分析</w:t>
          </w:r>
          <w:r>
            <w:tab/>
          </w:r>
          <w:r>
            <w:fldChar w:fldCharType="begin"/>
          </w:r>
          <w:r>
            <w:instrText xml:space="preserve"> PAGEREF _Toc19219 \h </w:instrText>
          </w:r>
          <w:r>
            <w:fldChar w:fldCharType="separate"/>
          </w:r>
          <w:r>
            <w:t>15</w:t>
          </w:r>
          <w:r>
            <w:fldChar w:fldCharType="end"/>
          </w:r>
          <w:r>
            <w:rPr>
              <w:rFonts w:hint="eastAsia" w:ascii="Times New Roman" w:hAnsi="Times New Roman" w:eastAsia="宋体"/>
              <w:bCs/>
              <w:shd w:val="clear" w:color="auto" w:fill="auto"/>
              <w:lang w:val="en-US" w:eastAsia="zh-CN"/>
            </w:rPr>
            <w:fldChar w:fldCharType="end"/>
          </w:r>
        </w:p>
        <w:p w14:paraId="21DBC7DE">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_Toc7717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5.3.4 预测结果置信度分布分析</w:t>
          </w:r>
          <w:r>
            <w:tab/>
          </w:r>
          <w:r>
            <w:fldChar w:fldCharType="begin"/>
          </w:r>
          <w:r>
            <w:instrText xml:space="preserve"> PAGEREF _Toc7717 \h </w:instrText>
          </w:r>
          <w:r>
            <w:fldChar w:fldCharType="separate"/>
          </w:r>
          <w:r>
            <w:t>16</w:t>
          </w:r>
          <w:r>
            <w:fldChar w:fldCharType="end"/>
          </w:r>
          <w:r>
            <w:rPr>
              <w:rFonts w:hint="eastAsia" w:ascii="Times New Roman" w:hAnsi="Times New Roman" w:eastAsia="宋体"/>
              <w:bCs/>
              <w:shd w:val="clear" w:color="auto" w:fill="auto"/>
              <w:lang w:val="en-US" w:eastAsia="zh-CN"/>
            </w:rPr>
            <w:fldChar w:fldCharType="end"/>
          </w:r>
        </w:p>
        <w:p w14:paraId="165DCE6B">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_Toc17232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 xml:space="preserve">5.3.5 </w:t>
          </w:r>
          <w:r>
            <w:rPr>
              <w:rFonts w:hint="default" w:ascii="Times New Roman" w:hAnsi="Times New Roman" w:eastAsia="宋体" w:cs="Times New Roman"/>
              <w:kern w:val="2"/>
              <w:szCs w:val="28"/>
              <w:lang w:val="en-US" w:eastAsia="zh-CN" w:bidi="ar-SA"/>
            </w:rPr>
            <w:t>各类别识别准确率分布分析</w:t>
          </w:r>
          <w:r>
            <w:tab/>
          </w:r>
          <w:r>
            <w:fldChar w:fldCharType="begin"/>
          </w:r>
          <w:r>
            <w:instrText xml:space="preserve"> PAGEREF _Toc17232 \h </w:instrText>
          </w:r>
          <w:r>
            <w:fldChar w:fldCharType="separate"/>
          </w:r>
          <w:r>
            <w:t>17</w:t>
          </w:r>
          <w:r>
            <w:fldChar w:fldCharType="end"/>
          </w:r>
          <w:r>
            <w:rPr>
              <w:rFonts w:hint="eastAsia" w:ascii="Times New Roman" w:hAnsi="Times New Roman" w:eastAsia="宋体"/>
              <w:bCs/>
              <w:shd w:val="clear" w:color="auto" w:fill="auto"/>
              <w:lang w:val="en-US" w:eastAsia="zh-CN"/>
            </w:rPr>
            <w:fldChar w:fldCharType="end"/>
          </w:r>
        </w:p>
        <w:p w14:paraId="16BE5577">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_Toc12187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 xml:space="preserve">5.3.6 </w:t>
          </w:r>
          <w:r>
            <w:rPr>
              <w:rFonts w:hint="default" w:ascii="Times New Roman" w:hAnsi="Times New Roman" w:eastAsia="宋体" w:cs="Times New Roman"/>
              <w:kern w:val="2"/>
              <w:szCs w:val="28"/>
              <w:lang w:val="en-US" w:eastAsia="zh-CN" w:bidi="ar-SA"/>
            </w:rPr>
            <w:t>综合结论</w:t>
          </w:r>
          <w:r>
            <w:tab/>
          </w:r>
          <w:r>
            <w:fldChar w:fldCharType="begin"/>
          </w:r>
          <w:r>
            <w:instrText xml:space="preserve"> PAGEREF _Toc12187 \h </w:instrText>
          </w:r>
          <w:r>
            <w:fldChar w:fldCharType="separate"/>
          </w:r>
          <w:r>
            <w:t>17</w:t>
          </w:r>
          <w:r>
            <w:fldChar w:fldCharType="end"/>
          </w:r>
          <w:r>
            <w:rPr>
              <w:rFonts w:hint="eastAsia" w:ascii="Times New Roman" w:hAnsi="Times New Roman" w:eastAsia="宋体"/>
              <w:bCs/>
              <w:shd w:val="clear" w:color="auto" w:fill="auto"/>
              <w:lang w:val="en-US" w:eastAsia="zh-CN"/>
            </w:rPr>
            <w:fldChar w:fldCharType="end"/>
          </w:r>
        </w:p>
        <w:p w14:paraId="02707FE8">
          <w:pPr>
            <w:pStyle w:val="12"/>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_Toc29317 </w:instrText>
          </w:r>
          <w:r>
            <w:rPr>
              <w:rFonts w:hint="eastAsia" w:ascii="Times New Roman" w:hAnsi="Times New Roman" w:eastAsia="宋体"/>
              <w:bCs/>
              <w:shd w:val="clear" w:color="auto" w:fill="auto"/>
              <w:lang w:val="en-US" w:eastAsia="zh-CN"/>
            </w:rPr>
            <w:fldChar w:fldCharType="separate"/>
          </w:r>
          <w:r>
            <w:rPr>
              <w:rFonts w:ascii="Times New Roman" w:hAnsi="Times New Roman" w:eastAsia="宋体"/>
              <w:bCs/>
            </w:rPr>
            <w:t>6</w:t>
          </w:r>
          <w:r>
            <w:rPr>
              <w:rFonts w:hint="eastAsia" w:ascii="Times New Roman" w:hAnsi="Times New Roman" w:eastAsia="宋体"/>
              <w:bCs/>
              <w:lang w:val="en-US" w:eastAsia="zh-CN"/>
            </w:rPr>
            <w:t>系统设计</w:t>
          </w:r>
          <w:r>
            <w:tab/>
          </w:r>
          <w:r>
            <w:fldChar w:fldCharType="begin"/>
          </w:r>
          <w:r>
            <w:instrText xml:space="preserve"> PAGEREF _Toc29317 \h </w:instrText>
          </w:r>
          <w:r>
            <w:fldChar w:fldCharType="separate"/>
          </w:r>
          <w:r>
            <w:t>19</w:t>
          </w:r>
          <w:r>
            <w:fldChar w:fldCharType="end"/>
          </w:r>
          <w:r>
            <w:rPr>
              <w:rFonts w:hint="eastAsia" w:ascii="Times New Roman" w:hAnsi="Times New Roman" w:eastAsia="宋体"/>
              <w:bCs/>
              <w:shd w:val="clear" w:color="auto" w:fill="auto"/>
              <w:lang w:val="en-US" w:eastAsia="zh-CN"/>
            </w:rPr>
            <w:fldChar w:fldCharType="end"/>
          </w:r>
        </w:p>
        <w:p w14:paraId="1893ABE1">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_Toc220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6</w:t>
          </w:r>
          <w:r>
            <w:rPr>
              <w:rFonts w:ascii="Times New Roman" w:hAnsi="Times New Roman" w:eastAsia="宋体" w:cs="Times New Roman"/>
              <w:kern w:val="2"/>
              <w:szCs w:val="30"/>
              <w:lang w:val="en-US" w:eastAsia="zh-CN" w:bidi="ar-SA"/>
            </w:rPr>
            <w:t>.1 系统总体架构</w:t>
          </w:r>
          <w:r>
            <w:tab/>
          </w:r>
          <w:r>
            <w:fldChar w:fldCharType="begin"/>
          </w:r>
          <w:r>
            <w:instrText xml:space="preserve"> PAGEREF _Toc220 \h </w:instrText>
          </w:r>
          <w:r>
            <w:fldChar w:fldCharType="separate"/>
          </w:r>
          <w:r>
            <w:t>19</w:t>
          </w:r>
          <w:r>
            <w:fldChar w:fldCharType="end"/>
          </w:r>
          <w:r>
            <w:rPr>
              <w:rFonts w:hint="eastAsia" w:ascii="Times New Roman" w:hAnsi="Times New Roman" w:eastAsia="宋体"/>
              <w:bCs/>
              <w:shd w:val="clear" w:color="auto" w:fill="auto"/>
              <w:lang w:val="en-US" w:eastAsia="zh-CN"/>
            </w:rPr>
            <w:fldChar w:fldCharType="end"/>
          </w:r>
        </w:p>
        <w:p w14:paraId="4B668605">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_Toc17734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6</w:t>
          </w:r>
          <w:r>
            <w:rPr>
              <w:rFonts w:ascii="Times New Roman" w:hAnsi="Times New Roman" w:eastAsia="宋体" w:cs="Times New Roman"/>
              <w:kern w:val="2"/>
              <w:szCs w:val="28"/>
              <w:lang w:val="en-US" w:eastAsia="zh-CN" w:bidi="ar-SA"/>
            </w:rPr>
            <w:t>.1.1 系统设计目标</w:t>
          </w:r>
          <w:r>
            <w:tab/>
          </w:r>
          <w:r>
            <w:fldChar w:fldCharType="begin"/>
          </w:r>
          <w:r>
            <w:instrText xml:space="preserve"> PAGEREF _Toc17734 \h </w:instrText>
          </w:r>
          <w:r>
            <w:fldChar w:fldCharType="separate"/>
          </w:r>
          <w:r>
            <w:t>19</w:t>
          </w:r>
          <w:r>
            <w:fldChar w:fldCharType="end"/>
          </w:r>
          <w:r>
            <w:rPr>
              <w:rFonts w:hint="eastAsia" w:ascii="Times New Roman" w:hAnsi="Times New Roman" w:eastAsia="宋体"/>
              <w:bCs/>
              <w:shd w:val="clear" w:color="auto" w:fill="auto"/>
              <w:lang w:val="en-US" w:eastAsia="zh-CN"/>
            </w:rPr>
            <w:fldChar w:fldCharType="end"/>
          </w:r>
        </w:p>
        <w:p w14:paraId="190230E5">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_Toc2985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6</w:t>
          </w:r>
          <w:r>
            <w:rPr>
              <w:rFonts w:ascii="Times New Roman" w:hAnsi="Times New Roman" w:eastAsia="宋体" w:cs="Times New Roman"/>
              <w:kern w:val="2"/>
              <w:szCs w:val="28"/>
              <w:lang w:val="en-US" w:eastAsia="zh-CN" w:bidi="ar-SA"/>
            </w:rPr>
            <w:t>.1.2 系统架构设计</w:t>
          </w:r>
          <w:r>
            <w:tab/>
          </w:r>
          <w:r>
            <w:fldChar w:fldCharType="begin"/>
          </w:r>
          <w:r>
            <w:instrText xml:space="preserve"> PAGEREF _Toc2985 \h </w:instrText>
          </w:r>
          <w:r>
            <w:fldChar w:fldCharType="separate"/>
          </w:r>
          <w:r>
            <w:t>20</w:t>
          </w:r>
          <w:r>
            <w:fldChar w:fldCharType="end"/>
          </w:r>
          <w:r>
            <w:rPr>
              <w:rFonts w:hint="eastAsia" w:ascii="Times New Roman" w:hAnsi="Times New Roman" w:eastAsia="宋体"/>
              <w:bCs/>
              <w:shd w:val="clear" w:color="auto" w:fill="auto"/>
              <w:lang w:val="en-US" w:eastAsia="zh-CN"/>
            </w:rPr>
            <w:fldChar w:fldCharType="end"/>
          </w:r>
        </w:p>
        <w:p w14:paraId="22564758">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_Toc6094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6</w:t>
          </w:r>
          <w:r>
            <w:rPr>
              <w:rFonts w:ascii="Times New Roman" w:hAnsi="Times New Roman" w:eastAsia="宋体" w:cs="Times New Roman"/>
              <w:kern w:val="2"/>
              <w:szCs w:val="30"/>
              <w:lang w:val="en-US" w:eastAsia="zh-CN" w:bidi="ar-SA"/>
            </w:rPr>
            <w:t>.2 系统功能模块设计</w:t>
          </w:r>
          <w:r>
            <w:tab/>
          </w:r>
          <w:r>
            <w:fldChar w:fldCharType="begin"/>
          </w:r>
          <w:r>
            <w:instrText xml:space="preserve"> PAGEREF _Toc6094 \h </w:instrText>
          </w:r>
          <w:r>
            <w:fldChar w:fldCharType="separate"/>
          </w:r>
          <w:r>
            <w:t>20</w:t>
          </w:r>
          <w:r>
            <w:fldChar w:fldCharType="end"/>
          </w:r>
          <w:r>
            <w:rPr>
              <w:rFonts w:hint="eastAsia" w:ascii="Times New Roman" w:hAnsi="Times New Roman" w:eastAsia="宋体"/>
              <w:bCs/>
              <w:shd w:val="clear" w:color="auto" w:fill="auto"/>
              <w:lang w:val="en-US" w:eastAsia="zh-CN"/>
            </w:rPr>
            <w:fldChar w:fldCharType="end"/>
          </w:r>
        </w:p>
        <w:p w14:paraId="4623014A">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_Toc18150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6</w:t>
          </w:r>
          <w:r>
            <w:rPr>
              <w:rFonts w:ascii="Times New Roman" w:hAnsi="Times New Roman" w:eastAsia="宋体" w:cs="Times New Roman"/>
              <w:kern w:val="2"/>
              <w:szCs w:val="28"/>
              <w:lang w:val="en-US" w:eastAsia="zh-CN" w:bidi="ar-SA"/>
            </w:rPr>
            <w:t>.2.1 用户管理模块</w:t>
          </w:r>
          <w:r>
            <w:tab/>
          </w:r>
          <w:r>
            <w:fldChar w:fldCharType="begin"/>
          </w:r>
          <w:r>
            <w:instrText xml:space="preserve"> PAGEREF _Toc18150 \h </w:instrText>
          </w:r>
          <w:r>
            <w:fldChar w:fldCharType="separate"/>
          </w:r>
          <w:r>
            <w:t>20</w:t>
          </w:r>
          <w:r>
            <w:fldChar w:fldCharType="end"/>
          </w:r>
          <w:r>
            <w:rPr>
              <w:rFonts w:hint="eastAsia" w:ascii="Times New Roman" w:hAnsi="Times New Roman" w:eastAsia="宋体"/>
              <w:bCs/>
              <w:shd w:val="clear" w:color="auto" w:fill="auto"/>
              <w:lang w:val="en-US" w:eastAsia="zh-CN"/>
            </w:rPr>
            <w:fldChar w:fldCharType="end"/>
          </w:r>
        </w:p>
        <w:p w14:paraId="67650A99">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_Toc10936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6</w:t>
          </w:r>
          <w:r>
            <w:rPr>
              <w:rFonts w:ascii="Times New Roman" w:hAnsi="Times New Roman" w:eastAsia="宋体" w:cs="Times New Roman"/>
              <w:kern w:val="2"/>
              <w:szCs w:val="28"/>
              <w:lang w:val="en-US" w:eastAsia="zh-CN" w:bidi="ar-SA"/>
            </w:rPr>
            <w:t>.2.2 药材识别模块</w:t>
          </w:r>
          <w:r>
            <w:tab/>
          </w:r>
          <w:r>
            <w:fldChar w:fldCharType="begin"/>
          </w:r>
          <w:r>
            <w:instrText xml:space="preserve"> PAGEREF _Toc10936 \h </w:instrText>
          </w:r>
          <w:r>
            <w:fldChar w:fldCharType="separate"/>
          </w:r>
          <w:r>
            <w:t>21</w:t>
          </w:r>
          <w:r>
            <w:fldChar w:fldCharType="end"/>
          </w:r>
          <w:r>
            <w:rPr>
              <w:rFonts w:hint="eastAsia" w:ascii="Times New Roman" w:hAnsi="Times New Roman" w:eastAsia="宋体"/>
              <w:bCs/>
              <w:shd w:val="clear" w:color="auto" w:fill="auto"/>
              <w:lang w:val="en-US" w:eastAsia="zh-CN"/>
            </w:rPr>
            <w:fldChar w:fldCharType="end"/>
          </w:r>
        </w:p>
        <w:p w14:paraId="4771F80A">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_Toc10467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6</w:t>
          </w:r>
          <w:r>
            <w:rPr>
              <w:rFonts w:ascii="Times New Roman" w:hAnsi="Times New Roman" w:eastAsia="宋体" w:cs="Times New Roman"/>
              <w:kern w:val="2"/>
              <w:szCs w:val="28"/>
              <w:lang w:val="en-US" w:eastAsia="zh-CN" w:bidi="ar-SA"/>
            </w:rPr>
            <w:t>.2.3 数据管理模块</w:t>
          </w:r>
          <w:r>
            <w:tab/>
          </w:r>
          <w:r>
            <w:fldChar w:fldCharType="begin"/>
          </w:r>
          <w:r>
            <w:instrText xml:space="preserve"> PAGEREF _Toc10467 \h </w:instrText>
          </w:r>
          <w:r>
            <w:fldChar w:fldCharType="separate"/>
          </w:r>
          <w:r>
            <w:t>21</w:t>
          </w:r>
          <w:r>
            <w:fldChar w:fldCharType="end"/>
          </w:r>
          <w:r>
            <w:rPr>
              <w:rFonts w:hint="eastAsia" w:ascii="Times New Roman" w:hAnsi="Times New Roman" w:eastAsia="宋体"/>
              <w:bCs/>
              <w:shd w:val="clear" w:color="auto" w:fill="auto"/>
              <w:lang w:val="en-US" w:eastAsia="zh-CN"/>
            </w:rPr>
            <w:fldChar w:fldCharType="end"/>
          </w:r>
        </w:p>
        <w:p w14:paraId="3BE45788">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_Toc31409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6.3 数据库设计</w:t>
          </w:r>
          <w:r>
            <w:tab/>
          </w:r>
          <w:r>
            <w:fldChar w:fldCharType="begin"/>
          </w:r>
          <w:r>
            <w:instrText xml:space="preserve"> PAGEREF _Toc31409 \h </w:instrText>
          </w:r>
          <w:r>
            <w:fldChar w:fldCharType="separate"/>
          </w:r>
          <w:r>
            <w:t>21</w:t>
          </w:r>
          <w:r>
            <w:fldChar w:fldCharType="end"/>
          </w:r>
          <w:r>
            <w:rPr>
              <w:rFonts w:hint="eastAsia" w:ascii="Times New Roman" w:hAnsi="Times New Roman" w:eastAsia="宋体"/>
              <w:bCs/>
              <w:shd w:val="clear" w:color="auto" w:fill="auto"/>
              <w:lang w:val="en-US" w:eastAsia="zh-CN"/>
            </w:rPr>
            <w:fldChar w:fldCharType="end"/>
          </w:r>
        </w:p>
        <w:p w14:paraId="547C3D30">
          <w:pPr>
            <w:pStyle w:val="9"/>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_Toc1227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28"/>
              <w:lang w:val="en-US" w:eastAsia="zh-CN" w:bidi="ar-SA"/>
            </w:rPr>
            <w:t>6</w:t>
          </w:r>
          <w:r>
            <w:rPr>
              <w:rFonts w:ascii="Times New Roman" w:hAnsi="Times New Roman" w:eastAsia="宋体" w:cs="Times New Roman"/>
              <w:kern w:val="2"/>
              <w:szCs w:val="28"/>
              <w:lang w:val="en-US" w:eastAsia="zh-CN" w:bidi="ar-SA"/>
            </w:rPr>
            <w:t>.3.1 数据库选型</w:t>
          </w:r>
          <w:r>
            <w:tab/>
          </w:r>
          <w:r>
            <w:fldChar w:fldCharType="begin"/>
          </w:r>
          <w:r>
            <w:instrText xml:space="preserve"> PAGEREF _Toc1227 \h </w:instrText>
          </w:r>
          <w:r>
            <w:fldChar w:fldCharType="separate"/>
          </w:r>
          <w:r>
            <w:t>21</w:t>
          </w:r>
          <w:r>
            <w:fldChar w:fldCharType="end"/>
          </w:r>
          <w:r>
            <w:rPr>
              <w:rFonts w:hint="eastAsia" w:ascii="Times New Roman" w:hAnsi="Times New Roman" w:eastAsia="宋体"/>
              <w:bCs/>
              <w:shd w:val="clear" w:color="auto" w:fill="auto"/>
              <w:lang w:val="en-US" w:eastAsia="zh-CN"/>
            </w:rPr>
            <w:fldChar w:fldCharType="end"/>
          </w:r>
        </w:p>
        <w:p w14:paraId="34974294">
          <w:pPr>
            <w:pStyle w:val="12"/>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_Toc31391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bCs/>
              <w:lang w:val="en-US" w:eastAsia="zh-CN"/>
            </w:rPr>
            <w:t>7</w:t>
          </w:r>
          <w:r>
            <w:rPr>
              <w:rFonts w:ascii="Times New Roman" w:hAnsi="Times New Roman" w:eastAsia="宋体"/>
              <w:bCs/>
            </w:rPr>
            <w:t>结论与展望</w:t>
          </w:r>
          <w:r>
            <w:tab/>
          </w:r>
          <w:r>
            <w:fldChar w:fldCharType="begin"/>
          </w:r>
          <w:r>
            <w:instrText xml:space="preserve"> PAGEREF _Toc31391 \h </w:instrText>
          </w:r>
          <w:r>
            <w:fldChar w:fldCharType="separate"/>
          </w:r>
          <w:r>
            <w:t>23</w:t>
          </w:r>
          <w:r>
            <w:fldChar w:fldCharType="end"/>
          </w:r>
          <w:r>
            <w:rPr>
              <w:rFonts w:hint="eastAsia" w:ascii="Times New Roman" w:hAnsi="Times New Roman" w:eastAsia="宋体"/>
              <w:bCs/>
              <w:shd w:val="clear" w:color="auto" w:fill="auto"/>
              <w:lang w:val="en-US" w:eastAsia="zh-CN"/>
            </w:rPr>
            <w:fldChar w:fldCharType="end"/>
          </w:r>
        </w:p>
        <w:p w14:paraId="1AE585F9">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_Toc25775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7.1 总结</w:t>
          </w:r>
          <w:r>
            <w:tab/>
          </w:r>
          <w:r>
            <w:fldChar w:fldCharType="begin"/>
          </w:r>
          <w:r>
            <w:instrText xml:space="preserve"> PAGEREF _Toc25775 \h </w:instrText>
          </w:r>
          <w:r>
            <w:fldChar w:fldCharType="separate"/>
          </w:r>
          <w:r>
            <w:t>23</w:t>
          </w:r>
          <w:r>
            <w:fldChar w:fldCharType="end"/>
          </w:r>
          <w:r>
            <w:rPr>
              <w:rFonts w:hint="eastAsia" w:ascii="Times New Roman" w:hAnsi="Times New Roman" w:eastAsia="宋体"/>
              <w:bCs/>
              <w:shd w:val="clear" w:color="auto" w:fill="auto"/>
              <w:lang w:val="en-US" w:eastAsia="zh-CN"/>
            </w:rPr>
            <w:fldChar w:fldCharType="end"/>
          </w:r>
        </w:p>
        <w:p w14:paraId="7C8B270F">
          <w:pPr>
            <w:pStyle w:val="14"/>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_Toc27657 </w:instrText>
          </w:r>
          <w:r>
            <w:rPr>
              <w:rFonts w:hint="eastAsia" w:ascii="Times New Roman" w:hAnsi="Times New Roman" w:eastAsia="宋体"/>
              <w:bCs/>
              <w:shd w:val="clear" w:color="auto" w:fill="auto"/>
              <w:lang w:val="en-US" w:eastAsia="zh-CN"/>
            </w:rPr>
            <w:fldChar w:fldCharType="separate"/>
          </w:r>
          <w:r>
            <w:rPr>
              <w:rFonts w:hint="eastAsia" w:ascii="Times New Roman" w:hAnsi="Times New Roman" w:eastAsia="宋体" w:cs="Times New Roman"/>
              <w:kern w:val="2"/>
              <w:szCs w:val="30"/>
              <w:lang w:val="en-US" w:eastAsia="zh-CN" w:bidi="ar-SA"/>
            </w:rPr>
            <w:t>7.2 展望</w:t>
          </w:r>
          <w:r>
            <w:tab/>
          </w:r>
          <w:r>
            <w:fldChar w:fldCharType="begin"/>
          </w:r>
          <w:r>
            <w:instrText xml:space="preserve"> PAGEREF _Toc27657 \h </w:instrText>
          </w:r>
          <w:r>
            <w:fldChar w:fldCharType="separate"/>
          </w:r>
          <w:r>
            <w:t>23</w:t>
          </w:r>
          <w:r>
            <w:fldChar w:fldCharType="end"/>
          </w:r>
          <w:r>
            <w:rPr>
              <w:rFonts w:hint="eastAsia" w:ascii="Times New Roman" w:hAnsi="Times New Roman" w:eastAsia="宋体"/>
              <w:bCs/>
              <w:shd w:val="clear" w:color="auto" w:fill="auto"/>
              <w:lang w:val="en-US" w:eastAsia="zh-CN"/>
            </w:rPr>
            <w:fldChar w:fldCharType="end"/>
          </w:r>
        </w:p>
        <w:p w14:paraId="2CDBCB5B">
          <w:pPr>
            <w:pStyle w:val="12"/>
            <w:tabs>
              <w:tab w:val="right" w:leader="dot" w:pos="9026"/>
            </w:tabs>
          </w:pPr>
          <w:r>
            <w:rPr>
              <w:rFonts w:hint="eastAsia" w:ascii="Times New Roman" w:hAnsi="Times New Roman" w:eastAsia="宋体"/>
              <w:bCs/>
              <w:shd w:val="clear" w:color="auto" w:fill="auto"/>
              <w:lang w:val="en-US" w:eastAsia="zh-CN"/>
            </w:rPr>
            <w:fldChar w:fldCharType="begin"/>
          </w:r>
          <w:r>
            <w:rPr>
              <w:rFonts w:hint="eastAsia" w:ascii="Times New Roman" w:hAnsi="Times New Roman" w:eastAsia="宋体"/>
              <w:bCs/>
              <w:shd w:val="clear" w:color="auto" w:fill="auto"/>
              <w:lang w:val="en-US" w:eastAsia="zh-CN"/>
            </w:rPr>
            <w:instrText xml:space="preserve"> HYPERLINK \l _Toc19657 </w:instrText>
          </w:r>
          <w:r>
            <w:rPr>
              <w:rFonts w:hint="eastAsia" w:ascii="Times New Roman" w:hAnsi="Times New Roman" w:eastAsia="宋体"/>
              <w:bCs/>
              <w:shd w:val="clear" w:color="auto" w:fill="auto"/>
              <w:lang w:val="en-US" w:eastAsia="zh-CN"/>
            </w:rPr>
            <w:fldChar w:fldCharType="separate"/>
          </w:r>
          <w:r>
            <w:rPr>
              <w:rFonts w:hint="eastAsia" w:ascii="黑体" w:hAnsi="黑体" w:eastAsia="黑体" w:cs="黑体"/>
              <w:szCs w:val="30"/>
            </w:rPr>
            <w:t>参考文献</w:t>
          </w:r>
          <w:r>
            <w:tab/>
          </w:r>
          <w:r>
            <w:fldChar w:fldCharType="begin"/>
          </w:r>
          <w:r>
            <w:instrText xml:space="preserve"> PAGEREF _Toc19657 \h </w:instrText>
          </w:r>
          <w:r>
            <w:fldChar w:fldCharType="separate"/>
          </w:r>
          <w:r>
            <w:t>24</w:t>
          </w:r>
          <w:r>
            <w:fldChar w:fldCharType="end"/>
          </w:r>
          <w:r>
            <w:rPr>
              <w:rFonts w:hint="eastAsia" w:ascii="Times New Roman" w:hAnsi="Times New Roman" w:eastAsia="宋体"/>
              <w:bCs/>
              <w:shd w:val="clear" w:color="auto" w:fill="auto"/>
              <w:lang w:val="en-US" w:eastAsia="zh-CN"/>
            </w:rPr>
            <w:fldChar w:fldCharType="end"/>
          </w:r>
        </w:p>
        <w:p w14:paraId="1024294F">
          <w:pPr>
            <w:pStyle w:val="27"/>
            <w:tabs>
              <w:tab w:val="right" w:leader="dot" w:pos="9026"/>
            </w:tabs>
            <w:rPr>
              <w:rFonts w:hint="eastAsia" w:ascii="Times New Roman" w:hAnsi="Times New Roman" w:eastAsia="宋体"/>
              <w:b/>
              <w:bCs/>
              <w:sz w:val="36"/>
              <w:shd w:val="clear" w:color="auto" w:fill="auto"/>
              <w:lang w:val="en-US" w:eastAsia="zh-CN"/>
            </w:rPr>
            <w:sectPr>
              <w:footerReference r:id="rId6" w:type="default"/>
              <w:pgSz w:w="11906" w:h="16838"/>
              <w:pgMar w:top="1440" w:right="1440" w:bottom="1440" w:left="1440" w:header="708" w:footer="708" w:gutter="0"/>
              <w:pgBorders>
                <w:top w:val="none" w:sz="0" w:space="0"/>
                <w:left w:val="none" w:sz="0" w:space="0"/>
                <w:bottom w:val="none" w:sz="0" w:space="0"/>
                <w:right w:val="none" w:sz="0" w:space="0"/>
              </w:pgBorders>
              <w:pgNumType w:fmt="upperRoman"/>
              <w:cols w:space="720" w:num="1"/>
              <w:docGrid w:linePitch="360" w:charSpace="0"/>
            </w:sectPr>
          </w:pPr>
          <w:r>
            <w:rPr>
              <w:rFonts w:hint="eastAsia" w:ascii="Times New Roman" w:hAnsi="Times New Roman" w:eastAsia="宋体"/>
              <w:bCs/>
              <w:shd w:val="clear" w:color="auto" w:fill="auto"/>
              <w:lang w:val="en-US" w:eastAsia="zh-CN"/>
            </w:rPr>
            <w:fldChar w:fldCharType="end"/>
          </w:r>
        </w:p>
      </w:sdtContent>
    </w:sdt>
    <w:p w14:paraId="7C3B416E">
      <w:pPr>
        <w:pStyle w:val="2"/>
        <w:spacing w:before="156" w:beforeLines="50" w:after="156" w:afterLines="50" w:line="312" w:lineRule="auto"/>
        <w:ind w:left="0"/>
        <w:jc w:val="center"/>
        <w:rPr>
          <w:rFonts w:ascii="Times New Roman" w:hAnsi="Times New Roman" w:eastAsia="宋体" w:cs="Times New Roman"/>
          <w:kern w:val="44"/>
          <w:lang w:val="en-US" w:eastAsia="zh-CN" w:bidi="ar-SA"/>
        </w:rPr>
      </w:pPr>
      <w:bookmarkStart w:id="10" w:name="_Toc7734"/>
      <w:r>
        <w:rPr>
          <w:rFonts w:ascii="Times New Roman" w:hAnsi="Times New Roman" w:eastAsia="宋体" w:cs="Times New Roman"/>
          <w:kern w:val="44"/>
          <w:lang w:val="en-US" w:eastAsia="zh-CN" w:bidi="ar-SA"/>
        </w:rPr>
        <w:t>1引言</w:t>
      </w:r>
      <w:bookmarkEnd w:id="10"/>
    </w:p>
    <w:p w14:paraId="35EF70B7">
      <w:pPr>
        <w:pStyle w:val="3"/>
        <w:keepNext w:val="0"/>
        <w:keepLines w:val="0"/>
        <w:widowControl w:val="0"/>
        <w:spacing w:before="0" w:after="0" w:line="312" w:lineRule="auto"/>
        <w:ind w:left="0"/>
        <w:jc w:val="both"/>
        <w:rPr>
          <w:rFonts w:ascii="Times New Roman" w:hAnsi="Times New Roman" w:eastAsia="宋体" w:cs="Times New Roman"/>
          <w:kern w:val="2"/>
          <w:sz w:val="30"/>
          <w:szCs w:val="30"/>
          <w:lang w:val="en-US" w:eastAsia="zh-CN" w:bidi="ar-SA"/>
        </w:rPr>
      </w:pPr>
      <w:bookmarkStart w:id="11" w:name="_Toc8171"/>
      <w:r>
        <w:rPr>
          <w:rFonts w:ascii="Times New Roman" w:hAnsi="Times New Roman" w:eastAsia="宋体" w:cs="Times New Roman"/>
          <w:kern w:val="2"/>
          <w:sz w:val="30"/>
          <w:szCs w:val="30"/>
          <w:lang w:val="en-US" w:eastAsia="zh-CN" w:bidi="ar-SA"/>
        </w:rPr>
        <w:t>1.1 研究背景</w:t>
      </w:r>
      <w:bookmarkEnd w:id="11"/>
    </w:p>
    <w:p w14:paraId="4C35E82D">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随着中医药的发展，中药材作为中医药的重要组成部分，正在逐渐进入大多数人的生活。越来越多的人开始相信中医，愿意接受中药的治疗，同时中医药的发展也受到我国的重视。中药材因其独特功效在医疗领域的作用不容小觑，国内外学者对中药材的研究从未停滞。屠呦呦等人在中药中提取的青蒿素可有效降低疟疾患者死亡率，挽救全球数百万人的生命。在“十四五”规划中，中医药的传承与创新被提升到了一个新高度，该规划指出要大力发展中医药事业，加强中医药文化传承与创新发展。</w:t>
      </w:r>
    </w:p>
    <w:p w14:paraId="480B76C1">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近年来人们对健康方面的需求，从过去单一化、基础化的消费逐渐转向品质化和个性化。中药在中医保健、中药美容、药食养生和温泉疗养等方面的应用逐渐广泛，中药正逐步进入人们视野。中西医结合治疗在许多疾病治疗中都有着显著优势，中医的治疗方法通常比较温和，副作用小，受到越来越多人的青睐。中药的品种繁多，中药的气分为寒、热、温和凉四种，寒性药物可治疗热性疾病，热性药物可治疗寒性病症，错误使用中药材可能导致病情加重。大多数人对中药及其药性认识不足，部分中药材性状相近，普通人难以鉴别。传统的中药材鉴别和分类主要由人工完成，该方式容易受到个人主观意见的影响，主要根据个人经验、知识和感觉进行分类，导致对中药材的鉴别和分类具有较强的主观性。</w:t>
      </w:r>
    </w:p>
    <w:p w14:paraId="11C8E7CE">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近年来，人工智能与计算机视觉技术的发展为中药材自动识别提供了新路径。深度学习模型可自动学习药材视觉特征，但其在中药材领域的应用仍面临挑战 —— 通用图像识别模型难以捕捉药材的细微差异，需针对其形态多样性、相似性等特点进行专门优化。</w:t>
      </w:r>
    </w:p>
    <w:p w14:paraId="342AEC76">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12" w:name="_Toc4511"/>
      <w:r>
        <w:rPr>
          <w:rFonts w:ascii="Times New Roman" w:hAnsi="Times New Roman" w:eastAsia="宋体" w:cs="Times New Roman"/>
          <w:kern w:val="2"/>
          <w:sz w:val="30"/>
          <w:szCs w:val="30"/>
          <w:lang w:val="en-US" w:eastAsia="zh-CN" w:bidi="ar-SA"/>
        </w:rPr>
        <w:t xml:space="preserve">1.2 </w:t>
      </w:r>
      <w:r>
        <w:rPr>
          <w:rFonts w:hint="eastAsia" w:ascii="Times New Roman" w:hAnsi="Times New Roman" w:eastAsia="宋体" w:cs="Times New Roman"/>
          <w:kern w:val="2"/>
          <w:sz w:val="30"/>
          <w:szCs w:val="30"/>
          <w:lang w:val="en-US" w:eastAsia="zh-CN" w:bidi="ar-SA"/>
        </w:rPr>
        <w:t>国内外研究现状</w:t>
      </w:r>
      <w:bookmarkEnd w:id="12"/>
    </w:p>
    <w:p w14:paraId="04DC7441">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对常见中草药植物叶片的识别分类研究，其实就是对植物图像的分类识别研究。而在植物叶片图像的分类识别的研究上，相比于国外的研究国内起步的相对较晚。刘文萍等人基于叶片的几何、纹理等相关特征，结合KNN分类器的分类方法，提出了克隆选择算法，有效的提高了识别率。翟传敏提出基于叶缘与叶脉分数维特征的叶片识别算法，依据对象的轮廓点数得到其直方图并根据直方图计算叶片的相似度差值。王丽君等开发了基于图像多特征融合的观叶种类识别系统。提取包括观叶植物叶片的颜色、纹理、形状等26项特征。王晓峰等提取叶片图像的15个特征并对20种植物进行分类识别，提出了移动中心超球分类器，提高了识别率。曹凤莲等在特征提取的时候提出了”层中层”结构的设计，在保证计算复杂度的前提下增加了网络的宽度和深度，并且减少了参数、改善了网络内部计算资源利用率。结合预训练和微调的迁移学习方案一定程度上提高了识别率。谢宝剑等提出了一个动态生长的卷积神经网络结构，使其自动找到适合于应用需求的合理结构。并结合主动的样本学习方法降低过拟合问题，取得了一定成果。</w:t>
      </w:r>
    </w:p>
    <w:p w14:paraId="2C314FEA">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国外的叶片识别与分类研究进展的比较早，早期的研究者通常采用提取叶片的形状和纹理等几何特征来进行分类识别。1996年东京大学Yonekawa等人研究发现，简单的叶片形状等几何特征对植物的识别是有效的。研究人员开始讲叶片特征、纹理特征运用到叶片的分类识别中，并开始将神经网络算法引入到研究中。在2001年，OsikarJO 利用 BP(Back Propagation)神经网络算法，对15种瑞典的树叶进行分类识别。2005年，Plotze等人使用一种新的MInkovwski分形计算叶片的特征，利用得到的各部分的维数曲线的坐标数据作为特征向量对西番莲进行分类。2011年，国外的植物图像分类识别大赛InageCLEF中，Julio3Villena-Roman等人利用尺度不变技术对图像进行分类，证明SIFT算法在植物图像识别与分类领域的有效性。</w:t>
      </w:r>
    </w:p>
    <w:p w14:paraId="2401C4AD">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br w:type="page"/>
      </w:r>
    </w:p>
    <w:p w14:paraId="769BCA1C">
      <w:pPr>
        <w:pStyle w:val="3"/>
        <w:keepNext w:val="0"/>
        <w:keepLines w:val="0"/>
        <w:pageBreakBefore w:val="0"/>
        <w:widowControl/>
        <w:kinsoku/>
        <w:wordWrap/>
        <w:overflowPunct/>
        <w:topLinePunct w:val="0"/>
        <w:autoSpaceDE/>
        <w:autoSpaceDN/>
        <w:bidi w:val="0"/>
        <w:adjustRightInd/>
        <w:snapToGrid/>
        <w:spacing w:before="0" w:after="0" w:line="312" w:lineRule="auto"/>
        <w:jc w:val="center"/>
        <w:textAlignment w:val="auto"/>
        <w:outlineLvl w:val="0"/>
        <w:rPr>
          <w:rFonts w:hint="eastAsia" w:ascii="Times New Roman" w:hAnsi="Times New Roman" w:eastAsia="宋体"/>
          <w:b/>
          <w:bCs/>
          <w:color w:val="auto"/>
          <w:sz w:val="36"/>
          <w:lang w:val="en-US" w:eastAsia="zh-CN"/>
        </w:rPr>
      </w:pPr>
      <w:bookmarkStart w:id="13" w:name="_Toc14908"/>
      <w:r>
        <w:rPr>
          <w:rFonts w:ascii="Times New Roman" w:hAnsi="Times New Roman" w:eastAsia="宋体"/>
          <w:b/>
          <w:bCs/>
          <w:color w:val="auto"/>
          <w:sz w:val="36"/>
        </w:rPr>
        <w:t>2</w:t>
      </w:r>
      <w:r>
        <w:rPr>
          <w:rFonts w:hint="eastAsia" w:ascii="Times New Roman" w:hAnsi="Times New Roman" w:eastAsia="宋体"/>
          <w:b/>
          <w:bCs/>
          <w:color w:val="auto"/>
          <w:sz w:val="36"/>
          <w:lang w:val="en-US" w:eastAsia="zh-CN"/>
        </w:rPr>
        <w:t>深度学习</w:t>
      </w:r>
      <w:bookmarkEnd w:id="13"/>
    </w:p>
    <w:p w14:paraId="6F4DC3EE">
      <w:pPr>
        <w:widowControl w:val="0"/>
        <w:spacing w:line="312" w:lineRule="auto"/>
        <w:ind w:firstLine="480" w:firstLineChars="200"/>
        <w:jc w:val="both"/>
        <w:rPr>
          <w:rFonts w:hint="default"/>
          <w:kern w:val="2"/>
          <w:sz w:val="24"/>
          <w:szCs w:val="24"/>
          <w:lang w:val="en-US" w:eastAsia="zh-CN" w:bidi="ar-SA"/>
        </w:rPr>
      </w:pPr>
      <w:r>
        <w:rPr>
          <w:rFonts w:hint="default"/>
          <w:kern w:val="2"/>
          <w:sz w:val="24"/>
          <w:szCs w:val="24"/>
          <w:lang w:val="en-US" w:eastAsia="zh-CN" w:bidi="ar-SA"/>
        </w:rPr>
        <w:t>深度学习是机器学习领域的一个新的研究发展方向。它的概念来自于人工神经网络，从根本上来说是对拥有深层结构的神经网络采用有针对性的训练。深度学习能够对个体的思维方式与分析方式进行模拟，进而参考人类的思维逻辑来解决问题。近年来在图像识别与检索、语言信息处理、语音识别等多领域中都取得较为成功的发展。</w:t>
      </w:r>
    </w:p>
    <w:p w14:paraId="6BEFD177">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14" w:name="_Toc24749"/>
      <w:r>
        <w:rPr>
          <w:rFonts w:ascii="Times New Roman" w:hAnsi="Times New Roman" w:eastAsia="宋体" w:cs="Times New Roman"/>
          <w:kern w:val="2"/>
          <w:sz w:val="30"/>
          <w:szCs w:val="30"/>
          <w:lang w:val="en-US" w:eastAsia="zh-CN" w:bidi="ar-SA"/>
        </w:rPr>
        <w:t xml:space="preserve">2.1 </w:t>
      </w:r>
      <w:r>
        <w:rPr>
          <w:rFonts w:hint="eastAsia" w:ascii="Times New Roman" w:hAnsi="Times New Roman" w:eastAsia="宋体" w:cs="Times New Roman"/>
          <w:kern w:val="2"/>
          <w:sz w:val="30"/>
          <w:szCs w:val="30"/>
          <w:lang w:val="en-US" w:eastAsia="zh-CN" w:bidi="ar-SA"/>
        </w:rPr>
        <w:t>卷积神经网络</w:t>
      </w:r>
      <w:bookmarkEnd w:id="14"/>
    </w:p>
    <w:p w14:paraId="7F51ABD7">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卷积神经网络（Convolutional Neural Networks, CNN）是一类包含卷积计算且具有深度结构的前馈神经网络（Feedforward Neural Networks），是深度学习（deep learning）的代表算法之一。卷积神经网络具有表征学习（representation learning）能力，能够按其阶层结构对输入信息进行平移不变分类（shift-invariant classification），因此也被称为“平移不变人工神经网络（Shift-Invariant Artificial Neural Networks, SIANN）”。</w:t>
      </w:r>
    </w:p>
    <w:p w14:paraId="30EDA23F">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对卷积神经网络的研究始于二十世纪80至90年代，时间延迟网络和LeNet-5是最早出现的卷积神经网络；在二十一世纪后，随着深度学习理论的提出和数值计算设备的改进，卷积神经网络得到了快速发展，并被应用于计算机视觉、自然语言处理等领域。</w:t>
      </w:r>
    </w:p>
    <w:p w14:paraId="6132CB12">
      <w:pPr>
        <w:jc w:val="center"/>
      </w:pPr>
      <w:r>
        <w:drawing>
          <wp:inline distT="0" distB="0" distL="114300" distR="114300">
            <wp:extent cx="4226560" cy="3103880"/>
            <wp:effectExtent l="0" t="0" r="1206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226560" cy="3103880"/>
                    </a:xfrm>
                    <a:prstGeom prst="rect">
                      <a:avLst/>
                    </a:prstGeom>
                    <a:noFill/>
                    <a:ln>
                      <a:noFill/>
                    </a:ln>
                  </pic:spPr>
                </pic:pic>
              </a:graphicData>
            </a:graphic>
          </wp:inline>
        </w:drawing>
      </w:r>
    </w:p>
    <w:p w14:paraId="364981A4">
      <w:pPr>
        <w:jc w:val="center"/>
        <w:rPr>
          <w:rFonts w:hint="default" w:eastAsia="宋体"/>
          <w:lang w:val="en-US" w:eastAsia="zh-CN"/>
        </w:rPr>
      </w:pPr>
      <w:r>
        <w:rPr>
          <w:rFonts w:hint="eastAsia"/>
          <w:b/>
          <w:bCs/>
          <w:sz w:val="21"/>
          <w:lang w:val="en-US" w:eastAsia="zh-CN"/>
        </w:rPr>
        <w:t xml:space="preserve">图2-1 </w:t>
      </w:r>
    </w:p>
    <w:p w14:paraId="32DA9418">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卷积神经网络仿造生物的视知觉（visual perception）机制构建，可以进行监督学习和非监督学习，其隐含层内的卷积核参数共享和层间连接的稀疏性使得卷积神经网络能够以较小的计算量对格点化（grid-like topology）特征，例如像素和音频进行学习、有稳定的效果且对数据没有额外的特征工程（feature engineering）要求。</w:t>
      </w:r>
      <w:bookmarkStart w:id="15" w:name="_Toc26645"/>
      <w:bookmarkStart w:id="16" w:name="_Toc17885"/>
    </w:p>
    <w:p w14:paraId="344B39BF">
      <w:pPr>
        <w:numPr>
          <w:ilvl w:val="0"/>
          <w:numId w:val="1"/>
        </w:numPr>
        <w:bidi w:val="0"/>
        <w:rPr>
          <w:rFonts w:hint="eastAsia"/>
        </w:rPr>
      </w:pPr>
      <w:r>
        <w:rPr>
          <w:rFonts w:hint="eastAsia"/>
        </w:rPr>
        <w:t>输入层：读入图像后，一般都要做预处理然后送入网络。</w:t>
      </w:r>
      <w:bookmarkEnd w:id="15"/>
      <w:bookmarkEnd w:id="16"/>
    </w:p>
    <w:p w14:paraId="59D03D5B">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0" w:firstLine="480" w:firstLineChars="200"/>
        <w:textAlignment w:val="auto"/>
        <w:rPr>
          <w:rFonts w:hint="eastAsia" w:ascii="Times New Roman" w:hAnsi="Times New Roman" w:eastAsia="宋体"/>
          <w:sz w:val="24"/>
        </w:rPr>
      </w:pPr>
      <w:r>
        <w:rPr>
          <w:rFonts w:hint="eastAsia" w:ascii="Times New Roman" w:hAnsi="Times New Roman" w:eastAsia="宋体"/>
          <w:sz w:val="24"/>
        </w:rPr>
        <w:t>卷积层：包括卷积运算和特征值的提取两个操作。常见的卷积核大小为3×3和5×5，特征的提取结果会随着卷积核的大小而发生变化。每个卷积核都对特征图进行卷积操作，将卷积后得到的新的特征图对应位置相加得到特征图作为下一层的输入。</w:t>
      </w:r>
    </w:p>
    <w:p w14:paraId="2AF37A6B">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0" w:firstLine="480" w:firstLineChars="200"/>
        <w:textAlignment w:val="auto"/>
        <w:rPr>
          <w:rFonts w:hint="eastAsia" w:ascii="Times New Roman" w:hAnsi="Times New Roman" w:eastAsia="宋体"/>
          <w:sz w:val="24"/>
        </w:rPr>
      </w:pPr>
      <w:r>
        <w:rPr>
          <w:rFonts w:hint="eastAsia" w:ascii="Times New Roman" w:hAnsi="Times New Roman" w:eastAsia="宋体"/>
          <w:sz w:val="24"/>
        </w:rPr>
        <w:t>池化层：池化层也被称为降采样层，其用途就是运用局部关联性进行采样降维，进而减小数据量以便保存有效信息。公式如</w:t>
      </w:r>
      <w:bookmarkStart w:id="17" w:name="OLE_LINK1"/>
      <w:r>
        <w:rPr>
          <w:rFonts w:hint="eastAsia" w:ascii="Times New Roman" w:hAnsi="Times New Roman" w:eastAsia="宋体"/>
          <w:sz w:val="24"/>
        </w:rPr>
        <w:t>(2.1)</w:t>
      </w:r>
      <w:bookmarkEnd w:id="17"/>
      <w:r>
        <w:rPr>
          <w:rFonts w:hint="eastAsia" w:ascii="Times New Roman" w:hAnsi="Times New Roman" w:eastAsia="宋体"/>
          <w:sz w:val="24"/>
        </w:rPr>
        <w:t>所示：</w:t>
      </w:r>
    </w:p>
    <w:p w14:paraId="3A305DBD">
      <w:pPr>
        <w:keepNext w:val="0"/>
        <w:keepLines w:val="0"/>
        <w:pageBreakBefore w:val="0"/>
        <w:widowControl w:val="0"/>
        <w:kinsoku/>
        <w:wordWrap/>
        <w:overflowPunct/>
        <w:topLinePunct w:val="0"/>
        <w:autoSpaceDE/>
        <w:autoSpaceDN/>
        <w:bidi w:val="0"/>
        <w:adjustRightInd/>
        <w:snapToGrid/>
        <w:spacing w:line="312" w:lineRule="auto"/>
        <w:ind w:left="0" w:firstLine="1440" w:firstLineChars="600"/>
        <w:textAlignment w:val="auto"/>
        <w:rPr>
          <w:rFonts w:hint="default" w:ascii="Times New Roman" w:hAnsi="Times New Roman" w:eastAsia="宋体"/>
          <w:sz w:val="24"/>
          <w:lang w:val="en-US" w:eastAsia="zh-CN"/>
        </w:rPr>
      </w:pPr>
      <m:oMath>
        <m:sSubSup>
          <m:sSubSupPr>
            <m:ctrlPr>
              <w:rPr>
                <w:rFonts w:ascii="Cambria Math" w:hAnsi="Cambria Math" w:eastAsia="宋体"/>
                <w:sz w:val="24"/>
              </w:rPr>
            </m:ctrlPr>
          </m:sSubSupPr>
          <m:e>
            <m:r>
              <m:rPr/>
              <w:rPr>
                <w:rFonts w:ascii="Cambria Math" w:hAnsi="Cambria Math" w:eastAsia="宋体" w:cs="Cambria Math"/>
                <w:sz w:val="24"/>
              </w:rPr>
              <m:t>x</m:t>
            </m:r>
            <m:ctrlPr>
              <w:rPr>
                <w:rFonts w:ascii="Cambria Math" w:hAnsi="Cambria Math" w:eastAsia="宋体"/>
                <w:sz w:val="24"/>
              </w:rPr>
            </m:ctrlPr>
          </m:e>
          <m:sub>
            <m:r>
              <m:rPr/>
              <w:rPr>
                <w:rFonts w:ascii="Cambria Math" w:hAnsi="Cambria Math" w:eastAsia="宋体" w:cs="Cambria Math"/>
                <w:sz w:val="24"/>
              </w:rPr>
              <m:t>j</m:t>
            </m:r>
            <m:ctrlPr>
              <w:rPr>
                <w:rFonts w:ascii="Cambria Math" w:hAnsi="Cambria Math" w:eastAsia="宋体"/>
                <w:sz w:val="24"/>
              </w:rPr>
            </m:ctrlPr>
          </m:sub>
          <m:sup>
            <m:r>
              <m:rPr/>
              <w:rPr>
                <w:rFonts w:ascii="Cambria Math" w:hAnsi="Cambria Math" w:eastAsia="宋体" w:cs="Cambria Math"/>
                <w:sz w:val="24"/>
              </w:rPr>
              <m:t>t</m:t>
            </m:r>
            <m:ctrlPr>
              <w:rPr>
                <w:rFonts w:ascii="Cambria Math" w:hAnsi="Cambria Math" w:eastAsia="宋体"/>
                <w:sz w:val="24"/>
              </w:rPr>
            </m:ctrlPr>
          </m:sup>
        </m:sSubSup>
        <m:r>
          <m:rPr/>
          <w:rPr>
            <w:rFonts w:ascii="Cambria Math" w:hAnsi="Cambria Math" w:eastAsia="宋体" w:cs="Cambria Math"/>
            <w:sz w:val="24"/>
          </w:rPr>
          <m:t>=y(down(</m:t>
        </m:r>
        <m:nary>
          <m:naryPr>
            <m:chr m:val="x"/>
            <m:limLoc m:val="subSup"/>
            <m:ctrlPr>
              <w:rPr>
                <w:rFonts w:ascii="Cambria Math" w:hAnsi="Cambria Math" w:eastAsia="宋体"/>
                <w:sz w:val="24"/>
              </w:rPr>
            </m:ctrlPr>
          </m:naryPr>
          <m:sub>
            <m:r>
              <m:rPr/>
              <w:rPr>
                <w:rFonts w:ascii="Cambria Math" w:hAnsi="Cambria Math" w:eastAsia="宋体" w:cs="Cambria Math"/>
                <w:sz w:val="24"/>
              </w:rPr>
              <m:t>j</m:t>
            </m:r>
            <m:ctrlPr>
              <w:rPr>
                <w:rFonts w:ascii="Cambria Math" w:hAnsi="Cambria Math" w:eastAsia="宋体"/>
                <w:sz w:val="24"/>
              </w:rPr>
            </m:ctrlPr>
          </m:sub>
          <m:sup>
            <m:r>
              <m:rPr/>
              <w:rPr>
                <w:rFonts w:ascii="Cambria Math" w:hAnsi="Cambria Math" w:eastAsia="宋体" w:cs="Cambria Math"/>
                <w:sz w:val="24"/>
              </w:rPr>
              <m:t>t−1</m:t>
            </m:r>
            <m:ctrlPr>
              <w:rPr>
                <w:rFonts w:ascii="Cambria Math" w:hAnsi="Cambria Math" w:eastAsia="宋体"/>
                <w:sz w:val="24"/>
              </w:rPr>
            </m:ctrlPr>
          </m:sup>
          <m:e>
            <m:r>
              <m:rPr/>
              <w:rPr>
                <w:rFonts w:ascii="Cambria Math" w:hAnsi="Cambria Math" w:eastAsia="宋体" w:cs="Cambria Math"/>
                <w:sz w:val="24"/>
              </w:rPr>
              <m:t>)</m:t>
            </m:r>
            <m:ctrlPr>
              <w:rPr>
                <w:rFonts w:ascii="Cambria Math" w:hAnsi="Cambria Math" w:eastAsia="宋体"/>
                <w:sz w:val="24"/>
              </w:rPr>
            </m:ctrlPr>
          </m:e>
        </m:nary>
        <m:r>
          <m:rPr/>
          <w:rPr>
            <w:rFonts w:ascii="Cambria Math" w:hAnsi="Cambria Math" w:eastAsia="宋体" w:cs="Cambria Math"/>
            <w:sz w:val="24"/>
          </w:rPr>
          <m:t>)</m:t>
        </m:r>
      </m:oMath>
      <w:r>
        <w:rPr>
          <w:rFonts w:hint="eastAsia" w:hAnsi="Cambria Math" w:cs="Cambria Math"/>
          <w:i w:val="0"/>
          <w:sz w:val="24"/>
          <w:lang w:val="en-US" w:eastAsia="zh-CN"/>
        </w:rPr>
        <w:t xml:space="preserve">                                                                                    </w:t>
      </w:r>
      <w:r>
        <w:rPr>
          <w:rFonts w:hint="eastAsia" w:ascii="Times New Roman" w:hAnsi="Times New Roman" w:eastAsia="宋体"/>
          <w:sz w:val="24"/>
        </w:rPr>
        <w:t>(2.1)</w:t>
      </w:r>
    </w:p>
    <w:p w14:paraId="552FF4F8">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0" w:firstLine="480" w:firstLineChars="200"/>
        <w:textAlignment w:val="auto"/>
        <w:rPr>
          <w:rFonts w:hint="eastAsia" w:ascii="Times New Roman" w:hAnsi="Times New Roman" w:eastAsia="宋体"/>
          <w:sz w:val="24"/>
        </w:rPr>
      </w:pPr>
      <w:r>
        <w:rPr>
          <w:rFonts w:hint="eastAsia" w:ascii="Times New Roman" w:hAnsi="Times New Roman" w:eastAsia="宋体"/>
          <w:sz w:val="24"/>
        </w:rPr>
        <w:t>公式中的down(x)为池化函数。常用的池化函数包括最大池化函数、均值池化函数和随机池化函数等。</w:t>
      </w:r>
    </w:p>
    <w:p w14:paraId="0CE97E89">
      <w:pPr>
        <w:keepNext w:val="0"/>
        <w:keepLines w:val="0"/>
        <w:pageBreakBefore w:val="0"/>
        <w:widowControl w:val="0"/>
        <w:numPr>
          <w:ilvl w:val="0"/>
          <w:numId w:val="1"/>
        </w:numPr>
        <w:kinsoku/>
        <w:wordWrap/>
        <w:overflowPunct/>
        <w:topLinePunct w:val="0"/>
        <w:autoSpaceDE/>
        <w:autoSpaceDN/>
        <w:bidi w:val="0"/>
        <w:adjustRightInd/>
        <w:snapToGrid/>
        <w:spacing w:line="312" w:lineRule="auto"/>
        <w:ind w:left="0" w:leftChars="0" w:firstLine="480" w:firstLineChars="200"/>
        <w:textAlignment w:val="auto"/>
        <w:rPr>
          <w:rFonts w:hint="eastAsia" w:ascii="Times New Roman" w:hAnsi="Times New Roman" w:eastAsia="宋体"/>
          <w:sz w:val="24"/>
        </w:rPr>
      </w:pPr>
      <w:r>
        <w:rPr>
          <w:rFonts w:hint="eastAsia" w:ascii="Times New Roman" w:hAnsi="Times New Roman" w:eastAsia="宋体"/>
          <w:sz w:val="24"/>
        </w:rPr>
        <w:t>全连接层：一般来说，它起到一个“分类器”的用途，放在网络的末尾。连接层能够将神经网络产生的矩阵特征转换为一维向量，以便最终进行归纳或者分类。特征向量公式如</w:t>
      </w:r>
      <w:bookmarkStart w:id="18" w:name="OLE_LINK2"/>
      <w:r>
        <w:rPr>
          <w:rFonts w:hint="eastAsia" w:ascii="Times New Roman" w:hAnsi="Times New Roman" w:eastAsia="宋体"/>
          <w:sz w:val="24"/>
        </w:rPr>
        <w:t>(2.2)</w:t>
      </w:r>
      <w:bookmarkEnd w:id="18"/>
      <w:r>
        <w:rPr>
          <w:rFonts w:hint="eastAsia" w:ascii="Times New Roman" w:hAnsi="Times New Roman" w:eastAsia="宋体"/>
          <w:sz w:val="24"/>
        </w:rPr>
        <w:t>所示：</w:t>
      </w:r>
    </w:p>
    <w:p w14:paraId="29C29345">
      <w:pPr>
        <w:keepNext w:val="0"/>
        <w:keepLines w:val="0"/>
        <w:pageBreakBefore w:val="0"/>
        <w:widowControl w:val="0"/>
        <w:kinsoku/>
        <w:wordWrap/>
        <w:overflowPunct/>
        <w:topLinePunct w:val="0"/>
        <w:autoSpaceDE/>
        <w:autoSpaceDN/>
        <w:bidi w:val="0"/>
        <w:adjustRightInd/>
        <w:snapToGrid/>
        <w:spacing w:line="312" w:lineRule="auto"/>
        <w:ind w:left="0" w:firstLine="1440" w:firstLineChars="600"/>
        <w:textAlignment w:val="auto"/>
        <w:rPr>
          <w:rFonts w:hint="eastAsia"/>
        </w:rPr>
      </w:pPr>
      <m:oMath>
        <m:sSup>
          <m:sSupPr>
            <m:ctrlPr>
              <w:rPr>
                <w:rFonts w:ascii="Cambria Math" w:hAnsi="Cambria Math" w:eastAsia="宋体"/>
                <w:sz w:val="24"/>
              </w:rPr>
            </m:ctrlPr>
          </m:sSupPr>
          <m:e>
            <m:r>
              <m:rPr/>
              <w:rPr>
                <w:rFonts w:ascii="Cambria Math" w:hAnsi="Cambria Math" w:eastAsia="宋体" w:cs="Cambria Math"/>
                <w:sz w:val="24"/>
              </w:rPr>
              <m:t>x</m:t>
            </m:r>
            <m:ctrlPr>
              <w:rPr>
                <w:rFonts w:ascii="Cambria Math" w:hAnsi="Cambria Math" w:eastAsia="宋体"/>
                <w:sz w:val="24"/>
              </w:rPr>
            </m:ctrlPr>
          </m:e>
          <m:sup>
            <m:r>
              <m:rPr/>
              <w:rPr>
                <w:rFonts w:ascii="Cambria Math" w:hAnsi="Cambria Math" w:eastAsia="宋体" w:cs="Cambria Math"/>
                <w:sz w:val="24"/>
              </w:rPr>
              <m:t>t</m:t>
            </m:r>
            <m:ctrlPr>
              <w:rPr>
                <w:rFonts w:ascii="Cambria Math" w:hAnsi="Cambria Math" w:eastAsia="宋体"/>
                <w:sz w:val="24"/>
              </w:rPr>
            </m:ctrlPr>
          </m:sup>
        </m:sSup>
        <m:r>
          <m:rPr/>
          <w:rPr>
            <w:rFonts w:ascii="Cambria Math" w:hAnsi="Cambria Math" w:eastAsia="宋体" w:cs="Cambria Math"/>
            <w:sz w:val="24"/>
          </w:rPr>
          <m:t>=f(</m:t>
        </m:r>
        <m:sSup>
          <m:sSupPr>
            <m:ctrlPr>
              <w:rPr>
                <w:rFonts w:ascii="Cambria Math" w:hAnsi="Cambria Math" w:eastAsia="宋体"/>
                <w:sz w:val="24"/>
              </w:rPr>
            </m:ctrlPr>
          </m:sSupPr>
          <m:e>
            <m:r>
              <m:rPr/>
              <w:rPr>
                <w:rFonts w:ascii="Cambria Math" w:hAnsi="Cambria Math" w:eastAsia="宋体" w:cs="Cambria Math"/>
                <w:sz w:val="24"/>
              </w:rPr>
              <m:t>w</m:t>
            </m:r>
            <m:ctrlPr>
              <w:rPr>
                <w:rFonts w:ascii="Cambria Math" w:hAnsi="Cambria Math" w:eastAsia="宋体"/>
                <w:sz w:val="24"/>
              </w:rPr>
            </m:ctrlPr>
          </m:e>
          <m:sup>
            <m:r>
              <m:rPr/>
              <w:rPr>
                <w:rFonts w:ascii="Cambria Math" w:hAnsi="Cambria Math" w:eastAsia="宋体" w:cs="Cambria Math"/>
                <w:sz w:val="24"/>
              </w:rPr>
              <m:t>t</m:t>
            </m:r>
            <m:ctrlPr>
              <w:rPr>
                <w:rFonts w:ascii="Cambria Math" w:hAnsi="Cambria Math" w:eastAsia="宋体"/>
                <w:sz w:val="24"/>
              </w:rPr>
            </m:ctrlPr>
          </m:sup>
        </m:sSup>
        <m:sSup>
          <m:sSupPr>
            <m:ctrlPr>
              <w:rPr>
                <w:rFonts w:ascii="Cambria Math" w:hAnsi="Cambria Math" w:eastAsia="宋体"/>
                <w:sz w:val="24"/>
              </w:rPr>
            </m:ctrlPr>
          </m:sSupPr>
          <m:e>
            <m:r>
              <m:rPr/>
              <w:rPr>
                <w:rFonts w:ascii="Cambria Math" w:hAnsi="Cambria Math" w:eastAsia="宋体" w:cs="Cambria Math"/>
                <w:sz w:val="24"/>
              </w:rPr>
              <m:t>x</m:t>
            </m:r>
            <m:ctrlPr>
              <w:rPr>
                <w:rFonts w:ascii="Cambria Math" w:hAnsi="Cambria Math" w:eastAsia="宋体"/>
                <w:sz w:val="24"/>
              </w:rPr>
            </m:ctrlPr>
          </m:e>
          <m:sup>
            <m:r>
              <m:rPr/>
              <w:rPr>
                <w:rFonts w:ascii="Cambria Math" w:hAnsi="Cambria Math" w:eastAsia="宋体" w:cs="Cambria Math"/>
                <w:sz w:val="24"/>
              </w:rPr>
              <m:t>t−1</m:t>
            </m:r>
            <m:ctrlPr>
              <w:rPr>
                <w:rFonts w:ascii="Cambria Math" w:hAnsi="Cambria Math" w:eastAsia="宋体"/>
                <w:sz w:val="24"/>
              </w:rPr>
            </m:ctrlPr>
          </m:sup>
        </m:sSup>
        <m:r>
          <m:rPr/>
          <w:rPr>
            <w:rFonts w:ascii="Cambria Math" w:hAnsi="Cambria Math" w:eastAsia="宋体" w:cs="Cambria Math"/>
            <w:sz w:val="24"/>
          </w:rPr>
          <m:t>+</m:t>
        </m:r>
        <m:sSup>
          <m:sSupPr>
            <m:ctrlPr>
              <w:rPr>
                <w:rFonts w:ascii="Cambria Math" w:hAnsi="Cambria Math" w:eastAsia="宋体"/>
                <w:sz w:val="24"/>
              </w:rPr>
            </m:ctrlPr>
          </m:sSupPr>
          <m:e>
            <m:r>
              <m:rPr/>
              <w:rPr>
                <w:rFonts w:ascii="Cambria Math" w:hAnsi="Cambria Math" w:eastAsia="宋体" w:cs="Cambria Math"/>
                <w:sz w:val="24"/>
              </w:rPr>
              <m:t>b</m:t>
            </m:r>
            <m:ctrlPr>
              <w:rPr>
                <w:rFonts w:ascii="Cambria Math" w:hAnsi="Cambria Math" w:eastAsia="宋体"/>
                <w:sz w:val="24"/>
              </w:rPr>
            </m:ctrlPr>
          </m:e>
          <m:sup>
            <m:r>
              <m:rPr/>
              <w:rPr>
                <w:rFonts w:ascii="Cambria Math" w:hAnsi="Cambria Math" w:eastAsia="宋体" w:cs="Cambria Math"/>
                <w:sz w:val="24"/>
              </w:rPr>
              <m:t>t</m:t>
            </m:r>
            <m:ctrlPr>
              <w:rPr>
                <w:rFonts w:ascii="Cambria Math" w:hAnsi="Cambria Math" w:eastAsia="宋体"/>
                <w:sz w:val="24"/>
              </w:rPr>
            </m:ctrlPr>
          </m:sup>
        </m:sSup>
        <m:r>
          <m:rPr/>
          <w:rPr>
            <w:rFonts w:ascii="Cambria Math" w:hAnsi="Cambria Math" w:eastAsia="宋体" w:cs="Cambria Math"/>
            <w:sz w:val="24"/>
          </w:rPr>
          <m:t>)</m:t>
        </m:r>
      </m:oMath>
      <w:r>
        <w:rPr>
          <w:rFonts w:hint="eastAsia" w:ascii="Times New Roman" w:hAnsi="Times New Roman" w:cs="Cambria Math"/>
          <w:i w:val="0"/>
          <w:sz w:val="24"/>
          <w:lang w:val="en-US" w:eastAsia="zh-CN"/>
        </w:rPr>
        <w:t xml:space="preserve">                                                                                      </w:t>
      </w:r>
      <w:r>
        <w:rPr>
          <w:rFonts w:hint="eastAsia" w:ascii="Times New Roman" w:hAnsi="Times New Roman" w:eastAsia="宋体"/>
          <w:sz w:val="24"/>
        </w:rPr>
        <w:t>(2.2)上述公示当中，</w:t>
      </w:r>
      <m:oMath>
        <m:sSup>
          <m:sSupPr>
            <m:ctrlPr>
              <w:rPr>
                <w:rFonts w:ascii="Cambria Math" w:hAnsi="Cambria Math" w:eastAsia="宋体"/>
                <w:sz w:val="24"/>
              </w:rPr>
            </m:ctrlPr>
          </m:sSupPr>
          <m:e>
            <m:r>
              <m:rPr/>
              <w:rPr>
                <w:rFonts w:ascii="Cambria Math" w:hAnsi="Cambria Math" w:eastAsia="宋体" w:cs="Cambria Math"/>
                <w:sz w:val="24"/>
              </w:rPr>
              <m:t>w</m:t>
            </m:r>
            <m:ctrlPr>
              <w:rPr>
                <w:rFonts w:ascii="Cambria Math" w:hAnsi="Cambria Math" w:eastAsia="宋体"/>
                <w:sz w:val="24"/>
              </w:rPr>
            </m:ctrlPr>
          </m:e>
          <m:sup>
            <m:r>
              <m:rPr/>
              <w:rPr>
                <w:rFonts w:ascii="Cambria Math" w:hAnsi="Cambria Math" w:eastAsia="宋体" w:cs="Cambria Math"/>
                <w:sz w:val="24"/>
              </w:rPr>
              <m:t>t</m:t>
            </m:r>
            <m:ctrlPr>
              <w:rPr>
                <w:rFonts w:ascii="Cambria Math" w:hAnsi="Cambria Math" w:eastAsia="宋体"/>
                <w:sz w:val="24"/>
              </w:rPr>
            </m:ctrlPr>
          </m:sup>
        </m:sSup>
      </m:oMath>
      <w:r>
        <w:rPr>
          <w:rFonts w:hint="eastAsia" w:ascii="Times New Roman" w:hAnsi="Times New Roman" w:eastAsia="宋体"/>
          <w:sz w:val="24"/>
        </w:rPr>
        <w:t>表示为权重系数矩阵，</w:t>
      </w:r>
      <m:oMath>
        <m:sSup>
          <m:sSupPr>
            <m:ctrlPr>
              <w:rPr>
                <w:rFonts w:ascii="Cambria Math" w:hAnsi="Cambria Math" w:eastAsia="宋体"/>
                <w:sz w:val="24"/>
              </w:rPr>
            </m:ctrlPr>
          </m:sSupPr>
          <m:e>
            <m:r>
              <m:rPr/>
              <w:rPr>
                <w:rFonts w:ascii="Cambria Math" w:hAnsi="Cambria Math" w:eastAsia="宋体" w:cs="Cambria Math"/>
                <w:sz w:val="24"/>
              </w:rPr>
              <m:t>b</m:t>
            </m:r>
            <m:ctrlPr>
              <w:rPr>
                <w:rFonts w:ascii="Cambria Math" w:hAnsi="Cambria Math" w:eastAsia="宋体"/>
                <w:sz w:val="24"/>
              </w:rPr>
            </m:ctrlPr>
          </m:e>
          <m:sup>
            <m:r>
              <m:rPr/>
              <w:rPr>
                <w:rFonts w:ascii="Cambria Math" w:hAnsi="Cambria Math" w:eastAsia="宋体" w:cs="Cambria Math"/>
                <w:sz w:val="24"/>
              </w:rPr>
              <m:t>t</m:t>
            </m:r>
            <m:ctrlPr>
              <w:rPr>
                <w:rFonts w:ascii="Cambria Math" w:hAnsi="Cambria Math" w:eastAsia="宋体"/>
                <w:sz w:val="24"/>
              </w:rPr>
            </m:ctrlPr>
          </m:sup>
        </m:sSup>
      </m:oMath>
      <w:r>
        <w:rPr>
          <w:rFonts w:hint="eastAsia" w:ascii="Times New Roman" w:hAnsi="Times New Roman" w:eastAsia="宋体"/>
          <w:sz w:val="24"/>
        </w:rPr>
        <w:t>表示为第t 层的偏置项。如果进行图像分类，激活函数一般是 softmax 函数。</w:t>
      </w:r>
    </w:p>
    <w:p w14:paraId="6F435D45">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19" w:name="_Toc46"/>
      <w:r>
        <w:rPr>
          <w:rFonts w:ascii="Times New Roman" w:hAnsi="Times New Roman" w:eastAsia="宋体" w:cs="Times New Roman"/>
          <w:kern w:val="2"/>
          <w:sz w:val="30"/>
          <w:szCs w:val="30"/>
          <w:lang w:val="en-US" w:eastAsia="zh-CN" w:bidi="ar-SA"/>
        </w:rPr>
        <w:t xml:space="preserve">2.2 </w:t>
      </w:r>
      <w:r>
        <w:rPr>
          <w:rFonts w:hint="eastAsia" w:ascii="Times New Roman" w:hAnsi="Times New Roman" w:eastAsia="宋体" w:cs="Times New Roman"/>
          <w:kern w:val="2"/>
          <w:sz w:val="30"/>
          <w:szCs w:val="30"/>
          <w:lang w:val="en-US" w:eastAsia="zh-CN" w:bidi="ar-SA"/>
        </w:rPr>
        <w:t>迁移学习</w:t>
      </w:r>
      <w:bookmarkEnd w:id="19"/>
    </w:p>
    <w:p w14:paraId="343C3635">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在某些神经网络学习场景中，若直接从零开始对目标数据集进行训练，成本高且耗时长。此外，目标数据集可能存在数据不平衡或数据量不足的问题。迁移学习则可以将从大型自然数据集上训练习得的知识迁移至新的数据领域，以解决新领域数据量不足的问题。通过对深度学习预训练模型的权重进行微调以适应新任务，可以克服新任务缺乏大量数据和计算资源的局限性，从而显著提高模型的效率和性能。</w:t>
      </w:r>
    </w:p>
    <w:p w14:paraId="587134A2">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迁移学习的原理类似于通过类比已掌握的技能，从而更快、更高效地学习新技能。例如，熟悉钢琴演奏的人能够迅速适应电子键盘的演奏方式。因为两者都使用键盘作为演奏界面，演奏技巧和音乐理论异曲同工。熟练掌握蛙泳之后，可以更轻松地学习蝶泳。尽管泳姿不同，但基础游泳技巧和呼吸方式相似，促进了新泳姿的学习。此类基于相似性的学习策略有效地搭建了从已有知识到新领域知识的桥梁，通过识别和利用两个领域之间的共同点，显著提高了新技能的学习效率。</w:t>
      </w:r>
    </w:p>
    <w:p w14:paraId="27FDA793">
      <w:pPr>
        <w:rPr>
          <w:rFonts w:ascii="宋体" w:hAnsi="宋体" w:eastAsia="宋体" w:cs="宋体"/>
          <w:sz w:val="24"/>
          <w:szCs w:val="24"/>
        </w:rPr>
      </w:pPr>
      <w:r>
        <w:rPr>
          <w:rFonts w:ascii="宋体" w:hAnsi="宋体" w:eastAsia="宋体" w:cs="宋体"/>
          <w:sz w:val="24"/>
          <w:szCs w:val="24"/>
        </w:rPr>
        <w:drawing>
          <wp:inline distT="0" distB="0" distL="114300" distR="114300">
            <wp:extent cx="5730240" cy="2607310"/>
            <wp:effectExtent l="0" t="0" r="635" b="1206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1"/>
                    <a:stretch>
                      <a:fillRect/>
                    </a:stretch>
                  </pic:blipFill>
                  <pic:spPr>
                    <a:xfrm>
                      <a:off x="0" y="0"/>
                      <a:ext cx="5730240" cy="2607310"/>
                    </a:xfrm>
                    <a:prstGeom prst="rect">
                      <a:avLst/>
                    </a:prstGeom>
                    <a:noFill/>
                    <a:ln w="9525">
                      <a:noFill/>
                    </a:ln>
                  </pic:spPr>
                </pic:pic>
              </a:graphicData>
            </a:graphic>
          </wp:inline>
        </w:drawing>
      </w:r>
    </w:p>
    <w:p w14:paraId="3023C530">
      <w:pPr>
        <w:jc w:val="center"/>
        <w:rPr>
          <w:rFonts w:hint="default" w:ascii="宋体" w:hAnsi="宋体" w:eastAsia="宋体" w:cs="宋体"/>
          <w:b/>
          <w:bCs/>
          <w:sz w:val="21"/>
          <w:szCs w:val="21"/>
          <w:lang w:val="en-US" w:eastAsia="zh-CN"/>
        </w:rPr>
      </w:pPr>
      <w:r>
        <w:rPr>
          <w:rFonts w:hint="eastAsia" w:ascii="宋体" w:hAnsi="宋体" w:cs="宋体"/>
          <w:b/>
          <w:bCs/>
          <w:sz w:val="21"/>
          <w:szCs w:val="21"/>
          <w:lang w:val="en-US" w:eastAsia="zh-CN"/>
        </w:rPr>
        <w:t>图</w:t>
      </w:r>
      <w:r>
        <w:rPr>
          <w:rFonts w:hint="eastAsia" w:ascii="Times New Roman" w:hAnsi="Times New Roman" w:cs="宋体"/>
          <w:b/>
          <w:bCs/>
          <w:sz w:val="21"/>
          <w:szCs w:val="21"/>
          <w:lang w:val="en-US" w:eastAsia="zh-CN"/>
        </w:rPr>
        <w:t>2</w:t>
      </w:r>
      <w:r>
        <w:rPr>
          <w:rFonts w:hint="eastAsia" w:cs="宋体"/>
          <w:b/>
          <w:bCs/>
          <w:sz w:val="21"/>
          <w:szCs w:val="21"/>
          <w:lang w:val="en-US" w:eastAsia="zh-CN"/>
        </w:rPr>
        <w:t>-</w:t>
      </w:r>
      <w:r>
        <w:rPr>
          <w:rFonts w:hint="eastAsia" w:ascii="Times New Roman" w:hAnsi="Times New Roman" w:cs="宋体"/>
          <w:b/>
          <w:bCs/>
          <w:sz w:val="21"/>
          <w:szCs w:val="21"/>
          <w:lang w:val="en-US" w:eastAsia="zh-CN"/>
        </w:rPr>
        <w:t>2</w:t>
      </w:r>
      <w:r>
        <w:rPr>
          <w:rFonts w:hint="eastAsia" w:cs="宋体"/>
          <w:b/>
          <w:bCs/>
          <w:sz w:val="21"/>
          <w:szCs w:val="21"/>
          <w:lang w:val="en-US" w:eastAsia="zh-CN"/>
        </w:rPr>
        <w:t xml:space="preserve"> </w:t>
      </w:r>
    </w:p>
    <w:p w14:paraId="69D2A268">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20" w:name="_Toc19999"/>
      <w:r>
        <w:rPr>
          <w:rFonts w:ascii="Times New Roman" w:hAnsi="Times New Roman" w:eastAsia="宋体" w:cs="Times New Roman"/>
          <w:kern w:val="2"/>
          <w:sz w:val="30"/>
          <w:szCs w:val="30"/>
          <w:lang w:val="en-US" w:eastAsia="zh-CN" w:bidi="ar-SA"/>
        </w:rPr>
        <w:t xml:space="preserve">2.3 </w:t>
      </w:r>
      <w:r>
        <w:rPr>
          <w:rFonts w:hint="eastAsia" w:ascii="Times New Roman" w:hAnsi="Times New Roman" w:eastAsia="宋体" w:cs="Times New Roman"/>
          <w:kern w:val="2"/>
          <w:sz w:val="30"/>
          <w:szCs w:val="30"/>
          <w:lang w:val="en-US" w:eastAsia="zh-CN" w:bidi="ar-SA"/>
        </w:rPr>
        <w:t>EfficientNetV2B0网络</w:t>
      </w:r>
      <w:bookmarkEnd w:id="20"/>
    </w:p>
    <w:p w14:paraId="1498578F">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EfficientNetV2网络是Tan等2021年基于EffcientNet网络改进提出的。尽管 EfficientNet已经在多个方面取得显著成就，但它在面对大尺寸图像时训练速度缓慢，在浅层网络中使用深度卷积时速度较慢，对每层Stage进行等量放大的策略也不是最优的。为了解决这些问题，EfficientNetV2 应运而生。EfficientNetV2引入了一种改进的渐进式学习方法，能根据训练图像的尺寸动态调节正则化策略并采用了 Fused-MBConv 结构。Fused-MBConv 结构将MBConv结构主分支中的1×1扩展卷积和3×3深度卷积替换为一个标准的3×3卷积。EfficientNetV2运用神经网络架构搜索(NAS)技术来探索Fused-MBConv结构与MBConv结构的最佳组合，并将Fused-MBConv结构放在网络的浅层以提升训练速度。另外，EfficientNetV2去除了EfficientNet中最后一个步长为1的Stage, 因为该Stage参数量庞大且内存访问开销过高。通过这些改进，EfficientNetV2 在保持准确率的同时，实现了更快的训练速度和更低的参数量。EfficientNetV2网络结构如图2所示。</w:t>
      </w:r>
    </w:p>
    <w:p w14:paraId="152CF81C">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default"/>
          <w:b/>
          <w:bCs/>
          <w:color w:val="auto"/>
          <w:sz w:val="21"/>
          <w:szCs w:val="21"/>
          <w:lang w:val="en-US" w:eastAsia="zh-CN"/>
        </w:rPr>
      </w:pPr>
      <w:r>
        <w:rPr>
          <w:rFonts w:hint="eastAsia"/>
          <w:b/>
          <w:bCs/>
          <w:color w:val="auto"/>
          <w:sz w:val="21"/>
          <w:szCs w:val="21"/>
          <w:lang w:val="en-US" w:eastAsia="zh-CN"/>
        </w:rPr>
        <w:t xml:space="preserve">表2-1 </w:t>
      </w:r>
    </w:p>
    <w:tbl>
      <w:tblPr>
        <w:tblStyle w:val="16"/>
        <w:tblW w:w="4998"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6"/>
        <w:gridCol w:w="4758"/>
        <w:gridCol w:w="1034"/>
        <w:gridCol w:w="1934"/>
      </w:tblGrid>
      <w:tr w14:paraId="7E760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740" w:type="pct"/>
            <w:tcBorders>
              <w:top w:val="single" w:color="auto" w:sz="4" w:space="0"/>
              <w:left w:val="single" w:color="auto" w:sz="0" w:space="0"/>
              <w:bottom w:val="single" w:color="auto" w:sz="4" w:space="0"/>
              <w:right w:val="single" w:color="auto" w:sz="4" w:space="0"/>
            </w:tcBorders>
            <w:shd w:val="clear" w:color="auto" w:fill="auto"/>
            <w:vAlign w:val="center"/>
          </w:tcPr>
          <w:p w14:paraId="1365DD40">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阶段</w:t>
            </w:r>
          </w:p>
        </w:tc>
        <w:tc>
          <w:tcPr>
            <w:tcW w:w="2590" w:type="pct"/>
            <w:tcBorders>
              <w:top w:val="single" w:color="auto" w:sz="4" w:space="0"/>
              <w:left w:val="single" w:color="auto" w:sz="4" w:space="0"/>
              <w:bottom w:val="single" w:color="auto" w:sz="4" w:space="0"/>
              <w:right w:val="single" w:color="auto" w:sz="4" w:space="0"/>
            </w:tcBorders>
            <w:shd w:val="clear" w:color="auto" w:fill="auto"/>
            <w:vAlign w:val="center"/>
          </w:tcPr>
          <w:p w14:paraId="124454F6">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操作</w:t>
            </w:r>
          </w:p>
        </w:tc>
        <w:tc>
          <w:tcPr>
            <w:tcW w:w="550" w:type="pct"/>
            <w:tcBorders>
              <w:top w:val="single" w:color="auto" w:sz="4" w:space="0"/>
              <w:left w:val="single" w:color="auto" w:sz="4" w:space="0"/>
              <w:bottom w:val="single" w:color="auto" w:sz="4" w:space="0"/>
              <w:right w:val="single" w:color="auto" w:sz="4" w:space="0"/>
            </w:tcBorders>
            <w:shd w:val="clear" w:color="auto" w:fill="auto"/>
            <w:vAlign w:val="center"/>
          </w:tcPr>
          <w:p w14:paraId="2C78CE10">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步长</w:t>
            </w:r>
          </w:p>
        </w:tc>
        <w:tc>
          <w:tcPr>
            <w:tcW w:w="1035" w:type="pct"/>
            <w:tcBorders>
              <w:top w:val="single" w:color="auto" w:sz="4" w:space="0"/>
              <w:left w:val="single" w:color="auto" w:sz="4" w:space="0"/>
              <w:bottom w:val="single" w:color="auto" w:sz="4" w:space="0"/>
              <w:right w:val="single" w:color="auto" w:sz="4" w:space="0"/>
            </w:tcBorders>
            <w:shd w:val="clear" w:color="auto" w:fill="auto"/>
            <w:vAlign w:val="center"/>
          </w:tcPr>
          <w:p w14:paraId="47B62E5D">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重复次数</w:t>
            </w:r>
          </w:p>
        </w:tc>
      </w:tr>
      <w:tr w14:paraId="12231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740" w:type="pct"/>
            <w:tcBorders>
              <w:top w:val="single" w:color="auto" w:sz="4" w:space="0"/>
              <w:left w:val="single" w:color="auto" w:sz="4" w:space="0"/>
              <w:bottom w:val="single" w:color="auto" w:sz="4" w:space="0"/>
              <w:right w:val="single" w:color="auto" w:sz="4" w:space="0"/>
            </w:tcBorders>
            <w:shd w:val="clear" w:color="auto" w:fill="auto"/>
            <w:vAlign w:val="center"/>
          </w:tcPr>
          <w:p w14:paraId="32FFF2AB">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0</w:t>
            </w:r>
          </w:p>
        </w:tc>
        <w:tc>
          <w:tcPr>
            <w:tcW w:w="2590" w:type="pct"/>
            <w:tcBorders>
              <w:top w:val="single" w:color="auto" w:sz="4" w:space="0"/>
              <w:left w:val="single" w:color="auto" w:sz="4" w:space="0"/>
              <w:bottom w:val="single" w:color="auto" w:sz="4" w:space="0"/>
              <w:right w:val="single" w:color="auto" w:sz="4" w:space="0"/>
            </w:tcBorders>
            <w:shd w:val="clear" w:color="auto" w:fill="auto"/>
            <w:vAlign w:val="center"/>
          </w:tcPr>
          <w:p w14:paraId="197A1B96">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Conv3x3</w:t>
            </w:r>
          </w:p>
        </w:tc>
        <w:tc>
          <w:tcPr>
            <w:tcW w:w="550" w:type="pct"/>
            <w:tcBorders>
              <w:top w:val="single" w:color="auto" w:sz="4" w:space="0"/>
              <w:left w:val="single" w:color="auto" w:sz="4" w:space="0"/>
              <w:bottom w:val="single" w:color="auto" w:sz="4" w:space="0"/>
              <w:right w:val="single" w:color="auto" w:sz="4" w:space="0"/>
            </w:tcBorders>
            <w:shd w:val="clear" w:color="auto" w:fill="auto"/>
            <w:vAlign w:val="center"/>
          </w:tcPr>
          <w:p w14:paraId="6CF2CB28">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2</w:t>
            </w:r>
          </w:p>
        </w:tc>
        <w:tc>
          <w:tcPr>
            <w:tcW w:w="1035" w:type="pct"/>
            <w:tcBorders>
              <w:top w:val="single" w:color="auto" w:sz="4" w:space="0"/>
              <w:left w:val="single" w:color="auto" w:sz="4" w:space="0"/>
              <w:bottom w:val="single" w:color="auto" w:sz="4" w:space="0"/>
              <w:right w:val="single" w:color="auto" w:sz="4" w:space="0"/>
            </w:tcBorders>
            <w:shd w:val="clear" w:color="auto" w:fill="auto"/>
            <w:vAlign w:val="center"/>
          </w:tcPr>
          <w:p w14:paraId="61E870C8">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1</w:t>
            </w:r>
          </w:p>
        </w:tc>
      </w:tr>
      <w:tr w14:paraId="04C87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740" w:type="pct"/>
            <w:tcBorders>
              <w:top w:val="single" w:color="auto" w:sz="4" w:space="0"/>
              <w:left w:val="single" w:color="auto" w:sz="4" w:space="0"/>
              <w:bottom w:val="single" w:color="auto" w:sz="4" w:space="0"/>
              <w:right w:val="single" w:color="auto" w:sz="4" w:space="0"/>
            </w:tcBorders>
            <w:shd w:val="clear" w:color="auto" w:fill="auto"/>
            <w:vAlign w:val="center"/>
          </w:tcPr>
          <w:p w14:paraId="4CC336D8">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1</w:t>
            </w:r>
          </w:p>
        </w:tc>
        <w:tc>
          <w:tcPr>
            <w:tcW w:w="2590" w:type="pct"/>
            <w:tcBorders>
              <w:top w:val="single" w:color="auto" w:sz="4" w:space="0"/>
              <w:left w:val="single" w:color="auto" w:sz="4" w:space="0"/>
              <w:bottom w:val="single" w:color="auto" w:sz="4" w:space="0"/>
              <w:right w:val="single" w:color="auto" w:sz="4" w:space="0"/>
            </w:tcBorders>
            <w:shd w:val="clear" w:color="auto" w:fill="auto"/>
            <w:vAlign w:val="center"/>
          </w:tcPr>
          <w:p w14:paraId="48946D2D">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Fused-MBConv1,k3x3</w:t>
            </w:r>
          </w:p>
        </w:tc>
        <w:tc>
          <w:tcPr>
            <w:tcW w:w="550" w:type="pct"/>
            <w:tcBorders>
              <w:top w:val="single" w:color="auto" w:sz="4" w:space="0"/>
              <w:left w:val="single" w:color="auto" w:sz="4" w:space="0"/>
              <w:bottom w:val="single" w:color="auto" w:sz="4" w:space="0"/>
              <w:right w:val="single" w:color="auto" w:sz="4" w:space="0"/>
            </w:tcBorders>
            <w:shd w:val="clear" w:color="auto" w:fill="auto"/>
            <w:vAlign w:val="center"/>
          </w:tcPr>
          <w:p w14:paraId="56C301B0">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1</w:t>
            </w:r>
          </w:p>
        </w:tc>
        <w:tc>
          <w:tcPr>
            <w:tcW w:w="1035" w:type="pct"/>
            <w:tcBorders>
              <w:top w:val="single" w:color="auto" w:sz="4" w:space="0"/>
              <w:left w:val="single" w:color="auto" w:sz="4" w:space="0"/>
              <w:bottom w:val="single" w:color="auto" w:sz="4" w:space="0"/>
              <w:right w:val="single" w:color="auto" w:sz="4" w:space="0"/>
            </w:tcBorders>
            <w:shd w:val="clear" w:color="auto" w:fill="auto"/>
            <w:vAlign w:val="center"/>
          </w:tcPr>
          <w:p w14:paraId="08EB9E32">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1</w:t>
            </w:r>
          </w:p>
        </w:tc>
      </w:tr>
      <w:tr w14:paraId="1ACFD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740" w:type="pct"/>
            <w:tcBorders>
              <w:top w:val="single" w:color="auto" w:sz="4" w:space="0"/>
              <w:left w:val="single" w:color="auto" w:sz="4" w:space="0"/>
              <w:bottom w:val="single" w:color="auto" w:sz="4" w:space="0"/>
              <w:right w:val="single" w:color="auto" w:sz="4" w:space="0"/>
            </w:tcBorders>
            <w:shd w:val="clear" w:color="auto" w:fill="auto"/>
            <w:vAlign w:val="center"/>
          </w:tcPr>
          <w:p w14:paraId="7C86D506">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2</w:t>
            </w:r>
          </w:p>
        </w:tc>
        <w:tc>
          <w:tcPr>
            <w:tcW w:w="2590" w:type="pct"/>
            <w:tcBorders>
              <w:top w:val="single" w:color="auto" w:sz="4" w:space="0"/>
              <w:left w:val="single" w:color="auto" w:sz="4" w:space="0"/>
              <w:bottom w:val="single" w:color="auto" w:sz="4" w:space="0"/>
              <w:right w:val="single" w:color="auto" w:sz="4" w:space="0"/>
            </w:tcBorders>
            <w:shd w:val="clear" w:color="auto" w:fill="auto"/>
            <w:vAlign w:val="center"/>
          </w:tcPr>
          <w:p w14:paraId="39F447E6">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Fused-MBConv4,k3x3</w:t>
            </w:r>
          </w:p>
        </w:tc>
        <w:tc>
          <w:tcPr>
            <w:tcW w:w="550" w:type="pct"/>
            <w:tcBorders>
              <w:top w:val="single" w:color="auto" w:sz="4" w:space="0"/>
              <w:left w:val="single" w:color="auto" w:sz="4" w:space="0"/>
              <w:bottom w:val="single" w:color="auto" w:sz="4" w:space="0"/>
              <w:right w:val="single" w:color="auto" w:sz="4" w:space="0"/>
            </w:tcBorders>
            <w:shd w:val="clear" w:color="auto" w:fill="auto"/>
            <w:vAlign w:val="center"/>
          </w:tcPr>
          <w:p w14:paraId="0A1AC3BC">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2</w:t>
            </w:r>
          </w:p>
        </w:tc>
        <w:tc>
          <w:tcPr>
            <w:tcW w:w="1035" w:type="pct"/>
            <w:tcBorders>
              <w:top w:val="single" w:color="auto" w:sz="4" w:space="0"/>
              <w:left w:val="single" w:color="auto" w:sz="4" w:space="0"/>
              <w:bottom w:val="single" w:color="auto" w:sz="4" w:space="0"/>
              <w:right w:val="single" w:color="auto" w:sz="4" w:space="0"/>
            </w:tcBorders>
            <w:shd w:val="clear" w:color="auto" w:fill="auto"/>
            <w:vAlign w:val="center"/>
          </w:tcPr>
          <w:p w14:paraId="78F4D829">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2</w:t>
            </w:r>
          </w:p>
        </w:tc>
      </w:tr>
      <w:tr w14:paraId="63512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740" w:type="pct"/>
            <w:tcBorders>
              <w:top w:val="single" w:color="auto" w:sz="4" w:space="0"/>
              <w:left w:val="single" w:color="auto" w:sz="4" w:space="0"/>
              <w:bottom w:val="single" w:color="auto" w:sz="4" w:space="0"/>
              <w:right w:val="single" w:color="auto" w:sz="4" w:space="0"/>
            </w:tcBorders>
            <w:shd w:val="clear" w:color="auto" w:fill="auto"/>
            <w:vAlign w:val="center"/>
          </w:tcPr>
          <w:p w14:paraId="7C17F24A">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3</w:t>
            </w:r>
          </w:p>
        </w:tc>
        <w:tc>
          <w:tcPr>
            <w:tcW w:w="2590" w:type="pct"/>
            <w:tcBorders>
              <w:top w:val="single" w:color="auto" w:sz="4" w:space="0"/>
              <w:left w:val="single" w:color="auto" w:sz="4" w:space="0"/>
              <w:bottom w:val="single" w:color="auto" w:sz="4" w:space="0"/>
              <w:right w:val="single" w:color="auto" w:sz="4" w:space="0"/>
            </w:tcBorders>
            <w:shd w:val="clear" w:color="auto" w:fill="auto"/>
            <w:vAlign w:val="center"/>
          </w:tcPr>
          <w:p w14:paraId="08490F62">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Fused-MBConv4,k3x3</w:t>
            </w:r>
          </w:p>
        </w:tc>
        <w:tc>
          <w:tcPr>
            <w:tcW w:w="550" w:type="pct"/>
            <w:tcBorders>
              <w:top w:val="single" w:color="auto" w:sz="4" w:space="0"/>
              <w:left w:val="single" w:color="auto" w:sz="4" w:space="0"/>
              <w:bottom w:val="single" w:color="auto" w:sz="4" w:space="0"/>
              <w:right w:val="single" w:color="auto" w:sz="4" w:space="0"/>
            </w:tcBorders>
            <w:shd w:val="clear" w:color="auto" w:fill="auto"/>
            <w:vAlign w:val="center"/>
          </w:tcPr>
          <w:p w14:paraId="30249415">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2</w:t>
            </w:r>
          </w:p>
        </w:tc>
        <w:tc>
          <w:tcPr>
            <w:tcW w:w="1035" w:type="pct"/>
            <w:tcBorders>
              <w:top w:val="single" w:color="auto" w:sz="4" w:space="0"/>
              <w:left w:val="single" w:color="auto" w:sz="4" w:space="0"/>
              <w:bottom w:val="single" w:color="auto" w:sz="4" w:space="0"/>
              <w:right w:val="single" w:color="auto" w:sz="4" w:space="0"/>
            </w:tcBorders>
            <w:shd w:val="clear" w:color="auto" w:fill="auto"/>
            <w:vAlign w:val="center"/>
          </w:tcPr>
          <w:p w14:paraId="2A235D72">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2</w:t>
            </w:r>
          </w:p>
        </w:tc>
      </w:tr>
      <w:tr w14:paraId="26265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740" w:type="pct"/>
            <w:tcBorders>
              <w:top w:val="single" w:color="auto" w:sz="4" w:space="0"/>
              <w:left w:val="single" w:color="auto" w:sz="4" w:space="0"/>
              <w:bottom w:val="single" w:color="auto" w:sz="4" w:space="0"/>
              <w:right w:val="single" w:color="auto" w:sz="4" w:space="0"/>
            </w:tcBorders>
            <w:shd w:val="clear" w:color="auto" w:fill="auto"/>
            <w:vAlign w:val="center"/>
          </w:tcPr>
          <w:p w14:paraId="0006A3E2">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4</w:t>
            </w:r>
          </w:p>
        </w:tc>
        <w:tc>
          <w:tcPr>
            <w:tcW w:w="2590" w:type="pct"/>
            <w:tcBorders>
              <w:top w:val="single" w:color="auto" w:sz="4" w:space="0"/>
              <w:left w:val="single" w:color="auto" w:sz="4" w:space="0"/>
              <w:bottom w:val="single" w:color="auto" w:sz="4" w:space="0"/>
              <w:right w:val="single" w:color="auto" w:sz="4" w:space="0"/>
            </w:tcBorders>
            <w:shd w:val="clear" w:color="auto" w:fill="auto"/>
            <w:vAlign w:val="center"/>
          </w:tcPr>
          <w:p w14:paraId="6433A52C">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MBConv4,k3x3</w:t>
            </w:r>
          </w:p>
        </w:tc>
        <w:tc>
          <w:tcPr>
            <w:tcW w:w="550" w:type="pct"/>
            <w:tcBorders>
              <w:top w:val="single" w:color="auto" w:sz="4" w:space="0"/>
              <w:left w:val="single" w:color="auto" w:sz="4" w:space="0"/>
              <w:bottom w:val="single" w:color="auto" w:sz="4" w:space="0"/>
              <w:right w:val="single" w:color="auto" w:sz="4" w:space="0"/>
            </w:tcBorders>
            <w:shd w:val="clear" w:color="auto" w:fill="auto"/>
            <w:vAlign w:val="center"/>
          </w:tcPr>
          <w:p w14:paraId="03C379E8">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2</w:t>
            </w:r>
          </w:p>
        </w:tc>
        <w:tc>
          <w:tcPr>
            <w:tcW w:w="1035" w:type="pct"/>
            <w:tcBorders>
              <w:top w:val="single" w:color="auto" w:sz="4" w:space="0"/>
              <w:left w:val="single" w:color="auto" w:sz="4" w:space="0"/>
              <w:bottom w:val="single" w:color="auto" w:sz="4" w:space="0"/>
              <w:right w:val="single" w:color="auto" w:sz="4" w:space="0"/>
            </w:tcBorders>
            <w:shd w:val="clear" w:color="auto" w:fill="auto"/>
            <w:vAlign w:val="center"/>
          </w:tcPr>
          <w:p w14:paraId="2821D101">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3</w:t>
            </w:r>
          </w:p>
        </w:tc>
      </w:tr>
      <w:tr w14:paraId="0ED60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740" w:type="pct"/>
            <w:tcBorders>
              <w:top w:val="single" w:color="auto" w:sz="4" w:space="0"/>
              <w:left w:val="single" w:color="auto" w:sz="4" w:space="0"/>
              <w:bottom w:val="single" w:color="auto" w:sz="4" w:space="0"/>
              <w:right w:val="single" w:color="auto" w:sz="4" w:space="0"/>
            </w:tcBorders>
            <w:shd w:val="clear" w:color="auto" w:fill="auto"/>
            <w:vAlign w:val="center"/>
          </w:tcPr>
          <w:p w14:paraId="42149252">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5</w:t>
            </w:r>
          </w:p>
        </w:tc>
        <w:tc>
          <w:tcPr>
            <w:tcW w:w="2590" w:type="pct"/>
            <w:tcBorders>
              <w:top w:val="single" w:color="auto" w:sz="4" w:space="0"/>
              <w:left w:val="single" w:color="auto" w:sz="4" w:space="0"/>
              <w:bottom w:val="single" w:color="auto" w:sz="4" w:space="0"/>
              <w:right w:val="single" w:color="auto" w:sz="4" w:space="0"/>
            </w:tcBorders>
            <w:shd w:val="clear" w:color="auto" w:fill="auto"/>
            <w:vAlign w:val="center"/>
          </w:tcPr>
          <w:p w14:paraId="7A5A33D3">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MBConv6,k3x3</w:t>
            </w:r>
          </w:p>
        </w:tc>
        <w:tc>
          <w:tcPr>
            <w:tcW w:w="550" w:type="pct"/>
            <w:tcBorders>
              <w:top w:val="single" w:color="auto" w:sz="4" w:space="0"/>
              <w:left w:val="single" w:color="auto" w:sz="4" w:space="0"/>
              <w:bottom w:val="single" w:color="auto" w:sz="4" w:space="0"/>
              <w:right w:val="single" w:color="auto" w:sz="4" w:space="0"/>
            </w:tcBorders>
            <w:shd w:val="clear" w:color="auto" w:fill="auto"/>
            <w:vAlign w:val="center"/>
          </w:tcPr>
          <w:p w14:paraId="5042D932">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1</w:t>
            </w:r>
          </w:p>
        </w:tc>
        <w:tc>
          <w:tcPr>
            <w:tcW w:w="1035" w:type="pct"/>
            <w:tcBorders>
              <w:top w:val="single" w:color="auto" w:sz="4" w:space="0"/>
              <w:left w:val="single" w:color="auto" w:sz="4" w:space="0"/>
              <w:bottom w:val="single" w:color="auto" w:sz="4" w:space="0"/>
              <w:right w:val="single" w:color="auto" w:sz="4" w:space="0"/>
            </w:tcBorders>
            <w:shd w:val="clear" w:color="auto" w:fill="auto"/>
            <w:vAlign w:val="center"/>
          </w:tcPr>
          <w:p w14:paraId="6DFDC8A5">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5</w:t>
            </w:r>
          </w:p>
        </w:tc>
      </w:tr>
      <w:tr w14:paraId="418D3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740" w:type="pct"/>
            <w:tcBorders>
              <w:top w:val="single" w:color="auto" w:sz="4" w:space="0"/>
              <w:left w:val="single" w:color="auto" w:sz="4" w:space="0"/>
              <w:bottom w:val="single" w:color="auto" w:sz="4" w:space="0"/>
              <w:right w:val="single" w:color="auto" w:sz="4" w:space="0"/>
            </w:tcBorders>
            <w:shd w:val="clear" w:color="auto" w:fill="auto"/>
            <w:vAlign w:val="center"/>
          </w:tcPr>
          <w:p w14:paraId="18F881EE">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6</w:t>
            </w:r>
          </w:p>
        </w:tc>
        <w:tc>
          <w:tcPr>
            <w:tcW w:w="2590" w:type="pct"/>
            <w:tcBorders>
              <w:top w:val="single" w:color="auto" w:sz="4" w:space="0"/>
              <w:left w:val="single" w:color="auto" w:sz="4" w:space="0"/>
              <w:bottom w:val="single" w:color="auto" w:sz="4" w:space="0"/>
              <w:right w:val="single" w:color="auto" w:sz="4" w:space="0"/>
            </w:tcBorders>
            <w:shd w:val="clear" w:color="auto" w:fill="auto"/>
            <w:vAlign w:val="center"/>
          </w:tcPr>
          <w:p w14:paraId="30570F76">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MBConv6,k3x3</w:t>
            </w:r>
          </w:p>
        </w:tc>
        <w:tc>
          <w:tcPr>
            <w:tcW w:w="550" w:type="pct"/>
            <w:tcBorders>
              <w:top w:val="single" w:color="auto" w:sz="4" w:space="0"/>
              <w:left w:val="single" w:color="auto" w:sz="4" w:space="0"/>
              <w:bottom w:val="single" w:color="auto" w:sz="4" w:space="0"/>
              <w:right w:val="single" w:color="auto" w:sz="4" w:space="0"/>
            </w:tcBorders>
            <w:shd w:val="clear" w:color="auto" w:fill="auto"/>
            <w:vAlign w:val="center"/>
          </w:tcPr>
          <w:p w14:paraId="0E4860B7">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2</w:t>
            </w:r>
          </w:p>
        </w:tc>
        <w:tc>
          <w:tcPr>
            <w:tcW w:w="1035" w:type="pct"/>
            <w:tcBorders>
              <w:top w:val="single" w:color="auto" w:sz="4" w:space="0"/>
              <w:left w:val="single" w:color="auto" w:sz="4" w:space="0"/>
              <w:bottom w:val="single" w:color="auto" w:sz="4" w:space="0"/>
              <w:right w:val="single" w:color="auto" w:sz="4" w:space="0"/>
            </w:tcBorders>
            <w:shd w:val="clear" w:color="auto" w:fill="auto"/>
            <w:vAlign w:val="center"/>
          </w:tcPr>
          <w:p w14:paraId="3D887BB6">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8</w:t>
            </w:r>
          </w:p>
        </w:tc>
      </w:tr>
      <w:tr w14:paraId="69EED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740" w:type="pct"/>
            <w:tcBorders>
              <w:top w:val="single" w:color="auto" w:sz="4" w:space="0"/>
              <w:left w:val="single" w:color="auto" w:sz="4" w:space="0"/>
              <w:bottom w:val="single" w:color="auto" w:sz="4" w:space="0"/>
              <w:right w:val="single" w:color="auto" w:sz="4" w:space="0"/>
            </w:tcBorders>
            <w:shd w:val="clear" w:color="auto" w:fill="auto"/>
            <w:vAlign w:val="center"/>
          </w:tcPr>
          <w:p w14:paraId="0245C3DB">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7</w:t>
            </w:r>
          </w:p>
        </w:tc>
        <w:tc>
          <w:tcPr>
            <w:tcW w:w="2590" w:type="pct"/>
            <w:tcBorders>
              <w:top w:val="single" w:color="auto" w:sz="4" w:space="0"/>
              <w:left w:val="single" w:color="auto" w:sz="4" w:space="0"/>
              <w:bottom w:val="single" w:color="auto" w:sz="4" w:space="0"/>
              <w:right w:val="single" w:color="auto" w:sz="4" w:space="0"/>
            </w:tcBorders>
            <w:shd w:val="clear" w:color="auto" w:fill="auto"/>
            <w:vAlign w:val="center"/>
          </w:tcPr>
          <w:p w14:paraId="21CB747F">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Conv1x1 &amp; Pooling &amp; FC</w:t>
            </w:r>
          </w:p>
        </w:tc>
        <w:tc>
          <w:tcPr>
            <w:tcW w:w="550" w:type="pct"/>
            <w:tcBorders>
              <w:top w:val="single" w:color="auto" w:sz="4" w:space="0"/>
              <w:left w:val="single" w:color="auto" w:sz="4" w:space="0"/>
              <w:bottom w:val="single" w:color="auto" w:sz="4" w:space="0"/>
              <w:right w:val="single" w:color="auto" w:sz="4" w:space="0"/>
            </w:tcBorders>
            <w:shd w:val="clear" w:color="auto" w:fill="auto"/>
            <w:vAlign w:val="center"/>
          </w:tcPr>
          <w:p w14:paraId="2A157BA7">
            <w:pPr>
              <w:jc w:val="center"/>
              <w:rPr>
                <w:rFonts w:hint="eastAsia" w:ascii="Times New Roman" w:hAnsi="Times New Roman" w:eastAsia="宋体"/>
                <w:sz w:val="21"/>
                <w:szCs w:val="24"/>
              </w:rPr>
            </w:pPr>
          </w:p>
        </w:tc>
        <w:tc>
          <w:tcPr>
            <w:tcW w:w="1035" w:type="pct"/>
            <w:tcBorders>
              <w:top w:val="single" w:color="auto" w:sz="4" w:space="0"/>
              <w:left w:val="single" w:color="auto" w:sz="4" w:space="0"/>
              <w:bottom w:val="single" w:color="auto" w:sz="4" w:space="0"/>
              <w:right w:val="single" w:color="auto" w:sz="4" w:space="0"/>
            </w:tcBorders>
            <w:shd w:val="clear" w:color="auto" w:fill="auto"/>
            <w:vAlign w:val="center"/>
          </w:tcPr>
          <w:p w14:paraId="4E96B228">
            <w:pPr>
              <w:keepNext w:val="0"/>
              <w:keepLines w:val="0"/>
              <w:widowControl/>
              <w:suppressLineNumbers w:val="0"/>
              <w:jc w:val="center"/>
              <w:rPr>
                <w:rFonts w:ascii="Times New Roman" w:hAnsi="Times New Roman" w:eastAsia="宋体"/>
                <w:sz w:val="21"/>
              </w:rPr>
            </w:pPr>
            <w:r>
              <w:rPr>
                <w:rFonts w:ascii="Times New Roman" w:hAnsi="Times New Roman" w:eastAsia="宋体" w:cs="宋体"/>
                <w:kern w:val="0"/>
                <w:sz w:val="21"/>
                <w:szCs w:val="24"/>
                <w:lang w:val="en-US" w:eastAsia="zh-CN" w:bidi="ar"/>
              </w:rPr>
              <w:t>1</w:t>
            </w:r>
          </w:p>
        </w:tc>
      </w:tr>
    </w:tbl>
    <w:p w14:paraId="3FAF5D66">
      <w:pPr>
        <w:rPr>
          <w:rFonts w:ascii="宋体" w:hAnsi="宋体" w:eastAsia="宋体" w:cs="宋体"/>
          <w:sz w:val="24"/>
          <w:szCs w:val="24"/>
        </w:rPr>
      </w:pPr>
      <w:r>
        <w:rPr>
          <w:rFonts w:ascii="宋体" w:hAnsi="宋体" w:eastAsia="宋体" w:cs="宋体"/>
          <w:sz w:val="24"/>
          <w:szCs w:val="24"/>
        </w:rPr>
        <w:drawing>
          <wp:inline distT="0" distB="0" distL="114300" distR="114300">
            <wp:extent cx="5701665" cy="2760345"/>
            <wp:effectExtent l="0" t="0" r="13335" b="190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2"/>
                    <a:stretch>
                      <a:fillRect/>
                    </a:stretch>
                  </pic:blipFill>
                  <pic:spPr>
                    <a:xfrm>
                      <a:off x="0" y="0"/>
                      <a:ext cx="5701665" cy="2760345"/>
                    </a:xfrm>
                    <a:prstGeom prst="rect">
                      <a:avLst/>
                    </a:prstGeom>
                    <a:noFill/>
                    <a:ln w="9525">
                      <a:noFill/>
                    </a:ln>
                  </pic:spPr>
                </pic:pic>
              </a:graphicData>
            </a:graphic>
          </wp:inline>
        </w:drawing>
      </w:r>
    </w:p>
    <w:p w14:paraId="5F56065A">
      <w:pPr>
        <w:jc w:val="center"/>
        <w:rPr>
          <w:rFonts w:hint="default" w:ascii="Times New Roman" w:hAnsi="Times New Roman" w:eastAsia="宋体" w:cs="宋体"/>
          <w:b/>
          <w:bCs/>
          <w:sz w:val="21"/>
          <w:szCs w:val="21"/>
          <w:lang w:val="en-US" w:eastAsia="zh-CN"/>
        </w:rPr>
      </w:pPr>
      <w:r>
        <w:rPr>
          <w:rFonts w:hint="eastAsia" w:cs="宋体"/>
          <w:b/>
          <w:bCs/>
          <w:sz w:val="21"/>
          <w:szCs w:val="21"/>
          <w:lang w:val="en-US" w:eastAsia="zh-CN"/>
        </w:rPr>
        <w:t xml:space="preserve">图2-3 </w:t>
      </w:r>
    </w:p>
    <w:p w14:paraId="54E3D167">
      <w:pPr>
        <w:rPr>
          <w:rFonts w:hint="eastAsia" w:ascii="宋体" w:hAnsi="宋体" w:eastAsia="宋体" w:cs="宋体"/>
          <w:sz w:val="24"/>
          <w:szCs w:val="24"/>
          <w:lang w:val="en-US" w:eastAsia="zh-CN"/>
        </w:rPr>
      </w:pPr>
      <w:r>
        <w:rPr>
          <w:rFonts w:ascii="宋体" w:hAnsi="宋体" w:eastAsia="宋体" w:cs="宋体"/>
          <w:sz w:val="24"/>
          <w:szCs w:val="24"/>
        </w:rPr>
        <w:br w:type="page"/>
      </w:r>
    </w:p>
    <w:p w14:paraId="4E2A8CA9">
      <w:pPr>
        <w:pStyle w:val="3"/>
        <w:keepNext w:val="0"/>
        <w:keepLines w:val="0"/>
        <w:pageBreakBefore w:val="0"/>
        <w:widowControl/>
        <w:kinsoku/>
        <w:wordWrap/>
        <w:overflowPunct/>
        <w:topLinePunct w:val="0"/>
        <w:autoSpaceDE/>
        <w:autoSpaceDN/>
        <w:bidi w:val="0"/>
        <w:adjustRightInd/>
        <w:snapToGrid/>
        <w:spacing w:before="0" w:after="0" w:line="312" w:lineRule="auto"/>
        <w:jc w:val="center"/>
        <w:textAlignment w:val="auto"/>
        <w:outlineLvl w:val="0"/>
        <w:rPr>
          <w:rFonts w:hint="default" w:ascii="Times New Roman" w:hAnsi="Times New Roman" w:eastAsia="宋体"/>
          <w:b/>
          <w:bCs/>
          <w:color w:val="auto"/>
          <w:sz w:val="36"/>
          <w:lang w:val="en-US"/>
        </w:rPr>
      </w:pPr>
      <w:bookmarkStart w:id="21" w:name="_Toc28708"/>
      <w:r>
        <w:rPr>
          <w:rFonts w:ascii="Times New Roman" w:hAnsi="Times New Roman" w:eastAsia="宋体"/>
          <w:b/>
          <w:bCs/>
          <w:color w:val="auto"/>
          <w:sz w:val="36"/>
        </w:rPr>
        <w:t>3</w:t>
      </w:r>
      <w:r>
        <w:rPr>
          <w:rFonts w:hint="eastAsia" w:ascii="Times New Roman" w:hAnsi="Times New Roman" w:eastAsia="宋体"/>
          <w:b/>
          <w:bCs/>
          <w:color w:val="auto"/>
          <w:sz w:val="36"/>
          <w:lang w:val="en-US" w:eastAsia="zh-CN"/>
        </w:rPr>
        <w:t>相似中草药的数据建立与处理</w:t>
      </w:r>
      <w:bookmarkEnd w:id="21"/>
    </w:p>
    <w:p w14:paraId="264F80FF">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22" w:name="_Toc29435"/>
      <w:r>
        <w:rPr>
          <w:rFonts w:ascii="Times New Roman" w:hAnsi="Times New Roman" w:eastAsia="宋体" w:cs="Times New Roman"/>
          <w:kern w:val="2"/>
          <w:sz w:val="30"/>
          <w:szCs w:val="30"/>
          <w:lang w:val="en-US" w:eastAsia="zh-CN" w:bidi="ar-SA"/>
        </w:rPr>
        <w:t xml:space="preserve">3.1 </w:t>
      </w:r>
      <w:r>
        <w:rPr>
          <w:rFonts w:hint="eastAsia" w:ascii="Times New Roman" w:hAnsi="Times New Roman" w:eastAsia="宋体" w:cs="Times New Roman"/>
          <w:kern w:val="2"/>
          <w:sz w:val="30"/>
          <w:szCs w:val="30"/>
          <w:lang w:val="en-US" w:eastAsia="zh-CN" w:bidi="ar-SA"/>
        </w:rPr>
        <w:t>数据集的获取</w:t>
      </w:r>
      <w:bookmarkEnd w:id="22"/>
    </w:p>
    <w:p w14:paraId="0AF40C33">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本实验数据通过自行购买中草药白参、北沙参、丹参、党参等26种相似中草药材，用高清手机对药材店的每种中药材拍摄多张图片，并为其标注标签。</w:t>
      </w:r>
    </w:p>
    <w:p w14:paraId="09DFB491">
      <w:pPr>
        <w:widowControl w:val="0"/>
        <w:spacing w:line="312" w:lineRule="auto"/>
        <w:ind w:firstLine="480" w:firstLineChars="200"/>
        <w:jc w:val="both"/>
        <w:rPr>
          <w:rFonts w:hint="default"/>
          <w:lang w:val="en-US" w:eastAsia="zh-CN"/>
        </w:rPr>
      </w:pPr>
      <w:r>
        <w:rPr>
          <w:rFonts w:hint="default"/>
          <w:kern w:val="2"/>
          <w:sz w:val="24"/>
          <w:szCs w:val="24"/>
          <w:lang w:val="en-US" w:eastAsia="zh-CN" w:bidi="ar-SA"/>
        </w:rPr>
        <w:t>自行拍摄图像有诸多优势，可选取合适的光线和环境拍摄，更容易把控数据质量，具有更高的灵活性。为避免外部环境对拍摄的影响，搭建中药材拍摄摄影</w:t>
      </w:r>
      <w:r>
        <w:rPr>
          <w:rFonts w:hint="eastAsia"/>
          <w:kern w:val="2"/>
          <w:sz w:val="24"/>
          <w:szCs w:val="24"/>
          <w:lang w:val="en-US" w:eastAsia="zh-CN" w:bidi="ar-SA"/>
        </w:rPr>
        <w:t>箱</w:t>
      </w:r>
      <w:r>
        <w:rPr>
          <w:rFonts w:hint="default"/>
          <w:kern w:val="2"/>
          <w:sz w:val="24"/>
          <w:szCs w:val="24"/>
          <w:lang w:val="en-US" w:eastAsia="zh-CN" w:bidi="ar-SA"/>
        </w:rPr>
        <w:t>。摄影</w:t>
      </w:r>
      <w:r>
        <w:rPr>
          <w:rFonts w:hint="eastAsia"/>
          <w:kern w:val="2"/>
          <w:sz w:val="24"/>
          <w:szCs w:val="24"/>
          <w:lang w:val="en-US" w:eastAsia="zh-CN" w:bidi="ar-SA"/>
        </w:rPr>
        <w:t>箱</w:t>
      </w:r>
      <w:r>
        <w:rPr>
          <w:rFonts w:hint="default"/>
          <w:kern w:val="2"/>
          <w:sz w:val="24"/>
          <w:szCs w:val="24"/>
          <w:lang w:val="en-US" w:eastAsia="zh-CN" w:bidi="ar-SA"/>
        </w:rPr>
        <w:t>主要由摄像头和灯箱组成，摄像头用于药材图像采集，灯箱用于隔离外部环境。摄像头固定在摄影</w:t>
      </w:r>
      <w:r>
        <w:rPr>
          <w:rFonts w:hint="eastAsia"/>
          <w:kern w:val="2"/>
          <w:sz w:val="24"/>
          <w:szCs w:val="24"/>
          <w:lang w:val="en-US" w:eastAsia="zh-CN" w:bidi="ar-SA"/>
        </w:rPr>
        <w:t>箱</w:t>
      </w:r>
      <w:r>
        <w:rPr>
          <w:rFonts w:hint="default"/>
          <w:kern w:val="2"/>
          <w:sz w:val="24"/>
          <w:szCs w:val="24"/>
          <w:lang w:val="en-US" w:eastAsia="zh-CN" w:bidi="ar-SA"/>
        </w:rPr>
        <w:t>顶部，连接电脑控制拍摄，保证拍摄图像质量。灯箱为不透光材质，保证与外部光照环境隔离，减少外部干扰。灯箱内有补光灯，有利于呈现拍摄物体真实质地和颜色，避免过度阴影，确保整体照明均匀。</w:t>
      </w:r>
    </w:p>
    <w:p w14:paraId="5685BA88">
      <w:pPr>
        <w:jc w:val="center"/>
        <w:rPr>
          <w:rFonts w:hint="default"/>
          <w:lang w:val="en-US" w:eastAsia="zh-CN"/>
        </w:rPr>
      </w:pPr>
      <w:r>
        <w:rPr>
          <w:rFonts w:hint="default"/>
          <w:lang w:val="en-US" w:eastAsia="zh-CN"/>
        </w:rPr>
        <w:drawing>
          <wp:inline distT="0" distB="0" distL="114300" distR="114300">
            <wp:extent cx="2695575" cy="2623820"/>
            <wp:effectExtent l="0" t="0" r="3175" b="11430"/>
            <wp:docPr id="8" name="图片 8" descr="White Ginseng_008_cropped_2800_1297_3139_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hite Ginseng_008_cropped_2800_1297_3139_1627"/>
                    <pic:cNvPicPr>
                      <a:picLocks noChangeAspect="1"/>
                    </pic:cNvPicPr>
                  </pic:nvPicPr>
                  <pic:blipFill>
                    <a:blip r:embed="rId13"/>
                    <a:stretch>
                      <a:fillRect/>
                    </a:stretch>
                  </pic:blipFill>
                  <pic:spPr>
                    <a:xfrm>
                      <a:off x="0" y="0"/>
                      <a:ext cx="2695575" cy="2623820"/>
                    </a:xfrm>
                    <a:prstGeom prst="rect">
                      <a:avLst/>
                    </a:prstGeom>
                  </pic:spPr>
                </pic:pic>
              </a:graphicData>
            </a:graphic>
          </wp:inline>
        </w:drawing>
      </w:r>
    </w:p>
    <w:p w14:paraId="5BD550B1">
      <w:pPr>
        <w:jc w:val="center"/>
        <w:rPr>
          <w:rFonts w:hint="default"/>
          <w:b/>
          <w:bCs/>
          <w:lang w:val="en-US" w:eastAsia="zh-CN"/>
        </w:rPr>
      </w:pPr>
      <w:r>
        <w:rPr>
          <w:rFonts w:hint="eastAsia"/>
          <w:b/>
          <w:bCs/>
          <w:lang w:val="en-US" w:eastAsia="zh-CN"/>
        </w:rPr>
        <w:t xml:space="preserve">图3-1 </w:t>
      </w:r>
      <w:r>
        <w:rPr>
          <w:rFonts w:hint="default"/>
          <w:b/>
          <w:bCs/>
          <w:lang w:val="en-US" w:eastAsia="zh-CN"/>
        </w:rPr>
        <w:t>药材状态举例</w:t>
      </w:r>
    </w:p>
    <w:p w14:paraId="467EAEC3">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一共采集到5382幅中草药图片，每个种类的中草药都放在一个统一的文件夹中</w:t>
      </w:r>
    </w:p>
    <w:p w14:paraId="6FEDEEEF">
      <w:pPr>
        <w:jc w:val="center"/>
      </w:pPr>
      <w:r>
        <w:drawing>
          <wp:inline distT="0" distB="0" distL="114300" distR="114300">
            <wp:extent cx="4828540" cy="2766695"/>
            <wp:effectExtent l="4445" t="4445" r="8890" b="6985"/>
            <wp:docPr id="9"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7B3941C">
      <w:pPr>
        <w:jc w:val="center"/>
        <w:rPr>
          <w:rFonts w:hint="default" w:eastAsia="宋体"/>
          <w:b/>
          <w:bCs/>
          <w:lang w:val="en-US" w:eastAsia="zh-CN"/>
        </w:rPr>
      </w:pPr>
      <w:r>
        <w:rPr>
          <w:rFonts w:hint="eastAsia"/>
          <w:b/>
          <w:bCs/>
          <w:lang w:val="en-US" w:eastAsia="zh-CN"/>
        </w:rPr>
        <w:t xml:space="preserve">图3-2 </w:t>
      </w:r>
    </w:p>
    <w:p w14:paraId="395D454F">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23" w:name="_Toc19057"/>
      <w:r>
        <w:rPr>
          <w:rFonts w:ascii="Times New Roman" w:hAnsi="Times New Roman" w:eastAsia="宋体" w:cs="Times New Roman"/>
          <w:kern w:val="2"/>
          <w:sz w:val="30"/>
          <w:szCs w:val="30"/>
          <w:lang w:val="en-US" w:eastAsia="zh-CN" w:bidi="ar-SA"/>
        </w:rPr>
        <w:t xml:space="preserve">3.2 </w:t>
      </w:r>
      <w:r>
        <w:rPr>
          <w:rFonts w:hint="eastAsia" w:ascii="Times New Roman" w:hAnsi="Times New Roman" w:eastAsia="宋体" w:cs="Times New Roman"/>
          <w:kern w:val="2"/>
          <w:sz w:val="30"/>
          <w:szCs w:val="30"/>
          <w:lang w:val="en-US" w:eastAsia="zh-CN" w:bidi="ar-SA"/>
        </w:rPr>
        <w:t>中药材图像标注</w:t>
      </w:r>
      <w:bookmarkEnd w:id="23"/>
    </w:p>
    <w:p w14:paraId="4B839547">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目标检测中图像数据是模型输入的一部分，另一部分是图像中目标的边界框和标签。在对药材充分了解的基础上，对图像中的目标中药材进行人工标注。</w:t>
      </w:r>
    </w:p>
    <w:p w14:paraId="16A16A58">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使用libeimg辅助人工标注工作，使用标注工具可使标注人员准确地绘制目标的边界框或者进行像素级标注，从而确保标注的准确性和一致性。同时标注工具能够直观地展示图像和标注结果，标注人员可实时查看标注效果并及时进行调整和修正。</w:t>
      </w:r>
    </w:p>
    <w:p w14:paraId="62BBC0AC">
      <w:pPr>
        <w:rPr>
          <w:rFonts w:hint="eastAsia"/>
          <w:color w:val="auto"/>
        </w:rPr>
      </w:pPr>
    </w:p>
    <w:p w14:paraId="7A00BDC0">
      <w:r>
        <w:drawing>
          <wp:inline distT="0" distB="0" distL="0" distR="0">
            <wp:extent cx="5759450" cy="3239770"/>
            <wp:effectExtent l="0" t="0" r="3175" b="14605"/>
            <wp:docPr id="7628648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64845" name="图片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60000" cy="3240000"/>
                    </a:xfrm>
                    <a:prstGeom prst="rect">
                      <a:avLst/>
                    </a:prstGeom>
                    <a:noFill/>
                    <a:ln>
                      <a:noFill/>
                    </a:ln>
                  </pic:spPr>
                </pic:pic>
              </a:graphicData>
            </a:graphic>
          </wp:inline>
        </w:drawing>
      </w:r>
    </w:p>
    <w:p w14:paraId="0AF459D6">
      <w:pPr>
        <w:jc w:val="center"/>
        <w:rPr>
          <w:rFonts w:hint="default" w:eastAsia="宋体"/>
          <w:b/>
          <w:bCs/>
          <w:sz w:val="21"/>
          <w:lang w:val="en-US" w:eastAsia="zh-CN"/>
        </w:rPr>
      </w:pPr>
      <w:r>
        <w:rPr>
          <w:rFonts w:hint="eastAsia"/>
          <w:b/>
          <w:bCs/>
          <w:sz w:val="21"/>
          <w:lang w:val="en-US" w:eastAsia="zh-CN"/>
        </w:rPr>
        <w:t xml:space="preserve">图3.2 </w:t>
      </w:r>
    </w:p>
    <w:p w14:paraId="3EEBC095">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标注数据存储参考 Pascal VOC 数据集格式，以 xml 格式保存，保存信息包括存图像文件名、图像宽高、标注框的最小横纵坐标、最大横纵坐标和目标标签，方便在模型训练和验证时读取图像的标注信息。根据数据集中存储信息可将图像转为其他数据集格式。</w:t>
      </w:r>
    </w:p>
    <w:p w14:paraId="056DE1D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宋体"/>
          <w:b/>
          <w:bCs/>
          <w:color w:val="auto"/>
          <w:sz w:val="21"/>
          <w:szCs w:val="21"/>
          <w:lang w:val="en-US" w:eastAsia="zh-CN"/>
        </w:rPr>
      </w:pPr>
      <w:r>
        <w:rPr>
          <w:rFonts w:hint="eastAsia"/>
          <w:b/>
          <w:bCs/>
          <w:color w:val="auto"/>
          <w:sz w:val="21"/>
          <w:szCs w:val="21"/>
          <w:lang w:val="en-US" w:eastAsia="zh-CN"/>
        </w:rPr>
        <w:t xml:space="preserve">表3-1 </w:t>
      </w:r>
    </w:p>
    <w:tbl>
      <w:tblPr>
        <w:tblStyle w:val="16"/>
        <w:tblW w:w="4999" w:type="pct"/>
        <w:tblInd w:w="0" w:type="dxa"/>
        <w:tblBorders>
          <w:top w:val="single" w:color="DEE0E3" w:sz="12" w:space="0"/>
          <w:left w:val="none" w:color="auto" w:sz="0" w:space="0"/>
          <w:bottom w:val="single" w:color="DEE0E3"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196"/>
        <w:gridCol w:w="1720"/>
        <w:gridCol w:w="2196"/>
        <w:gridCol w:w="3152"/>
      </w:tblGrid>
      <w:tr w14:paraId="7CB598B1">
        <w:tblPrEx>
          <w:tblBorders>
            <w:top w:val="single" w:color="DEE0E3" w:sz="12" w:space="0"/>
            <w:left w:val="none" w:color="auto" w:sz="0" w:space="0"/>
            <w:bottom w:val="single" w:color="DEE0E3"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1185" w:type="pct"/>
            <w:tcBorders>
              <w:top w:val="single" w:color="000000" w:sz="12" w:space="0"/>
              <w:bottom w:val="single" w:color="000000" w:sz="4" w:space="0"/>
              <w:tl2br w:val="nil"/>
            </w:tcBorders>
            <w:shd w:val="clear" w:color="auto" w:fill="FFFFFF"/>
            <w:tcMar>
              <w:top w:w="60" w:type="dxa"/>
              <w:left w:w="120" w:type="dxa"/>
              <w:bottom w:w="30" w:type="dxa"/>
              <w:right w:w="120" w:type="dxa"/>
            </w:tcMar>
            <w:vAlign w:val="center"/>
          </w:tcPr>
          <w:p w14:paraId="589CA48C">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hint="eastAsia" w:ascii="Times New Roman" w:hAnsi="Times New Roman" w:eastAsia="宋体"/>
                <w:b w:val="0"/>
                <w:color w:val="000000"/>
                <w:sz w:val="21"/>
                <w:szCs w:val="21"/>
                <w:lang w:val="en-US" w:eastAsia="zh-CN"/>
              </w:rPr>
            </w:pPr>
            <w:r>
              <w:rPr>
                <w:rFonts w:ascii="Times New Roman" w:hAnsi="Times New Roman" w:eastAsia="宋体"/>
                <w:b w:val="0"/>
                <w:color w:val="000000"/>
                <w:sz w:val="21"/>
                <w:szCs w:val="21"/>
              </w:rPr>
              <w:t>数据集</w:t>
            </w:r>
          </w:p>
        </w:tc>
        <w:tc>
          <w:tcPr>
            <w:tcW w:w="928" w:type="pct"/>
            <w:tcBorders>
              <w:top w:val="single" w:color="000000" w:sz="12" w:space="0"/>
              <w:bottom w:val="single" w:color="000000" w:sz="4" w:space="0"/>
            </w:tcBorders>
            <w:shd w:val="clear" w:color="auto" w:fill="FFFFFF"/>
            <w:tcMar>
              <w:top w:w="60" w:type="dxa"/>
              <w:left w:w="120" w:type="dxa"/>
              <w:bottom w:w="30" w:type="dxa"/>
              <w:right w:w="120" w:type="dxa"/>
            </w:tcMar>
            <w:vAlign w:val="center"/>
          </w:tcPr>
          <w:p w14:paraId="24AF74E2">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比例</w:t>
            </w:r>
          </w:p>
        </w:tc>
        <w:tc>
          <w:tcPr>
            <w:tcW w:w="1185" w:type="pct"/>
            <w:tcBorders>
              <w:top w:val="single" w:color="000000" w:sz="12" w:space="0"/>
              <w:bottom w:val="single" w:color="000000" w:sz="4" w:space="0"/>
            </w:tcBorders>
            <w:shd w:val="clear" w:color="auto" w:fill="FFFFFF"/>
            <w:tcMar>
              <w:top w:w="60" w:type="dxa"/>
              <w:left w:w="120" w:type="dxa"/>
              <w:bottom w:w="30" w:type="dxa"/>
              <w:right w:w="120" w:type="dxa"/>
            </w:tcMar>
            <w:vAlign w:val="center"/>
          </w:tcPr>
          <w:p w14:paraId="77D8E08E">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样本量</w:t>
            </w:r>
          </w:p>
        </w:tc>
        <w:tc>
          <w:tcPr>
            <w:tcW w:w="1701" w:type="pct"/>
            <w:tcBorders>
              <w:top w:val="single" w:color="000000" w:sz="12" w:space="0"/>
              <w:bottom w:val="single" w:color="000000" w:sz="4" w:space="0"/>
            </w:tcBorders>
            <w:shd w:val="clear" w:color="auto" w:fill="FFFFFF"/>
            <w:tcMar>
              <w:top w:w="60" w:type="dxa"/>
              <w:left w:w="120" w:type="dxa"/>
              <w:bottom w:w="30" w:type="dxa"/>
              <w:right w:w="120" w:type="dxa"/>
            </w:tcMar>
            <w:vAlign w:val="center"/>
          </w:tcPr>
          <w:p w14:paraId="2A768F2F">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用途</w:t>
            </w:r>
          </w:p>
        </w:tc>
      </w:tr>
      <w:tr w14:paraId="1E07C59D">
        <w:tblPrEx>
          <w:tblBorders>
            <w:top w:val="single" w:color="DEE0E3" w:sz="12" w:space="0"/>
            <w:left w:val="none" w:color="auto" w:sz="0" w:space="0"/>
            <w:bottom w:val="single" w:color="DEE0E3"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1185" w:type="pct"/>
            <w:tcBorders>
              <w:top w:val="single" w:color="000000" w:sz="4" w:space="0"/>
              <w:bottom w:val="nil"/>
            </w:tcBorders>
            <w:shd w:val="clear" w:color="auto" w:fill="FFFFFF"/>
            <w:tcMar>
              <w:top w:w="60" w:type="dxa"/>
              <w:left w:w="120" w:type="dxa"/>
              <w:bottom w:w="30" w:type="dxa"/>
              <w:right w:w="120" w:type="dxa"/>
            </w:tcMar>
            <w:vAlign w:val="center"/>
          </w:tcPr>
          <w:p w14:paraId="12C8C955">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训练集</w:t>
            </w:r>
          </w:p>
        </w:tc>
        <w:tc>
          <w:tcPr>
            <w:tcW w:w="928" w:type="pct"/>
            <w:tcBorders>
              <w:top w:val="single" w:color="000000" w:sz="4" w:space="0"/>
              <w:bottom w:val="nil"/>
            </w:tcBorders>
            <w:shd w:val="clear" w:color="auto" w:fill="FFFFFF"/>
            <w:tcMar>
              <w:top w:w="60" w:type="dxa"/>
              <w:left w:w="120" w:type="dxa"/>
              <w:bottom w:w="30" w:type="dxa"/>
              <w:right w:w="120" w:type="dxa"/>
            </w:tcMar>
            <w:vAlign w:val="center"/>
          </w:tcPr>
          <w:p w14:paraId="6DC09C32">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70%</w:t>
            </w:r>
          </w:p>
        </w:tc>
        <w:tc>
          <w:tcPr>
            <w:tcW w:w="1185" w:type="pct"/>
            <w:tcBorders>
              <w:top w:val="single" w:color="000000" w:sz="4" w:space="0"/>
              <w:bottom w:val="nil"/>
            </w:tcBorders>
            <w:shd w:val="clear" w:color="auto" w:fill="FFFFFF"/>
            <w:tcMar>
              <w:top w:w="60" w:type="dxa"/>
              <w:left w:w="120" w:type="dxa"/>
              <w:bottom w:w="30" w:type="dxa"/>
              <w:right w:w="120" w:type="dxa"/>
            </w:tcMar>
            <w:vAlign w:val="center"/>
          </w:tcPr>
          <w:p w14:paraId="38C6BB89">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37198</w:t>
            </w:r>
          </w:p>
        </w:tc>
        <w:tc>
          <w:tcPr>
            <w:tcW w:w="1701" w:type="pct"/>
            <w:tcBorders>
              <w:top w:val="single" w:color="000000" w:sz="4" w:space="0"/>
              <w:bottom w:val="nil"/>
            </w:tcBorders>
            <w:shd w:val="clear" w:color="auto" w:fill="FFFFFF"/>
            <w:tcMar>
              <w:top w:w="60" w:type="dxa"/>
              <w:left w:w="120" w:type="dxa"/>
              <w:bottom w:w="30" w:type="dxa"/>
              <w:right w:w="120" w:type="dxa"/>
            </w:tcMar>
            <w:vAlign w:val="center"/>
          </w:tcPr>
          <w:p w14:paraId="3E87A452">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模型训练</w:t>
            </w:r>
          </w:p>
        </w:tc>
      </w:tr>
      <w:tr w14:paraId="784896E7">
        <w:tblPrEx>
          <w:tblBorders>
            <w:top w:val="single" w:color="DEE0E3" w:sz="12" w:space="0"/>
            <w:left w:val="none" w:color="auto" w:sz="0" w:space="0"/>
            <w:bottom w:val="single" w:color="DEE0E3"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1185" w:type="pct"/>
            <w:tcBorders>
              <w:top w:val="nil"/>
              <w:bottom w:val="nil"/>
            </w:tcBorders>
            <w:shd w:val="clear" w:color="auto" w:fill="FFFFFF"/>
            <w:tcMar>
              <w:top w:w="60" w:type="dxa"/>
              <w:left w:w="120" w:type="dxa"/>
              <w:bottom w:w="30" w:type="dxa"/>
              <w:right w:w="120" w:type="dxa"/>
            </w:tcMar>
            <w:vAlign w:val="center"/>
          </w:tcPr>
          <w:p w14:paraId="320E0F77">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验证集</w:t>
            </w:r>
          </w:p>
        </w:tc>
        <w:tc>
          <w:tcPr>
            <w:tcW w:w="928" w:type="pct"/>
            <w:tcBorders>
              <w:top w:val="nil"/>
              <w:bottom w:val="nil"/>
            </w:tcBorders>
            <w:shd w:val="clear" w:color="auto" w:fill="FFFFFF"/>
            <w:tcMar>
              <w:top w:w="60" w:type="dxa"/>
              <w:left w:w="120" w:type="dxa"/>
              <w:bottom w:w="30" w:type="dxa"/>
              <w:right w:w="120" w:type="dxa"/>
            </w:tcMar>
            <w:vAlign w:val="center"/>
          </w:tcPr>
          <w:p w14:paraId="3F518EC0">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15%</w:t>
            </w:r>
          </w:p>
        </w:tc>
        <w:tc>
          <w:tcPr>
            <w:tcW w:w="1185" w:type="pct"/>
            <w:tcBorders>
              <w:top w:val="nil"/>
              <w:bottom w:val="nil"/>
            </w:tcBorders>
            <w:shd w:val="clear" w:color="auto" w:fill="FFFFFF"/>
            <w:tcMar>
              <w:top w:w="60" w:type="dxa"/>
              <w:left w:w="120" w:type="dxa"/>
              <w:bottom w:w="30" w:type="dxa"/>
              <w:right w:w="120" w:type="dxa"/>
            </w:tcMar>
            <w:vAlign w:val="center"/>
          </w:tcPr>
          <w:p w14:paraId="05A353F7">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7971</w:t>
            </w:r>
          </w:p>
        </w:tc>
        <w:tc>
          <w:tcPr>
            <w:tcW w:w="1701" w:type="pct"/>
            <w:tcBorders>
              <w:top w:val="nil"/>
              <w:bottom w:val="nil"/>
            </w:tcBorders>
            <w:shd w:val="clear" w:color="auto" w:fill="FFFFFF"/>
            <w:tcMar>
              <w:top w:w="60" w:type="dxa"/>
              <w:left w:w="120" w:type="dxa"/>
              <w:bottom w:w="30" w:type="dxa"/>
              <w:right w:w="120" w:type="dxa"/>
            </w:tcMar>
            <w:vAlign w:val="center"/>
          </w:tcPr>
          <w:p w14:paraId="36F104F3">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超参数调优</w:t>
            </w:r>
          </w:p>
        </w:tc>
      </w:tr>
      <w:tr w14:paraId="64EEB2F0">
        <w:tblPrEx>
          <w:tblBorders>
            <w:top w:val="single" w:color="DEE0E3" w:sz="12" w:space="0"/>
            <w:left w:val="none" w:color="auto" w:sz="0" w:space="0"/>
            <w:bottom w:val="single" w:color="DEE0E3"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1185" w:type="pct"/>
            <w:tcBorders>
              <w:top w:val="nil"/>
              <w:bottom w:val="single" w:color="000000" w:sz="12" w:space="0"/>
            </w:tcBorders>
            <w:shd w:val="clear" w:color="auto" w:fill="FFFFFF"/>
            <w:tcMar>
              <w:top w:w="60" w:type="dxa"/>
              <w:left w:w="120" w:type="dxa"/>
              <w:bottom w:w="30" w:type="dxa"/>
              <w:right w:w="120" w:type="dxa"/>
            </w:tcMar>
            <w:vAlign w:val="center"/>
          </w:tcPr>
          <w:p w14:paraId="3FBDA859">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测试集</w:t>
            </w:r>
          </w:p>
        </w:tc>
        <w:tc>
          <w:tcPr>
            <w:tcW w:w="928" w:type="pct"/>
            <w:tcBorders>
              <w:top w:val="nil"/>
              <w:bottom w:val="single" w:color="000000" w:sz="12" w:space="0"/>
            </w:tcBorders>
            <w:shd w:val="clear" w:color="auto" w:fill="FFFFFF"/>
            <w:tcMar>
              <w:top w:w="60" w:type="dxa"/>
              <w:left w:w="120" w:type="dxa"/>
              <w:bottom w:w="30" w:type="dxa"/>
              <w:right w:w="120" w:type="dxa"/>
            </w:tcMar>
            <w:vAlign w:val="center"/>
          </w:tcPr>
          <w:p w14:paraId="617FE711">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15%</w:t>
            </w:r>
          </w:p>
        </w:tc>
        <w:tc>
          <w:tcPr>
            <w:tcW w:w="1185" w:type="pct"/>
            <w:tcBorders>
              <w:top w:val="nil"/>
              <w:bottom w:val="single" w:color="000000" w:sz="12" w:space="0"/>
            </w:tcBorders>
            <w:shd w:val="clear" w:color="auto" w:fill="FFFFFF"/>
            <w:tcMar>
              <w:top w:w="60" w:type="dxa"/>
              <w:left w:w="120" w:type="dxa"/>
              <w:bottom w:w="30" w:type="dxa"/>
              <w:right w:w="120" w:type="dxa"/>
            </w:tcMar>
            <w:vAlign w:val="center"/>
          </w:tcPr>
          <w:p w14:paraId="35C22B25">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7971</w:t>
            </w:r>
          </w:p>
        </w:tc>
        <w:tc>
          <w:tcPr>
            <w:tcW w:w="1701" w:type="pct"/>
            <w:tcBorders>
              <w:top w:val="nil"/>
              <w:bottom w:val="single" w:color="000000" w:sz="12" w:space="0"/>
            </w:tcBorders>
            <w:shd w:val="clear" w:color="auto" w:fill="FFFFFF"/>
            <w:tcMar>
              <w:top w:w="60" w:type="dxa"/>
              <w:left w:w="120" w:type="dxa"/>
              <w:bottom w:w="30" w:type="dxa"/>
              <w:right w:w="120" w:type="dxa"/>
            </w:tcMar>
            <w:vAlign w:val="center"/>
          </w:tcPr>
          <w:p w14:paraId="33EE1906">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b w:val="0"/>
                <w:color w:val="000000"/>
                <w:sz w:val="21"/>
                <w:szCs w:val="21"/>
              </w:rPr>
            </w:pPr>
            <w:r>
              <w:rPr>
                <w:rFonts w:ascii="Times New Roman" w:hAnsi="Times New Roman" w:eastAsia="宋体"/>
                <w:b w:val="0"/>
                <w:color w:val="000000"/>
                <w:sz w:val="21"/>
                <w:szCs w:val="21"/>
              </w:rPr>
              <w:t>性能评估</w:t>
            </w:r>
          </w:p>
        </w:tc>
      </w:tr>
    </w:tbl>
    <w:p w14:paraId="7806F7B1">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24" w:name="_Toc5132"/>
      <w:r>
        <w:rPr>
          <w:rFonts w:ascii="Times New Roman" w:hAnsi="Times New Roman" w:eastAsia="宋体" w:cs="Times New Roman"/>
          <w:kern w:val="2"/>
          <w:sz w:val="30"/>
          <w:szCs w:val="30"/>
          <w:lang w:val="en-US" w:eastAsia="zh-CN" w:bidi="ar-SA"/>
        </w:rPr>
        <w:t>3.</w:t>
      </w:r>
      <w:r>
        <w:rPr>
          <w:rFonts w:hint="eastAsia" w:ascii="Times New Roman" w:hAnsi="Times New Roman" w:eastAsia="宋体" w:cs="Times New Roman"/>
          <w:kern w:val="2"/>
          <w:sz w:val="30"/>
          <w:szCs w:val="30"/>
          <w:lang w:val="en-US" w:eastAsia="zh-CN" w:bidi="ar-SA"/>
        </w:rPr>
        <w:t>3</w:t>
      </w:r>
      <w:r>
        <w:rPr>
          <w:rFonts w:ascii="Times New Roman" w:hAnsi="Times New Roman" w:eastAsia="宋体" w:cs="Times New Roman"/>
          <w:kern w:val="2"/>
          <w:sz w:val="30"/>
          <w:szCs w:val="30"/>
          <w:lang w:val="en-US" w:eastAsia="zh-CN" w:bidi="ar-SA"/>
        </w:rPr>
        <w:t xml:space="preserve"> </w:t>
      </w:r>
      <w:r>
        <w:rPr>
          <w:rFonts w:hint="eastAsia" w:ascii="Times New Roman" w:hAnsi="Times New Roman" w:eastAsia="宋体" w:cs="Times New Roman"/>
          <w:kern w:val="2"/>
          <w:sz w:val="30"/>
          <w:szCs w:val="30"/>
          <w:lang w:val="en-US" w:eastAsia="zh-CN" w:bidi="ar-SA"/>
        </w:rPr>
        <w:t>中药材图像数据增强</w:t>
      </w:r>
      <w:bookmarkEnd w:id="24"/>
    </w:p>
    <w:p w14:paraId="66634C80">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数据增强旨在通过对原始图像进行各种变换和处理，生成更多的训练样本，从而提高模型的泛化能力和鲁棒性。常见的数据增强方式包括仿射变换、色调变换、噪声和部分遮挡等，此类变换可扩充原始数据集，使模型能够学习到更多场景下的特征，帮助模型更好地适应真实世界中的复杂情况。相比于图像分类，目标检测中的数据增强边界框位置应随图像的变换而变换，边界框可通过左上角和右下角的点记录，在图像变化的同时边界框上的点也随之变化即可实现目标检测的数据增强。本章通过对训练数据进行一系列的变换，以模拟真实目标检测中可能出现的场景，增加训练样本的多样性和数量，使模型在面对真实场景时有更强的适应能力。考虑现实场景，对图像及其标注信息采用翻转、添加噪声、调整亮度和缩放拼接方式增强数据，模拟目标检测任务中可能出现的场景。</w:t>
      </w:r>
    </w:p>
    <w:p w14:paraId="2167579A">
      <w:pPr>
        <w:pStyle w:val="4"/>
        <w:keepNext w:val="0"/>
        <w:keepLines w:val="0"/>
        <w:widowControl w:val="0"/>
        <w:spacing w:before="0" w:after="0" w:line="312" w:lineRule="auto"/>
        <w:ind w:left="0"/>
        <w:jc w:val="both"/>
        <w:rPr>
          <w:rFonts w:hint="eastAsia" w:ascii="Times New Roman" w:hAnsi="Times New Roman" w:eastAsia="宋体" w:cs="Times New Roman"/>
          <w:b/>
          <w:kern w:val="2"/>
          <w:sz w:val="28"/>
          <w:szCs w:val="28"/>
          <w:lang w:val="en-US" w:eastAsia="zh-CN" w:bidi="ar-SA"/>
        </w:rPr>
      </w:pPr>
      <w:bookmarkStart w:id="25" w:name="_Toc14193"/>
      <w:r>
        <w:rPr>
          <w:rFonts w:ascii="Times New Roman" w:hAnsi="Times New Roman" w:eastAsia="宋体" w:cs="Times New Roman"/>
          <w:b/>
          <w:kern w:val="2"/>
          <w:sz w:val="28"/>
          <w:szCs w:val="28"/>
          <w:lang w:val="en-US" w:eastAsia="zh-CN" w:bidi="ar-SA"/>
        </w:rPr>
        <w:t>3.</w:t>
      </w:r>
      <w:r>
        <w:rPr>
          <w:rFonts w:hint="eastAsia" w:ascii="Times New Roman" w:hAnsi="Times New Roman" w:eastAsia="宋体" w:cs="Times New Roman"/>
          <w:b/>
          <w:kern w:val="2"/>
          <w:sz w:val="28"/>
          <w:szCs w:val="28"/>
          <w:lang w:val="en-US" w:eastAsia="zh-CN" w:bidi="ar-SA"/>
        </w:rPr>
        <w:t>3.1</w:t>
      </w:r>
      <w:r>
        <w:rPr>
          <w:rFonts w:ascii="Times New Roman" w:hAnsi="Times New Roman" w:eastAsia="宋体" w:cs="Times New Roman"/>
          <w:b/>
          <w:kern w:val="2"/>
          <w:sz w:val="28"/>
          <w:szCs w:val="28"/>
          <w:lang w:val="en-US" w:eastAsia="zh-CN" w:bidi="ar-SA"/>
        </w:rPr>
        <w:t xml:space="preserve"> </w:t>
      </w:r>
      <w:r>
        <w:rPr>
          <w:rFonts w:hint="eastAsia" w:ascii="Times New Roman" w:hAnsi="Times New Roman" w:eastAsia="宋体" w:cs="Times New Roman"/>
          <w:b/>
          <w:kern w:val="2"/>
          <w:sz w:val="28"/>
          <w:szCs w:val="28"/>
          <w:lang w:val="en-US" w:eastAsia="zh-CN" w:bidi="ar-SA"/>
        </w:rPr>
        <w:t>图像翻转</w:t>
      </w:r>
      <w:bookmarkEnd w:id="25"/>
    </w:p>
    <w:p w14:paraId="7515A7D4">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在目标检测数据增强中对图像进行几何变换时，边界框位置应随图像变化而变化。使用水平翻转方式增强数据时，边界框纵坐标不变，横坐标为图像宽度减去原横坐标，水平翻转如图3-3(b)所示。使用垂直翻转方法增强数据时，边界框横坐标不变，纵坐标为图像高度减去原纵坐标，垂直翻转如图3-3(c)所示。</w:t>
      </w:r>
    </w:p>
    <w:p w14:paraId="1E57C499">
      <w:pPr>
        <w:jc w:val="center"/>
      </w:pPr>
      <w:r>
        <w:drawing>
          <wp:inline distT="0" distB="0" distL="114300" distR="114300">
            <wp:extent cx="5728335" cy="1594485"/>
            <wp:effectExtent l="0" t="0" r="2540"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6"/>
                    <a:stretch>
                      <a:fillRect/>
                    </a:stretch>
                  </pic:blipFill>
                  <pic:spPr>
                    <a:xfrm>
                      <a:off x="0" y="0"/>
                      <a:ext cx="5728335" cy="1594485"/>
                    </a:xfrm>
                    <a:prstGeom prst="rect">
                      <a:avLst/>
                    </a:prstGeom>
                    <a:noFill/>
                    <a:ln>
                      <a:noFill/>
                    </a:ln>
                  </pic:spPr>
                </pic:pic>
              </a:graphicData>
            </a:graphic>
          </wp:inline>
        </w:drawing>
      </w:r>
    </w:p>
    <w:p w14:paraId="7390932C">
      <w:pPr>
        <w:jc w:val="center"/>
        <w:rPr>
          <w:rFonts w:hint="default" w:eastAsia="宋体"/>
          <w:b/>
          <w:bCs/>
          <w:lang w:val="en-US" w:eastAsia="zh-CN"/>
        </w:rPr>
      </w:pPr>
      <w:r>
        <w:rPr>
          <w:rFonts w:hint="eastAsia"/>
          <w:b/>
          <w:bCs/>
          <w:lang w:val="en-US" w:eastAsia="zh-CN"/>
        </w:rPr>
        <w:t xml:space="preserve">图3-3 </w:t>
      </w:r>
    </w:p>
    <w:p w14:paraId="3567B13F">
      <w:pPr>
        <w:pStyle w:val="4"/>
        <w:keepNext w:val="0"/>
        <w:keepLines w:val="0"/>
        <w:widowControl w:val="0"/>
        <w:spacing w:before="0" w:after="0" w:line="312" w:lineRule="auto"/>
        <w:ind w:left="0"/>
        <w:jc w:val="both"/>
        <w:rPr>
          <w:rFonts w:hint="default" w:ascii="Times New Roman" w:hAnsi="Times New Roman" w:eastAsia="宋体" w:cs="Times New Roman"/>
          <w:b/>
          <w:kern w:val="2"/>
          <w:sz w:val="28"/>
          <w:szCs w:val="28"/>
          <w:lang w:val="en-US" w:eastAsia="zh-CN" w:bidi="ar-SA"/>
        </w:rPr>
      </w:pPr>
      <w:bookmarkStart w:id="26" w:name="_Toc15380"/>
      <w:r>
        <w:rPr>
          <w:rFonts w:ascii="Times New Roman" w:hAnsi="Times New Roman" w:eastAsia="宋体" w:cs="Times New Roman"/>
          <w:b/>
          <w:kern w:val="2"/>
          <w:sz w:val="28"/>
          <w:szCs w:val="28"/>
          <w:lang w:val="en-US" w:eastAsia="zh-CN" w:bidi="ar-SA"/>
        </w:rPr>
        <w:t>3.</w:t>
      </w:r>
      <w:r>
        <w:rPr>
          <w:rFonts w:hint="eastAsia" w:ascii="Times New Roman" w:hAnsi="Times New Roman" w:eastAsia="宋体" w:cs="Times New Roman"/>
          <w:b/>
          <w:kern w:val="2"/>
          <w:sz w:val="28"/>
          <w:szCs w:val="28"/>
          <w:lang w:val="en-US" w:eastAsia="zh-CN" w:bidi="ar-SA"/>
        </w:rPr>
        <w:t>3.2</w:t>
      </w:r>
      <w:r>
        <w:rPr>
          <w:rFonts w:ascii="Times New Roman" w:hAnsi="Times New Roman" w:eastAsia="宋体" w:cs="Times New Roman"/>
          <w:b/>
          <w:kern w:val="2"/>
          <w:sz w:val="28"/>
          <w:szCs w:val="28"/>
          <w:lang w:val="en-US" w:eastAsia="zh-CN" w:bidi="ar-SA"/>
        </w:rPr>
        <w:t xml:space="preserve"> </w:t>
      </w:r>
      <w:r>
        <w:rPr>
          <w:rFonts w:hint="eastAsia" w:ascii="Times New Roman" w:hAnsi="Times New Roman" w:eastAsia="宋体" w:cs="Times New Roman"/>
          <w:b/>
          <w:kern w:val="2"/>
          <w:sz w:val="28"/>
          <w:szCs w:val="28"/>
          <w:lang w:val="en-US" w:eastAsia="zh-CN" w:bidi="ar-SA"/>
        </w:rPr>
        <w:t>色调转换</w:t>
      </w:r>
      <w:bookmarkEnd w:id="26"/>
    </w:p>
    <w:p w14:paraId="7B4A39DD">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色调变换和噪声都是像素级变换，在变换时图像边界框的位置不会发生变化。常用的色调变换是调整图像的对比度、饱和度和亮度，通过色调变换模拟在不同光照和天气情况拍摄得到图像，增加数据集的多样性。常用的图像噪声类型包括高斯噪声、椒盐噪声和马赛克噪声，每种噪声都会对图像的特性和外观产生不同的影响，通过添加噪声模拟不同环境下拍摄得到图像，以增加数据集的多样性，从而提高模型的鲁棒性。高斯噪声是给每个像素设置一个随机值并与原数值相加，该随机值服从均值为 0 标准差为 σ 的正态分布随机值。高斯噪声的强度由 σ 控制，σ 越大噪声越强。椒盐噪声是随机地将图像中的像素变为黑像素点或白像素点，黑像素点和白像素点出现概率越高噪声越强。马赛克噪声是将图像划分为大小相同的块，对每个块内像素值替换为平均值，马赛克块越大噪声越强。</w:t>
      </w:r>
    </w:p>
    <w:p w14:paraId="2DEF7FDB">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27" w:name="_Toc21351"/>
      <w:r>
        <w:rPr>
          <w:rFonts w:ascii="Times New Roman" w:hAnsi="Times New Roman" w:eastAsia="宋体" w:cs="Times New Roman"/>
          <w:kern w:val="2"/>
          <w:sz w:val="30"/>
          <w:szCs w:val="30"/>
          <w:lang w:val="en-US" w:eastAsia="zh-CN" w:bidi="ar-SA"/>
        </w:rPr>
        <w:t>3.</w:t>
      </w:r>
      <w:r>
        <w:rPr>
          <w:rFonts w:hint="eastAsia" w:ascii="Times New Roman" w:hAnsi="Times New Roman" w:eastAsia="宋体" w:cs="Times New Roman"/>
          <w:kern w:val="2"/>
          <w:sz w:val="30"/>
          <w:szCs w:val="30"/>
          <w:lang w:val="en-US" w:eastAsia="zh-CN" w:bidi="ar-SA"/>
        </w:rPr>
        <w:t>4</w:t>
      </w:r>
      <w:r>
        <w:rPr>
          <w:rFonts w:ascii="Times New Roman" w:hAnsi="Times New Roman" w:eastAsia="宋体" w:cs="Times New Roman"/>
          <w:kern w:val="2"/>
          <w:sz w:val="30"/>
          <w:szCs w:val="30"/>
          <w:lang w:val="en-US" w:eastAsia="zh-CN" w:bidi="ar-SA"/>
        </w:rPr>
        <w:t xml:space="preserve"> </w:t>
      </w:r>
      <w:r>
        <w:rPr>
          <w:rFonts w:hint="eastAsia" w:ascii="Times New Roman" w:hAnsi="Times New Roman" w:eastAsia="宋体" w:cs="Times New Roman"/>
          <w:kern w:val="2"/>
          <w:sz w:val="30"/>
          <w:szCs w:val="30"/>
          <w:lang w:val="en-US" w:eastAsia="zh-CN" w:bidi="ar-SA"/>
        </w:rPr>
        <w:t>图像数据预处理</w:t>
      </w:r>
      <w:bookmarkEnd w:id="27"/>
    </w:p>
    <w:p w14:paraId="45B65D62">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未经过处理的中药材数据集往往存在着噪声信息，影响着网络模型的识别性能。通过对中药材图像进行预处理，能够保存更有效的数据信息，提高网络的识别效率，便于对中药材图像的检测，同时使用图像调整策略和数据扩充方法对中药材数据进行扩充，将图像调整到适合网络模型大小的尺寸，防止在训练网络模型中出现过拟合现象，降低网络冗余度，优化网络模型结构。然后将预处理的图像进行去噪和数据增广操作，最后构成训练集。</w:t>
      </w:r>
    </w:p>
    <w:p w14:paraId="20D868F7">
      <w:pPr>
        <w:jc w:val="center"/>
      </w:pPr>
      <w:r>
        <w:drawing>
          <wp:inline distT="0" distB="0" distL="114300" distR="114300">
            <wp:extent cx="5726430" cy="2455545"/>
            <wp:effectExtent l="0" t="0" r="4445" b="508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7"/>
                    <a:stretch>
                      <a:fillRect/>
                    </a:stretch>
                  </pic:blipFill>
                  <pic:spPr>
                    <a:xfrm>
                      <a:off x="0" y="0"/>
                      <a:ext cx="5726430" cy="2455545"/>
                    </a:xfrm>
                    <a:prstGeom prst="rect">
                      <a:avLst/>
                    </a:prstGeom>
                    <a:noFill/>
                    <a:ln>
                      <a:noFill/>
                    </a:ln>
                  </pic:spPr>
                </pic:pic>
              </a:graphicData>
            </a:graphic>
          </wp:inline>
        </w:drawing>
      </w:r>
    </w:p>
    <w:p w14:paraId="25823F0B">
      <w:pPr>
        <w:jc w:val="center"/>
        <w:rPr>
          <w:rFonts w:hint="default" w:eastAsia="宋体"/>
          <w:b/>
          <w:bCs/>
          <w:lang w:val="en-US" w:eastAsia="zh-CN"/>
        </w:rPr>
      </w:pPr>
      <w:r>
        <w:rPr>
          <w:rFonts w:hint="eastAsia"/>
          <w:b/>
          <w:bCs/>
          <w:lang w:val="en-US" w:eastAsia="zh-CN"/>
        </w:rPr>
        <w:t xml:space="preserve">图3-4 </w:t>
      </w:r>
    </w:p>
    <w:p w14:paraId="764BBBA8">
      <w:pPr>
        <w:pStyle w:val="4"/>
        <w:keepNext w:val="0"/>
        <w:keepLines w:val="0"/>
        <w:widowControl w:val="0"/>
        <w:spacing w:before="0" w:after="0" w:line="312" w:lineRule="auto"/>
        <w:ind w:left="0"/>
        <w:jc w:val="both"/>
        <w:rPr>
          <w:rFonts w:hint="eastAsia" w:ascii="Times New Roman" w:hAnsi="Times New Roman" w:eastAsia="宋体" w:cs="Times New Roman"/>
          <w:b/>
          <w:kern w:val="2"/>
          <w:sz w:val="28"/>
          <w:szCs w:val="28"/>
          <w:lang w:val="en-US" w:eastAsia="zh-CN" w:bidi="ar-SA"/>
        </w:rPr>
      </w:pPr>
      <w:bookmarkStart w:id="28" w:name="_Toc2214"/>
      <w:r>
        <w:rPr>
          <w:rFonts w:hint="eastAsia" w:ascii="Times New Roman" w:hAnsi="Times New Roman" w:eastAsia="宋体" w:cs="Times New Roman"/>
          <w:b/>
          <w:kern w:val="2"/>
          <w:sz w:val="28"/>
          <w:szCs w:val="28"/>
          <w:lang w:val="en-US" w:eastAsia="zh-CN" w:bidi="ar-SA"/>
        </w:rPr>
        <w:t>3.4.1 图像数据归一化</w:t>
      </w:r>
      <w:bookmarkEnd w:id="28"/>
    </w:p>
    <w:p w14:paraId="4EAA9812">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图像归一化的方法有多种，常见的方法有线性函数转换法、对数转化法、反余切函数转化法，本文采用线性函数转化法，利用 python 内置的 PIL 库，使用 img.resize()函数对读取到的中药材图像设置尺寸的大小，统一调整为224*224*3，完成对搜集到的中药材图像大小的归一化处理，并将归一化处理好的图像存放到训练集文件夹。相较于其他方法，线性函数转化法在计算时不涉及距离度量和协方差，转换方法比较简单，适合对中药材图像进行归一化。</w:t>
      </w:r>
    </w:p>
    <w:p w14:paraId="55E4AA0E">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29" w:name="_Toc30327"/>
      <w:r>
        <w:rPr>
          <w:rFonts w:hint="eastAsia" w:ascii="Times New Roman" w:hAnsi="Times New Roman" w:eastAsia="宋体" w:cs="Times New Roman"/>
          <w:kern w:val="2"/>
          <w:sz w:val="30"/>
          <w:szCs w:val="30"/>
          <w:lang w:val="en-US" w:eastAsia="zh-CN" w:bidi="ar-SA"/>
        </w:rPr>
        <w:t>3.5 数据集整合</w:t>
      </w:r>
      <w:bookmarkEnd w:id="29"/>
    </w:p>
    <w:p w14:paraId="77E17669">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通过药材铺实地拍摄20类中药材，每种图片数量在200张左右数量充足。在保证图片质量的前提下，将不符合要求的图像进行删除，其余图像进行分类并标注，最后通过数据预处理和数据增强，扩充数据集规模，扩充后的中药材数据集数量为53140张26类的中药材图像，训练集37198张，测试集7971张，验证集7971张，类别间数量相对均衡，数据量得到初步保证，满足了深度神经网络训练的要求，图像数据集类别数量分布情况如图3-5。</w:t>
      </w:r>
    </w:p>
    <w:p w14:paraId="6D62055B">
      <w:pPr>
        <w:jc w:val="center"/>
      </w:pPr>
      <w:r>
        <w:drawing>
          <wp:inline distT="0" distB="0" distL="114300" distR="114300">
            <wp:extent cx="4694555" cy="2672715"/>
            <wp:effectExtent l="4445" t="5080" r="6350" b="8255"/>
            <wp:docPr id="12"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C7822E2">
      <w:pPr>
        <w:jc w:val="center"/>
        <w:rPr>
          <w:rFonts w:hint="default" w:eastAsia="宋体"/>
          <w:b/>
          <w:bCs/>
          <w:lang w:val="en-US" w:eastAsia="zh-CN"/>
        </w:rPr>
      </w:pPr>
      <w:r>
        <w:rPr>
          <w:rFonts w:hint="eastAsia"/>
          <w:b/>
          <w:bCs/>
          <w:lang w:val="en-US" w:eastAsia="zh-CN"/>
        </w:rPr>
        <w:t xml:space="preserve">图3-5 </w:t>
      </w:r>
    </w:p>
    <w:p w14:paraId="5FCBD6C6">
      <w:pPr>
        <w:rPr>
          <w:rFonts w:hint="eastAsia"/>
          <w:lang w:val="en-US" w:eastAsia="zh-CN"/>
        </w:rPr>
      </w:pPr>
      <w:r>
        <w:rPr>
          <w:rFonts w:hint="eastAsia"/>
          <w:lang w:val="en-US" w:eastAsia="zh-CN"/>
        </w:rPr>
        <w:br w:type="page"/>
      </w:r>
    </w:p>
    <w:p w14:paraId="14E409DF">
      <w:pPr>
        <w:pStyle w:val="3"/>
        <w:keepNext w:val="0"/>
        <w:keepLines w:val="0"/>
        <w:pageBreakBefore w:val="0"/>
        <w:widowControl/>
        <w:kinsoku/>
        <w:wordWrap/>
        <w:overflowPunct/>
        <w:topLinePunct w:val="0"/>
        <w:autoSpaceDE/>
        <w:autoSpaceDN/>
        <w:bidi w:val="0"/>
        <w:adjustRightInd/>
        <w:snapToGrid/>
        <w:spacing w:before="0" w:after="0" w:line="312" w:lineRule="auto"/>
        <w:jc w:val="center"/>
        <w:textAlignment w:val="auto"/>
        <w:outlineLvl w:val="0"/>
        <w:rPr>
          <w:rFonts w:ascii="Times New Roman" w:hAnsi="Times New Roman" w:eastAsia="宋体"/>
          <w:b/>
          <w:bCs/>
          <w:color w:val="auto"/>
          <w:sz w:val="36"/>
        </w:rPr>
      </w:pPr>
      <w:bookmarkStart w:id="30" w:name="_Toc18122"/>
      <w:r>
        <w:rPr>
          <w:rFonts w:ascii="Times New Roman" w:hAnsi="Times New Roman" w:eastAsia="宋体"/>
          <w:b/>
          <w:bCs/>
          <w:color w:val="auto"/>
          <w:sz w:val="36"/>
        </w:rPr>
        <w:t>4</w:t>
      </w:r>
      <w:r>
        <w:rPr>
          <w:rFonts w:hint="eastAsia" w:ascii="Times New Roman" w:hAnsi="Times New Roman" w:eastAsia="宋体"/>
          <w:b/>
          <w:bCs/>
          <w:color w:val="auto"/>
          <w:sz w:val="36"/>
          <w:lang w:val="en-US" w:eastAsia="zh-CN"/>
        </w:rPr>
        <w:t>模型建立</w:t>
      </w:r>
      <w:bookmarkEnd w:id="30"/>
    </w:p>
    <w:p w14:paraId="7900878C">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31" w:name="_Toc301"/>
      <w:r>
        <w:rPr>
          <w:rFonts w:hint="eastAsia" w:ascii="Times New Roman" w:hAnsi="Times New Roman" w:eastAsia="宋体" w:cs="Times New Roman"/>
          <w:kern w:val="2"/>
          <w:sz w:val="30"/>
          <w:szCs w:val="30"/>
          <w:lang w:val="en-US" w:eastAsia="zh-CN" w:bidi="ar-SA"/>
        </w:rPr>
        <w:t>4.1 改进的 EfficientNetV2 模型</w:t>
      </w:r>
      <w:bookmarkEnd w:id="31"/>
    </w:p>
    <w:p w14:paraId="390EADC1">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本研究针对中药材图像的复杂纹理与细微特征差异，基于 EfficientNetV2B0 轻量级架构进行改进，设计了分层式识别模型，包含特征提取层、注意力机制层与分类层三个核心模块，在保证计算效率的同时强化特征表征能力。</w:t>
      </w:r>
    </w:p>
    <w:p w14:paraId="0B75CD8C">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32" w:name="_Toc9695"/>
      <w:r>
        <w:rPr>
          <w:rFonts w:hint="eastAsia" w:ascii="Times New Roman" w:hAnsi="Times New Roman" w:eastAsia="宋体" w:cs="Times New Roman"/>
          <w:kern w:val="2"/>
          <w:sz w:val="30"/>
          <w:szCs w:val="30"/>
          <w:lang w:val="en-US" w:eastAsia="zh-CN" w:bidi="ar-SA"/>
        </w:rPr>
        <w:t>4.2 特征提取层</w:t>
      </w:r>
      <w:bookmarkEnd w:id="32"/>
    </w:p>
    <w:p w14:paraId="7E3D4624">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特征提取层以 EfficientNetV2B0 主干网络为基础，通过轻量化卷积操作实现多尺度特征提取：​</w:t>
      </w:r>
    </w:p>
    <w:p w14:paraId="7A149BF6">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初始卷积层采用3×3卷积核构建首层特征提取单元，输入为224×224×3的 RGB 图像，通过步长为2的卷积操作将空间分辨率降为 112×112，输出32通道特征图。引入 SiLU 激活函数替代传统 ReLU，其平滑特性有效缓解梯度消失问题，提升非线性表达能力。​</w:t>
      </w:r>
    </w:p>
    <w:p w14:paraId="1444D91C">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MBConv 模块构建深度可分离卷积单元（Depthwise Separable Convolution），通过 "深度卷积 + 逐点卷积" 的分层操作降低计算复杂度。模块集成通道扩展 - 压缩机制（Expansion-Compression），先通过1×1卷积将通道数扩展至输入维度的expansion_factor倍（典型值为 4），经深度卷积提取空间特征后，再通过逐点卷积压缩至目标通道数。残差连接（Residual Connection）的引入有效缓解梯度退化，支持网络深度扩展。特别地，模块嵌入轻量化注意力机制，实现对关键特征的自适应选择。</w:t>
      </w:r>
    </w:p>
    <w:p w14:paraId="510C94CA">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33" w:name="_Toc31340"/>
      <w:r>
        <w:rPr>
          <w:rFonts w:hint="eastAsia" w:ascii="Times New Roman" w:hAnsi="Times New Roman" w:eastAsia="宋体" w:cs="Times New Roman"/>
          <w:kern w:val="2"/>
          <w:sz w:val="30"/>
          <w:szCs w:val="30"/>
          <w:lang w:val="en-US" w:eastAsia="zh-CN" w:bidi="ar-SA"/>
        </w:rPr>
        <w:t>4.3 注意力机制层</w:t>
      </w:r>
      <w:bookmarkEnd w:id="33"/>
    </w:p>
    <w:p w14:paraId="6F5B6A61">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使用 Squeeze-and-Excitation（SE）注意力机制，融合空间与通道维度特征权重校准：​</w:t>
      </w:r>
    </w:p>
    <w:p w14:paraId="0CA16AFC">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空间注意力分支通过7×7卷积层生成空间注意力图，捕捉特征图中像素级关联信息。经 Sigmoid 激活后输出0-1区间的权重值，实现对特征图空间位置的重要性加权，强化纹理细节丰富区域的特征响应。​</w:t>
      </w:r>
    </w:p>
    <w:p w14:paraId="56AF506F">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通道注意力分支首先通过全局平均池化（Global Average Pooling）聚合空间维度信息，生成通道级特征描述符。经两层全连接网络（瓶颈结构，压缩比4:1）实现通道间依赖关系建模，最终通过 Sigmoid 激活生成通道权重，完成对各通道特征的自适应增强 / 抑制。</w:t>
      </w:r>
    </w:p>
    <w:p w14:paraId="61BB33F8">
      <w:pPr>
        <w:pStyle w:val="3"/>
        <w:keepNext w:val="0"/>
        <w:keepLines w:val="0"/>
        <w:widowControl w:val="0"/>
        <w:spacing w:before="0" w:after="0" w:line="312" w:lineRule="auto"/>
        <w:ind w:left="0"/>
        <w:jc w:val="both"/>
        <w:rPr>
          <w:rFonts w:hint="default" w:ascii="Times New Roman" w:hAnsi="Times New Roman" w:eastAsia="宋体" w:cs="Times New Roman"/>
          <w:kern w:val="2"/>
          <w:sz w:val="30"/>
          <w:szCs w:val="30"/>
          <w:lang w:val="en-US" w:eastAsia="zh-CN" w:bidi="ar-SA"/>
        </w:rPr>
      </w:pPr>
      <w:bookmarkStart w:id="34" w:name="_Toc14924"/>
      <w:r>
        <w:rPr>
          <w:rFonts w:hint="eastAsia" w:ascii="Times New Roman" w:hAnsi="Times New Roman" w:eastAsia="宋体" w:cs="Times New Roman"/>
          <w:kern w:val="2"/>
          <w:sz w:val="30"/>
          <w:szCs w:val="30"/>
          <w:lang w:val="en-US" w:eastAsia="zh-CN" w:bidi="ar-SA"/>
        </w:rPr>
        <w:t>4.4 分类层</w:t>
      </w:r>
      <w:bookmarkEnd w:id="34"/>
    </w:p>
    <w:p w14:paraId="7C0FF5FA">
      <w:pPr>
        <w:widowControl w:val="0"/>
        <w:spacing w:line="312" w:lineRule="auto"/>
        <w:ind w:firstLine="480" w:firstLineChars="200"/>
        <w:jc w:val="both"/>
        <w:rPr>
          <w:rFonts w:hint="eastAsia"/>
          <w:kern w:val="2"/>
          <w:sz w:val="24"/>
          <w:szCs w:val="24"/>
          <w:lang w:val="en-US" w:eastAsia="zh-CN" w:bidi="ar-SA"/>
        </w:rPr>
      </w:pPr>
      <w:bookmarkStart w:id="35" w:name="_Toc18842"/>
      <w:bookmarkStart w:id="36" w:name="_Toc14039"/>
      <w:r>
        <w:rPr>
          <w:rFonts w:hint="eastAsia"/>
          <w:kern w:val="2"/>
          <w:sz w:val="24"/>
          <w:szCs w:val="24"/>
          <w:lang w:val="en-US" w:eastAsia="zh-CN" w:bidi="ar-SA"/>
        </w:rPr>
        <w:t>设计层次化分类结构实现特征到类别的映射：​</w:t>
      </w:r>
      <w:bookmarkEnd w:id="35"/>
      <w:bookmarkEnd w:id="36"/>
    </w:p>
    <w:p w14:paraId="374C44E2">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特征聚合采用全局平均池化（Global Average Pooling）将1280通道的特征图压缩为固定长度向量，保留全局语义信息的同时避免全连接层带来的参数量激增问题。​</w:t>
      </w:r>
    </w:p>
    <w:p w14:paraId="0EFBE853">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分类头构建两层全连接网络：首层由1280维映射至1024维，引入 ReLU 激活函数增强非线性；通过 Dropout (0.5) 机制随机失活神经元，降低过拟合风险。末层输出26维向量（对应26类中药材），经 Softmax 激活函数转换为类别概率分布，实现多分类任务输出。</w:t>
      </w:r>
    </w:p>
    <w:p w14:paraId="3475C5AC">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br w:type="page"/>
      </w:r>
    </w:p>
    <w:p w14:paraId="30672085">
      <w:pPr>
        <w:pStyle w:val="3"/>
        <w:keepNext w:val="0"/>
        <w:keepLines w:val="0"/>
        <w:pageBreakBefore w:val="0"/>
        <w:widowControl/>
        <w:kinsoku/>
        <w:wordWrap/>
        <w:overflowPunct/>
        <w:topLinePunct w:val="0"/>
        <w:autoSpaceDE/>
        <w:autoSpaceDN/>
        <w:bidi w:val="0"/>
        <w:adjustRightInd/>
        <w:snapToGrid/>
        <w:spacing w:before="0" w:after="0" w:line="312" w:lineRule="auto"/>
        <w:jc w:val="center"/>
        <w:textAlignment w:val="auto"/>
        <w:outlineLvl w:val="0"/>
        <w:rPr>
          <w:rFonts w:ascii="Times New Roman" w:hAnsi="Times New Roman" w:eastAsia="宋体"/>
          <w:b/>
          <w:bCs/>
          <w:color w:val="auto"/>
          <w:sz w:val="36"/>
        </w:rPr>
      </w:pPr>
      <w:bookmarkStart w:id="37" w:name="_Toc29125"/>
      <w:r>
        <w:rPr>
          <w:rFonts w:ascii="Times New Roman" w:hAnsi="Times New Roman" w:eastAsia="宋体"/>
          <w:b/>
          <w:bCs/>
          <w:color w:val="auto"/>
          <w:sz w:val="36"/>
        </w:rPr>
        <w:t>5实验与结果分析</w:t>
      </w:r>
      <w:bookmarkEnd w:id="37"/>
    </w:p>
    <w:p w14:paraId="53D65343">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38" w:name="_Toc5891"/>
      <w:r>
        <w:rPr>
          <w:rFonts w:hint="eastAsia" w:ascii="Times New Roman" w:hAnsi="Times New Roman" w:eastAsia="宋体" w:cs="Times New Roman"/>
          <w:kern w:val="2"/>
          <w:sz w:val="30"/>
          <w:szCs w:val="30"/>
          <w:lang w:val="en-US" w:eastAsia="zh-CN" w:bidi="ar-SA"/>
        </w:rPr>
        <w:t>5.1 实验环境</w:t>
      </w:r>
      <w:bookmarkEnd w:id="38"/>
    </w:p>
    <w:p w14:paraId="11F442B0">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12" w:lineRule="auto"/>
        <w:ind w:firstLine="480" w:firstLineChars="200"/>
        <w:jc w:val="both"/>
        <w:textAlignment w:val="auto"/>
        <w:rPr>
          <w:rFonts w:ascii="Times New Roman" w:hAnsi="Times New Roman" w:eastAsia="宋体"/>
          <w:b w:val="0"/>
          <w:bCs w:val="0"/>
          <w:color w:val="auto"/>
          <w:sz w:val="24"/>
        </w:rPr>
      </w:pPr>
      <w:r>
        <w:rPr>
          <w:rFonts w:ascii="Times New Roman" w:hAnsi="Times New Roman" w:eastAsia="宋体"/>
          <w:b w:val="0"/>
          <w:bCs w:val="0"/>
          <w:color w:val="auto"/>
          <w:sz w:val="24"/>
        </w:rPr>
        <w:t>硬件：Intel i7-11700K CPU，32GB RAM，NVIDIA RTX 3080 GPU，1TB NVMe SSD；
</w:t>
      </w:r>
    </w:p>
    <w:p w14:paraId="78539880">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12" w:lineRule="auto"/>
        <w:ind w:firstLine="480" w:firstLineChars="200"/>
        <w:jc w:val="both"/>
        <w:textAlignment w:val="auto"/>
        <w:rPr>
          <w:color w:val="auto"/>
        </w:rPr>
      </w:pPr>
      <w:r>
        <w:rPr>
          <w:rFonts w:ascii="Times New Roman" w:hAnsi="Times New Roman" w:eastAsia="宋体"/>
          <w:b w:val="0"/>
          <w:bCs w:val="0"/>
          <w:color w:val="auto"/>
          <w:sz w:val="24"/>
        </w:rPr>
        <w:t>软件：Ubuntu 20.04，Python 3.8，TensorFlow 2.8，CUDA 11.0，OpenCV 4.5.5。</w:t>
      </w:r>
    </w:p>
    <w:p w14:paraId="4D69DF22">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39" w:name="_Toc29050"/>
      <w:r>
        <w:rPr>
          <w:rFonts w:hint="eastAsia" w:ascii="Times New Roman" w:hAnsi="Times New Roman" w:eastAsia="宋体" w:cs="Times New Roman"/>
          <w:kern w:val="2"/>
          <w:sz w:val="30"/>
          <w:szCs w:val="30"/>
          <w:lang w:val="en-US" w:eastAsia="zh-CN" w:bidi="ar-SA"/>
        </w:rPr>
        <w:t>5.2 训练参数</w:t>
      </w:r>
      <w:bookmarkEnd w:id="39"/>
    </w:p>
    <w:p w14:paraId="2697D22F">
      <w:pPr>
        <w:jc w:val="center"/>
        <w:rPr>
          <w:rFonts w:hint="default"/>
          <w:b/>
          <w:bCs/>
          <w:sz w:val="21"/>
          <w:szCs w:val="21"/>
          <w:lang w:val="en-US" w:eastAsia="zh-CN"/>
        </w:rPr>
      </w:pPr>
      <w:r>
        <w:rPr>
          <w:rFonts w:hint="eastAsia"/>
          <w:b/>
          <w:bCs/>
          <w:sz w:val="21"/>
          <w:szCs w:val="21"/>
          <w:lang w:val="en-US" w:eastAsia="zh-CN"/>
        </w:rPr>
        <w:t xml:space="preserve">表5-1 </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6"/>
        <w:gridCol w:w="3021"/>
        <w:gridCol w:w="4317"/>
      </w:tblGrid>
      <w:tr w14:paraId="16D5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9" w:type="pct"/>
            <w:tcBorders>
              <w:top w:val="single" w:color="000000" w:themeColor="text1" w:sz="12" w:space="0"/>
              <w:left w:val="nil"/>
              <w:bottom w:val="single" w:color="000000" w:themeColor="text1" w:sz="4" w:space="0"/>
              <w:right w:val="nil"/>
            </w:tcBorders>
            <w:tcMar>
              <w:top w:w="60" w:type="dxa"/>
              <w:left w:w="120" w:type="dxa"/>
              <w:bottom w:w="30" w:type="dxa"/>
              <w:right w:w="120" w:type="dxa"/>
            </w:tcMar>
            <w:vAlign w:val="center"/>
          </w:tcPr>
          <w:p w14:paraId="52C6EAEA">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参数名称</w:t>
            </w:r>
          </w:p>
        </w:tc>
        <w:tc>
          <w:tcPr>
            <w:tcW w:w="1630" w:type="pct"/>
            <w:tcBorders>
              <w:top w:val="single" w:color="000000" w:themeColor="text1" w:sz="12" w:space="0"/>
              <w:left w:val="nil"/>
              <w:bottom w:val="single" w:color="000000" w:themeColor="text1" w:sz="4" w:space="0"/>
              <w:right w:val="nil"/>
            </w:tcBorders>
            <w:tcMar>
              <w:top w:w="60" w:type="dxa"/>
              <w:left w:w="120" w:type="dxa"/>
              <w:bottom w:w="30" w:type="dxa"/>
              <w:right w:w="120" w:type="dxa"/>
            </w:tcMar>
            <w:vAlign w:val="center"/>
          </w:tcPr>
          <w:p w14:paraId="7D72A529">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参数值</w:t>
            </w:r>
          </w:p>
        </w:tc>
        <w:tc>
          <w:tcPr>
            <w:tcW w:w="2329" w:type="pct"/>
            <w:tcBorders>
              <w:top w:val="single" w:color="000000" w:themeColor="text1" w:sz="12" w:space="0"/>
              <w:left w:val="nil"/>
              <w:bottom w:val="single" w:color="000000" w:themeColor="text1" w:sz="4" w:space="0"/>
              <w:right w:val="nil"/>
            </w:tcBorders>
            <w:tcMar>
              <w:top w:w="60" w:type="dxa"/>
              <w:left w:w="120" w:type="dxa"/>
              <w:bottom w:w="30" w:type="dxa"/>
              <w:right w:w="120" w:type="dxa"/>
            </w:tcMar>
            <w:vAlign w:val="center"/>
          </w:tcPr>
          <w:p w14:paraId="1514C4ED">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说明</w:t>
            </w:r>
          </w:p>
        </w:tc>
      </w:tr>
      <w:tr w14:paraId="19EE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9" w:type="pct"/>
            <w:tcBorders>
              <w:top w:val="single" w:color="000000" w:themeColor="text1" w:sz="4" w:space="0"/>
              <w:left w:val="nil"/>
              <w:bottom w:val="nil"/>
              <w:right w:val="nil"/>
            </w:tcBorders>
            <w:tcMar>
              <w:top w:w="60" w:type="dxa"/>
              <w:left w:w="120" w:type="dxa"/>
              <w:bottom w:w="30" w:type="dxa"/>
              <w:right w:w="120" w:type="dxa"/>
            </w:tcMar>
            <w:vAlign w:val="center"/>
          </w:tcPr>
          <w:p w14:paraId="76569AC3">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批次大小</w:t>
            </w:r>
          </w:p>
        </w:tc>
        <w:tc>
          <w:tcPr>
            <w:tcW w:w="1630" w:type="pct"/>
            <w:tcBorders>
              <w:top w:val="single" w:color="000000" w:themeColor="text1" w:sz="4" w:space="0"/>
              <w:left w:val="nil"/>
              <w:bottom w:val="nil"/>
              <w:right w:val="nil"/>
            </w:tcBorders>
            <w:tcMar>
              <w:top w:w="60" w:type="dxa"/>
              <w:left w:w="120" w:type="dxa"/>
              <w:bottom w:w="30" w:type="dxa"/>
              <w:right w:w="120" w:type="dxa"/>
            </w:tcMar>
            <w:vAlign w:val="center"/>
          </w:tcPr>
          <w:p w14:paraId="18F00B04">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32</w:t>
            </w:r>
          </w:p>
        </w:tc>
        <w:tc>
          <w:tcPr>
            <w:tcW w:w="2329" w:type="pct"/>
            <w:tcBorders>
              <w:top w:val="single" w:color="000000" w:themeColor="text1" w:sz="4" w:space="0"/>
              <w:left w:val="nil"/>
              <w:bottom w:val="nil"/>
              <w:right w:val="nil"/>
            </w:tcBorders>
            <w:tcMar>
              <w:top w:w="60" w:type="dxa"/>
              <w:left w:w="120" w:type="dxa"/>
              <w:bottom w:w="30" w:type="dxa"/>
              <w:right w:w="120" w:type="dxa"/>
            </w:tcMar>
            <w:vAlign w:val="center"/>
          </w:tcPr>
          <w:p w14:paraId="6C894AAC">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批量训练样本数</w:t>
            </w:r>
          </w:p>
        </w:tc>
      </w:tr>
      <w:tr w14:paraId="4DACD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9" w:type="pct"/>
            <w:tcBorders>
              <w:top w:val="nil"/>
              <w:left w:val="nil"/>
              <w:bottom w:val="nil"/>
              <w:right w:val="nil"/>
            </w:tcBorders>
            <w:tcMar>
              <w:top w:w="60" w:type="dxa"/>
              <w:left w:w="120" w:type="dxa"/>
              <w:bottom w:w="30" w:type="dxa"/>
              <w:right w:w="120" w:type="dxa"/>
            </w:tcMar>
            <w:vAlign w:val="center"/>
          </w:tcPr>
          <w:p w14:paraId="427A8BE3">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训练轮次</w:t>
            </w:r>
          </w:p>
        </w:tc>
        <w:tc>
          <w:tcPr>
            <w:tcW w:w="1630" w:type="pct"/>
            <w:tcBorders>
              <w:top w:val="nil"/>
              <w:left w:val="nil"/>
              <w:bottom w:val="nil"/>
              <w:right w:val="nil"/>
            </w:tcBorders>
            <w:tcMar>
              <w:top w:w="60" w:type="dxa"/>
              <w:left w:w="120" w:type="dxa"/>
              <w:bottom w:w="30" w:type="dxa"/>
              <w:right w:w="120" w:type="dxa"/>
            </w:tcMar>
            <w:vAlign w:val="center"/>
          </w:tcPr>
          <w:p w14:paraId="421F7058">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50</w:t>
            </w:r>
          </w:p>
        </w:tc>
        <w:tc>
          <w:tcPr>
            <w:tcW w:w="2329" w:type="pct"/>
            <w:tcBorders>
              <w:top w:val="nil"/>
              <w:left w:val="nil"/>
              <w:bottom w:val="nil"/>
              <w:right w:val="nil"/>
            </w:tcBorders>
            <w:tcMar>
              <w:top w:w="60" w:type="dxa"/>
              <w:left w:w="120" w:type="dxa"/>
              <w:bottom w:w="30" w:type="dxa"/>
              <w:right w:w="120" w:type="dxa"/>
            </w:tcMar>
            <w:vAlign w:val="center"/>
          </w:tcPr>
          <w:p w14:paraId="4D1A5776">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最大迭代次数</w:t>
            </w:r>
          </w:p>
        </w:tc>
      </w:tr>
      <w:tr w14:paraId="2B9E0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9" w:type="pct"/>
            <w:tcBorders>
              <w:top w:val="nil"/>
              <w:left w:val="nil"/>
              <w:bottom w:val="nil"/>
              <w:right w:val="nil"/>
            </w:tcBorders>
            <w:tcMar>
              <w:top w:w="60" w:type="dxa"/>
              <w:left w:w="120" w:type="dxa"/>
              <w:bottom w:w="30" w:type="dxa"/>
              <w:right w:w="120" w:type="dxa"/>
            </w:tcMar>
            <w:vAlign w:val="center"/>
          </w:tcPr>
          <w:p w14:paraId="4710B35A">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学习率</w:t>
            </w:r>
          </w:p>
        </w:tc>
        <w:tc>
          <w:tcPr>
            <w:tcW w:w="1630" w:type="pct"/>
            <w:tcBorders>
              <w:top w:val="nil"/>
              <w:left w:val="nil"/>
              <w:bottom w:val="nil"/>
              <w:right w:val="nil"/>
            </w:tcBorders>
            <w:tcMar>
              <w:top w:w="60" w:type="dxa"/>
              <w:left w:w="120" w:type="dxa"/>
              <w:bottom w:w="30" w:type="dxa"/>
              <w:right w:w="120" w:type="dxa"/>
            </w:tcMar>
            <w:vAlign w:val="center"/>
          </w:tcPr>
          <w:p w14:paraId="3DCC76DB">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0.001</w:t>
            </w:r>
          </w:p>
        </w:tc>
        <w:tc>
          <w:tcPr>
            <w:tcW w:w="2329" w:type="pct"/>
            <w:tcBorders>
              <w:top w:val="nil"/>
              <w:left w:val="nil"/>
              <w:bottom w:val="nil"/>
              <w:right w:val="nil"/>
            </w:tcBorders>
            <w:tcMar>
              <w:top w:w="60" w:type="dxa"/>
              <w:left w:w="120" w:type="dxa"/>
              <w:bottom w:w="30" w:type="dxa"/>
              <w:right w:w="120" w:type="dxa"/>
            </w:tcMar>
            <w:vAlign w:val="center"/>
          </w:tcPr>
          <w:p w14:paraId="230555E4">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初始学习率</w:t>
            </w:r>
          </w:p>
        </w:tc>
      </w:tr>
      <w:tr w14:paraId="4FA0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9" w:type="pct"/>
            <w:tcBorders>
              <w:top w:val="nil"/>
              <w:left w:val="nil"/>
              <w:bottom w:val="nil"/>
              <w:right w:val="nil"/>
            </w:tcBorders>
            <w:tcMar>
              <w:top w:w="60" w:type="dxa"/>
              <w:left w:w="120" w:type="dxa"/>
              <w:bottom w:w="30" w:type="dxa"/>
              <w:right w:w="120" w:type="dxa"/>
            </w:tcMar>
            <w:vAlign w:val="center"/>
          </w:tcPr>
          <w:p w14:paraId="36B7C113">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优化器</w:t>
            </w:r>
          </w:p>
        </w:tc>
        <w:tc>
          <w:tcPr>
            <w:tcW w:w="1630" w:type="pct"/>
            <w:tcBorders>
              <w:top w:val="nil"/>
              <w:left w:val="nil"/>
              <w:bottom w:val="nil"/>
              <w:right w:val="nil"/>
            </w:tcBorders>
            <w:tcMar>
              <w:top w:w="60" w:type="dxa"/>
              <w:left w:w="120" w:type="dxa"/>
              <w:bottom w:w="30" w:type="dxa"/>
              <w:right w:w="120" w:type="dxa"/>
            </w:tcMar>
            <w:vAlign w:val="center"/>
          </w:tcPr>
          <w:p w14:paraId="669C3366">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Adam</w:t>
            </w:r>
          </w:p>
        </w:tc>
        <w:tc>
          <w:tcPr>
            <w:tcW w:w="2329" w:type="pct"/>
            <w:tcBorders>
              <w:top w:val="nil"/>
              <w:left w:val="nil"/>
              <w:bottom w:val="nil"/>
              <w:right w:val="nil"/>
            </w:tcBorders>
            <w:tcMar>
              <w:top w:w="60" w:type="dxa"/>
              <w:left w:w="120" w:type="dxa"/>
              <w:bottom w:w="30" w:type="dxa"/>
              <w:right w:w="120" w:type="dxa"/>
            </w:tcMar>
            <w:vAlign w:val="center"/>
          </w:tcPr>
          <w:p w14:paraId="1361B483">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自适应梯度下降算法</w:t>
            </w:r>
          </w:p>
        </w:tc>
      </w:tr>
      <w:tr w14:paraId="700E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9" w:type="pct"/>
            <w:tcBorders>
              <w:top w:val="nil"/>
              <w:left w:val="nil"/>
              <w:bottom w:val="nil"/>
              <w:right w:val="nil"/>
            </w:tcBorders>
            <w:tcMar>
              <w:top w:w="60" w:type="dxa"/>
              <w:left w:w="120" w:type="dxa"/>
              <w:bottom w:w="30" w:type="dxa"/>
              <w:right w:w="120" w:type="dxa"/>
            </w:tcMar>
            <w:vAlign w:val="center"/>
          </w:tcPr>
          <w:p w14:paraId="68DC11A9">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正则化</w:t>
            </w:r>
          </w:p>
        </w:tc>
        <w:tc>
          <w:tcPr>
            <w:tcW w:w="1630" w:type="pct"/>
            <w:tcBorders>
              <w:top w:val="nil"/>
              <w:left w:val="nil"/>
              <w:bottom w:val="nil"/>
              <w:right w:val="nil"/>
            </w:tcBorders>
            <w:tcMar>
              <w:top w:w="60" w:type="dxa"/>
              <w:left w:w="120" w:type="dxa"/>
              <w:bottom w:w="30" w:type="dxa"/>
              <w:right w:w="120" w:type="dxa"/>
            </w:tcMar>
            <w:vAlign w:val="center"/>
          </w:tcPr>
          <w:p w14:paraId="731054EA">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Dropout(0.5)+BN</w:t>
            </w:r>
          </w:p>
        </w:tc>
        <w:tc>
          <w:tcPr>
            <w:tcW w:w="2329" w:type="pct"/>
            <w:tcBorders>
              <w:top w:val="nil"/>
              <w:left w:val="nil"/>
              <w:bottom w:val="nil"/>
              <w:right w:val="nil"/>
            </w:tcBorders>
            <w:tcMar>
              <w:top w:w="60" w:type="dxa"/>
              <w:left w:w="120" w:type="dxa"/>
              <w:bottom w:w="30" w:type="dxa"/>
              <w:right w:w="120" w:type="dxa"/>
            </w:tcMar>
            <w:vAlign w:val="center"/>
          </w:tcPr>
          <w:p w14:paraId="798DF4E3">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防止过拟合</w:t>
            </w:r>
          </w:p>
        </w:tc>
      </w:tr>
      <w:tr w14:paraId="6981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39" w:type="pct"/>
            <w:tcBorders>
              <w:top w:val="nil"/>
              <w:left w:val="nil"/>
              <w:bottom w:val="single" w:color="000000" w:themeColor="text1" w:sz="12" w:space="0"/>
              <w:right w:val="nil"/>
            </w:tcBorders>
            <w:tcMar>
              <w:top w:w="60" w:type="dxa"/>
              <w:left w:w="120" w:type="dxa"/>
              <w:bottom w:w="30" w:type="dxa"/>
              <w:right w:w="120" w:type="dxa"/>
            </w:tcMar>
            <w:vAlign w:val="center"/>
          </w:tcPr>
          <w:p w14:paraId="77E63374">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早停策略</w:t>
            </w:r>
          </w:p>
        </w:tc>
        <w:tc>
          <w:tcPr>
            <w:tcW w:w="1630" w:type="pct"/>
            <w:tcBorders>
              <w:top w:val="nil"/>
              <w:left w:val="nil"/>
              <w:bottom w:val="single" w:color="000000" w:themeColor="text1" w:sz="12" w:space="0"/>
              <w:right w:val="nil"/>
            </w:tcBorders>
            <w:tcMar>
              <w:top w:w="60" w:type="dxa"/>
              <w:left w:w="120" w:type="dxa"/>
              <w:bottom w:w="30" w:type="dxa"/>
              <w:right w:w="120" w:type="dxa"/>
            </w:tcMar>
            <w:vAlign w:val="center"/>
          </w:tcPr>
          <w:p w14:paraId="0761F415">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patience=20</w:t>
            </w:r>
          </w:p>
        </w:tc>
        <w:tc>
          <w:tcPr>
            <w:tcW w:w="2329" w:type="pct"/>
            <w:tcBorders>
              <w:top w:val="nil"/>
              <w:left w:val="nil"/>
              <w:bottom w:val="single" w:color="000000" w:themeColor="text1" w:sz="12" w:space="0"/>
              <w:right w:val="nil"/>
            </w:tcBorders>
            <w:tcMar>
              <w:top w:w="60" w:type="dxa"/>
              <w:left w:w="120" w:type="dxa"/>
              <w:bottom w:w="30" w:type="dxa"/>
              <w:right w:w="120" w:type="dxa"/>
            </w:tcMar>
            <w:vAlign w:val="center"/>
          </w:tcPr>
          <w:p w14:paraId="4A239C56">
            <w:pPr>
              <w:pStyle w:val="24"/>
              <w:keepNext w:val="0"/>
              <w:keepLines w:val="0"/>
              <w:pageBreakBefore w:val="0"/>
              <w:widowControl/>
              <w:kinsoku/>
              <w:wordWrap/>
              <w:overflowPunct/>
              <w:topLinePunct w:val="0"/>
              <w:autoSpaceDE/>
              <w:autoSpaceDN/>
              <w:bidi w:val="0"/>
              <w:adjustRightInd/>
              <w:snapToGrid/>
              <w:spacing w:before="0" w:after="0" w:line="240" w:lineRule="auto"/>
              <w:jc w:val="center"/>
              <w:textAlignment w:val="auto"/>
              <w:rPr>
                <w:rFonts w:ascii="Times New Roman" w:hAnsi="Times New Roman" w:eastAsia="宋体"/>
                <w:color w:val="auto"/>
                <w:sz w:val="21"/>
              </w:rPr>
            </w:pPr>
            <w:r>
              <w:rPr>
                <w:rFonts w:ascii="Times New Roman" w:hAnsi="Times New Roman" w:eastAsia="宋体"/>
                <w:color w:val="auto"/>
                <w:sz w:val="21"/>
              </w:rPr>
              <w:t>验证集无提升时终止训练</w:t>
            </w:r>
          </w:p>
        </w:tc>
      </w:tr>
    </w:tbl>
    <w:tbl>
      <w:tblPr>
        <w:tblStyle w:val="17"/>
        <w:tblpPr w:leftFromText="180" w:rightFromText="180" w:vertAnchor="text" w:tblpX="10574" w:tblpY="5"/>
        <w:tblOverlap w:val="never"/>
        <w:tblW w:w="191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30"/>
      </w:tblGrid>
      <w:tr w14:paraId="4B8EB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5000" w:type="pct"/>
          </w:tcPr>
          <w:p w14:paraId="6032C60C">
            <w:pPr>
              <w:pStyle w:val="4"/>
              <w:widowControl w:val="0"/>
              <w:outlineLvl w:val="9"/>
              <w:rPr>
                <w:color w:val="auto"/>
                <w:vertAlign w:val="baseline"/>
              </w:rPr>
            </w:pPr>
          </w:p>
        </w:tc>
      </w:tr>
    </w:tbl>
    <w:p w14:paraId="39414DEA">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40" w:name="_Toc15340"/>
      <w:r>
        <w:rPr>
          <w:rFonts w:hint="eastAsia" w:ascii="Times New Roman" w:hAnsi="Times New Roman" w:eastAsia="宋体" w:cs="Times New Roman"/>
          <w:kern w:val="2"/>
          <w:sz w:val="30"/>
          <w:szCs w:val="30"/>
          <w:lang w:val="en-US" w:eastAsia="zh-CN" w:bidi="ar-SA"/>
        </w:rPr>
        <w:t>5.3 实验结果</w:t>
      </w:r>
      <w:bookmarkEnd w:id="40"/>
    </w:p>
    <w:tbl>
      <w:tblPr>
        <w:tblStyle w:val="17"/>
        <w:tblpPr w:leftFromText="180" w:rightFromText="180" w:vertAnchor="text" w:tblpX="10574" w:tblpY="44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06"/>
      </w:tblGrid>
      <w:tr w14:paraId="77BB3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3506" w:type="dxa"/>
          </w:tcPr>
          <w:p w14:paraId="502D9CF4">
            <w:pPr>
              <w:pStyle w:val="5"/>
              <w:widowControl w:val="0"/>
              <w:outlineLvl w:val="9"/>
              <w:rPr>
                <w:color w:val="auto"/>
                <w:vertAlign w:val="baseline"/>
              </w:rPr>
            </w:pPr>
          </w:p>
        </w:tc>
      </w:tr>
    </w:tbl>
    <w:tbl>
      <w:tblPr>
        <w:tblStyle w:val="17"/>
        <w:tblpPr w:leftFromText="180" w:rightFromText="180" w:vertAnchor="text" w:tblpX="10574" w:tblpY="59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3"/>
        <w:gridCol w:w="38"/>
        <w:gridCol w:w="37"/>
        <w:gridCol w:w="75"/>
      </w:tblGrid>
      <w:tr w14:paraId="30334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93" w:type="dxa"/>
            <w:gridSpan w:val="4"/>
          </w:tcPr>
          <w:p w14:paraId="616ECB97">
            <w:pPr>
              <w:pStyle w:val="5"/>
              <w:widowControl w:val="0"/>
              <w:outlineLvl w:val="9"/>
              <w:rPr>
                <w:color w:val="auto"/>
                <w:vertAlign w:val="baseline"/>
              </w:rPr>
            </w:pPr>
          </w:p>
        </w:tc>
      </w:tr>
      <w:tr w14:paraId="72D7D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93" w:type="dxa"/>
            <w:gridSpan w:val="4"/>
          </w:tcPr>
          <w:p w14:paraId="7EDB30B9">
            <w:pPr>
              <w:pStyle w:val="5"/>
              <w:widowControl w:val="0"/>
              <w:outlineLvl w:val="9"/>
              <w:rPr>
                <w:color w:val="auto"/>
                <w:vertAlign w:val="baseline"/>
              </w:rPr>
            </w:pPr>
          </w:p>
        </w:tc>
      </w:tr>
      <w:tr w14:paraId="3E1CD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3"/>
          <w:wAfter w:w="150" w:type="dxa"/>
          <w:trHeight w:val="30" w:hRule="atLeast"/>
        </w:trPr>
        <w:tc>
          <w:tcPr>
            <w:tcW w:w="1643" w:type="dxa"/>
          </w:tcPr>
          <w:p w14:paraId="26A6B6B7">
            <w:pPr>
              <w:pStyle w:val="5"/>
              <w:widowControl w:val="0"/>
              <w:outlineLvl w:val="9"/>
              <w:rPr>
                <w:color w:val="auto"/>
                <w:vertAlign w:val="baseline"/>
              </w:rPr>
            </w:pPr>
          </w:p>
        </w:tc>
      </w:tr>
      <w:tr w14:paraId="46901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112" w:type="dxa"/>
          <w:trHeight w:val="30" w:hRule="atLeast"/>
        </w:trPr>
        <w:tc>
          <w:tcPr>
            <w:tcW w:w="1681" w:type="dxa"/>
            <w:gridSpan w:val="2"/>
          </w:tcPr>
          <w:p w14:paraId="0AEA4377">
            <w:pPr>
              <w:pStyle w:val="5"/>
              <w:widowControl w:val="0"/>
              <w:outlineLvl w:val="9"/>
              <w:rPr>
                <w:color w:val="auto"/>
                <w:vertAlign w:val="baseline"/>
              </w:rPr>
            </w:pPr>
          </w:p>
        </w:tc>
      </w:tr>
      <w:tr w14:paraId="56E12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5" w:type="dxa"/>
          <w:trHeight w:val="30" w:hRule="atLeast"/>
        </w:trPr>
        <w:tc>
          <w:tcPr>
            <w:tcW w:w="1718" w:type="dxa"/>
            <w:gridSpan w:val="3"/>
            <w:vAlign w:val="center"/>
          </w:tcPr>
          <w:p w14:paraId="1115E564">
            <w:pPr>
              <w:pStyle w:val="5"/>
              <w:widowControl w:val="0"/>
              <w:jc w:val="center"/>
              <w:outlineLvl w:val="9"/>
              <w:rPr>
                <w:color w:val="auto"/>
                <w:vertAlign w:val="baseline"/>
              </w:rPr>
            </w:pPr>
          </w:p>
        </w:tc>
      </w:tr>
    </w:tbl>
    <w:tbl>
      <w:tblPr>
        <w:tblStyle w:val="17"/>
        <w:tblpPr w:leftFromText="180" w:rightFromText="180" w:vertAnchor="text" w:tblpX="10574" w:tblpY="845"/>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tblGrid>
      <w:tr w14:paraId="3D83F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18" w:type="dxa"/>
          </w:tcPr>
          <w:p w14:paraId="28E1F5B6">
            <w:pPr>
              <w:pStyle w:val="5"/>
              <w:widowControl w:val="0"/>
              <w:outlineLvl w:val="9"/>
              <w:rPr>
                <w:color w:val="auto"/>
                <w:vertAlign w:val="baseline"/>
              </w:rPr>
            </w:pPr>
          </w:p>
        </w:tc>
      </w:tr>
    </w:tbl>
    <w:tbl>
      <w:tblPr>
        <w:tblStyle w:val="17"/>
        <w:tblpPr w:leftFromText="180" w:rightFromText="180" w:vertAnchor="text" w:tblpX="10574" w:tblpY="14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18"/>
      </w:tblGrid>
      <w:tr w14:paraId="4B733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318" w:type="dxa"/>
          </w:tcPr>
          <w:p w14:paraId="3CB188BB">
            <w:pPr>
              <w:pStyle w:val="5"/>
              <w:widowControl w:val="0"/>
              <w:outlineLvl w:val="9"/>
              <w:rPr>
                <w:color w:val="auto"/>
                <w:vertAlign w:val="baseline"/>
              </w:rPr>
            </w:pPr>
          </w:p>
        </w:tc>
      </w:tr>
      <w:tr w14:paraId="3D3A4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318" w:type="dxa"/>
          </w:tcPr>
          <w:p w14:paraId="2D28FA4E">
            <w:pPr>
              <w:pStyle w:val="5"/>
              <w:widowControl w:val="0"/>
              <w:outlineLvl w:val="9"/>
              <w:rPr>
                <w:color w:val="auto"/>
                <w:vertAlign w:val="baseline"/>
              </w:rPr>
            </w:pPr>
          </w:p>
        </w:tc>
      </w:tr>
    </w:tbl>
    <w:p w14:paraId="0A23E824">
      <w:pPr>
        <w:pStyle w:val="4"/>
        <w:keepNext w:val="0"/>
        <w:keepLines w:val="0"/>
        <w:widowControl w:val="0"/>
        <w:spacing w:before="0" w:after="0" w:line="312" w:lineRule="auto"/>
        <w:ind w:left="0"/>
        <w:jc w:val="both"/>
        <w:rPr>
          <w:rFonts w:hint="eastAsia" w:ascii="Times New Roman" w:hAnsi="Times New Roman" w:eastAsia="宋体" w:cs="Times New Roman"/>
          <w:b/>
          <w:kern w:val="2"/>
          <w:sz w:val="28"/>
          <w:szCs w:val="28"/>
          <w:lang w:val="en-US" w:eastAsia="zh-CN" w:bidi="ar-SA"/>
        </w:rPr>
      </w:pPr>
      <w:bookmarkStart w:id="41" w:name="_Toc26053"/>
      <w:r>
        <w:rPr>
          <w:rFonts w:hint="eastAsia" w:ascii="Times New Roman" w:hAnsi="Times New Roman" w:eastAsia="宋体" w:cs="Times New Roman"/>
          <w:b/>
          <w:kern w:val="2"/>
          <w:sz w:val="28"/>
          <w:szCs w:val="28"/>
          <w:lang w:val="en-US" w:eastAsia="zh-CN" w:bidi="ar-SA"/>
        </w:rPr>
        <w:t>5.3.1 评价标准</w:t>
      </w:r>
      <w:bookmarkEnd w:id="41"/>
    </w:p>
    <w:p w14:paraId="46594997">
      <w:pPr>
        <w:keepNext w:val="0"/>
        <w:keepLines w:val="0"/>
        <w:pageBreakBefore w:val="0"/>
        <w:widowControl w:val="0"/>
        <w:kinsoku/>
        <w:wordWrap/>
        <w:overflowPunct/>
        <w:topLinePunct w:val="0"/>
        <w:autoSpaceDE/>
        <w:autoSpaceDN/>
        <w:bidi w:val="0"/>
        <w:adjustRightInd/>
        <w:snapToGrid/>
        <w:jc w:val="center"/>
        <w:textAlignment w:val="auto"/>
        <w:rPr>
          <w:rFonts w:hint="default"/>
          <w:b/>
          <w:bCs/>
          <w:lang w:val="en-US" w:eastAsia="zh-CN"/>
        </w:rPr>
      </w:pPr>
      <w:r>
        <w:rPr>
          <w:rFonts w:hint="eastAsia"/>
          <w:b/>
          <w:bCs/>
          <w:lang w:val="en-US" w:eastAsia="zh-CN"/>
        </w:rPr>
        <w:t xml:space="preserve">表5-2 </w:t>
      </w:r>
    </w:p>
    <w:tbl>
      <w:tblPr>
        <w:tblStyle w:val="16"/>
        <w:tblW w:w="5069" w:type="pct"/>
        <w:jc w:val="center"/>
        <w:tblCellSpacing w:w="15"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2"/>
        <w:gridCol w:w="2040"/>
        <w:gridCol w:w="2040"/>
        <w:gridCol w:w="2160"/>
      </w:tblGrid>
      <w:tr w14:paraId="60BC250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9" w:hRule="atLeast"/>
          <w:tblHeader/>
          <w:tblCellSpacing w:w="15" w:type="dxa"/>
          <w:jc w:val="center"/>
        </w:trPr>
        <w:tc>
          <w:tcPr>
            <w:tcW w:w="1582" w:type="pct"/>
            <w:tcBorders>
              <w:top w:val="nil"/>
              <w:left w:val="nil"/>
              <w:bottom w:val="single" w:color="auto" w:sz="4" w:space="0"/>
              <w:right w:val="nil"/>
            </w:tcBorders>
            <w:shd w:val="clear" w:color="auto" w:fill="FFFFFF"/>
            <w:vAlign w:val="center"/>
          </w:tcPr>
          <w:p w14:paraId="7D43B260">
            <w:pPr>
              <w:jc w:val="center"/>
              <w:rPr>
                <w:rFonts w:hint="eastAsia" w:ascii="Times New Roman" w:hAnsi="Times New Roman" w:eastAsia="宋体"/>
                <w:b w:val="0"/>
                <w:color w:val="000000"/>
                <w:sz w:val="21"/>
                <w:szCs w:val="21"/>
              </w:rPr>
            </w:pPr>
          </w:p>
        </w:tc>
        <w:tc>
          <w:tcPr>
            <w:tcW w:w="1075" w:type="pct"/>
            <w:tcBorders>
              <w:top w:val="nil"/>
              <w:left w:val="nil"/>
              <w:bottom w:val="single" w:color="auto" w:sz="4" w:space="0"/>
              <w:right w:val="nil"/>
            </w:tcBorders>
            <w:shd w:val="clear" w:color="auto" w:fill="FFFFFF"/>
            <w:vAlign w:val="center"/>
          </w:tcPr>
          <w:p w14:paraId="30CF131A">
            <w:pPr>
              <w:jc w:val="center"/>
              <w:rPr>
                <w:rFonts w:hint="eastAsia" w:ascii="Times New Roman" w:hAnsi="Times New Roman" w:eastAsia="宋体"/>
                <w:b w:val="0"/>
                <w:color w:val="000000"/>
                <w:sz w:val="21"/>
                <w:szCs w:val="21"/>
              </w:rPr>
            </w:pPr>
          </w:p>
        </w:tc>
        <w:tc>
          <w:tcPr>
            <w:tcW w:w="2206" w:type="pct"/>
            <w:gridSpan w:val="2"/>
            <w:tcBorders>
              <w:top w:val="nil"/>
              <w:left w:val="nil"/>
              <w:bottom w:val="single" w:color="auto" w:sz="4" w:space="0"/>
              <w:right w:val="nil"/>
            </w:tcBorders>
            <w:shd w:val="clear" w:color="auto" w:fill="FFFFFF"/>
            <w:vAlign w:val="center"/>
          </w:tcPr>
          <w:p w14:paraId="0E4C9888">
            <w:pPr>
              <w:keepNext w:val="0"/>
              <w:keepLines w:val="0"/>
              <w:widowControl/>
              <w:suppressLineNumbers w:val="0"/>
              <w:jc w:val="center"/>
              <w:rPr>
                <w:rFonts w:ascii="Times New Roman" w:hAnsi="Times New Roman" w:eastAsia="宋体"/>
                <w:b w:val="0"/>
                <w:color w:val="000000"/>
                <w:sz w:val="21"/>
                <w:szCs w:val="21"/>
              </w:rPr>
            </w:pPr>
            <w:r>
              <w:rPr>
                <w:rFonts w:ascii="Times New Roman" w:hAnsi="Times New Roman" w:eastAsia="宋体" w:cs="宋体"/>
                <w:b w:val="0"/>
                <w:color w:val="000000"/>
                <w:kern w:val="0"/>
                <w:sz w:val="21"/>
                <w:szCs w:val="21"/>
                <w:lang w:val="en-US" w:eastAsia="zh-CN" w:bidi="ar"/>
              </w:rPr>
              <w:t>真实值</w:t>
            </w:r>
          </w:p>
        </w:tc>
      </w:tr>
      <w:tr w14:paraId="52D4E38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7" w:hRule="atLeast"/>
          <w:tblCellSpacing w:w="15" w:type="dxa"/>
          <w:jc w:val="center"/>
        </w:trPr>
        <w:tc>
          <w:tcPr>
            <w:tcW w:w="1582" w:type="pct"/>
            <w:vMerge w:val="restart"/>
            <w:tcBorders>
              <w:top w:val="nil"/>
              <w:left w:val="nil"/>
              <w:bottom w:val="nil"/>
              <w:right w:val="nil"/>
              <w:tl2br w:val="nil"/>
              <w:tr2bl w:val="nil"/>
            </w:tcBorders>
            <w:shd w:val="clear" w:color="auto" w:fill="FFFFFF"/>
            <w:vAlign w:val="center"/>
          </w:tcPr>
          <w:p w14:paraId="28BC3155">
            <w:pPr>
              <w:keepNext w:val="0"/>
              <w:keepLines w:val="0"/>
              <w:widowControl/>
              <w:suppressLineNumbers w:val="0"/>
              <w:jc w:val="center"/>
              <w:rPr>
                <w:rFonts w:ascii="Times New Roman" w:hAnsi="Times New Roman" w:eastAsia="宋体"/>
                <w:b w:val="0"/>
                <w:color w:val="000000"/>
                <w:sz w:val="21"/>
                <w:szCs w:val="21"/>
              </w:rPr>
            </w:pPr>
            <w:r>
              <w:rPr>
                <w:rFonts w:ascii="Times New Roman" w:hAnsi="Times New Roman" w:eastAsia="宋体" w:cs="宋体"/>
                <w:b w:val="0"/>
                <w:color w:val="000000"/>
                <w:kern w:val="0"/>
                <w:sz w:val="21"/>
                <w:szCs w:val="21"/>
                <w:lang w:val="en-US" w:eastAsia="zh-CN" w:bidi="ar"/>
              </w:rPr>
              <w:t>预测值</w:t>
            </w:r>
          </w:p>
        </w:tc>
        <w:tc>
          <w:tcPr>
            <w:tcW w:w="1075" w:type="pct"/>
            <w:tcBorders>
              <w:top w:val="nil"/>
              <w:left w:val="nil"/>
              <w:bottom w:val="nil"/>
              <w:right w:val="nil"/>
            </w:tcBorders>
            <w:shd w:val="clear" w:color="auto" w:fill="FFFFFF"/>
            <w:vAlign w:val="center"/>
          </w:tcPr>
          <w:p w14:paraId="48F13196">
            <w:pPr>
              <w:jc w:val="center"/>
              <w:rPr>
                <w:rFonts w:hint="eastAsia" w:ascii="Times New Roman" w:hAnsi="Times New Roman" w:eastAsia="宋体"/>
                <w:b w:val="0"/>
                <w:color w:val="000000"/>
                <w:sz w:val="21"/>
                <w:szCs w:val="21"/>
              </w:rPr>
            </w:pPr>
          </w:p>
        </w:tc>
        <w:tc>
          <w:tcPr>
            <w:tcW w:w="1075" w:type="pct"/>
            <w:tcBorders>
              <w:top w:val="nil"/>
              <w:left w:val="nil"/>
              <w:bottom w:val="nil"/>
              <w:right w:val="nil"/>
              <w:tl2br w:val="nil"/>
              <w:tr2bl w:val="nil"/>
            </w:tcBorders>
            <w:shd w:val="clear" w:color="auto" w:fill="FFFFFF"/>
            <w:vAlign w:val="center"/>
          </w:tcPr>
          <w:p w14:paraId="752EBE65">
            <w:pPr>
              <w:keepNext w:val="0"/>
              <w:keepLines w:val="0"/>
              <w:widowControl/>
              <w:suppressLineNumbers w:val="0"/>
              <w:jc w:val="center"/>
              <w:rPr>
                <w:rFonts w:ascii="Times New Roman" w:hAnsi="Times New Roman" w:eastAsia="宋体"/>
                <w:b w:val="0"/>
                <w:color w:val="000000"/>
                <w:sz w:val="21"/>
                <w:szCs w:val="21"/>
              </w:rPr>
            </w:pPr>
            <w:r>
              <w:rPr>
                <w:rFonts w:ascii="Times New Roman" w:hAnsi="Times New Roman" w:eastAsia="宋体" w:cs="宋体"/>
                <w:b w:val="0"/>
                <w:color w:val="000000"/>
                <w:kern w:val="0"/>
                <w:sz w:val="21"/>
                <w:szCs w:val="21"/>
                <w:lang w:val="en-US" w:eastAsia="zh-CN" w:bidi="ar"/>
              </w:rPr>
              <w:t>正类</w:t>
            </w:r>
          </w:p>
        </w:tc>
        <w:tc>
          <w:tcPr>
            <w:tcW w:w="1114" w:type="pct"/>
            <w:tcBorders>
              <w:top w:val="nil"/>
              <w:left w:val="nil"/>
              <w:bottom w:val="nil"/>
              <w:right w:val="nil"/>
              <w:tl2br w:val="nil"/>
              <w:tr2bl w:val="nil"/>
            </w:tcBorders>
            <w:shd w:val="clear" w:color="auto" w:fill="FFFFFF"/>
            <w:vAlign w:val="center"/>
          </w:tcPr>
          <w:p w14:paraId="000E8D98">
            <w:pPr>
              <w:keepNext w:val="0"/>
              <w:keepLines w:val="0"/>
              <w:widowControl/>
              <w:suppressLineNumbers w:val="0"/>
              <w:jc w:val="center"/>
              <w:rPr>
                <w:rFonts w:ascii="Times New Roman" w:hAnsi="Times New Roman" w:eastAsia="宋体"/>
                <w:b w:val="0"/>
                <w:color w:val="000000"/>
                <w:sz w:val="21"/>
                <w:szCs w:val="21"/>
              </w:rPr>
            </w:pPr>
            <w:r>
              <w:rPr>
                <w:rFonts w:ascii="Times New Roman" w:hAnsi="Times New Roman" w:eastAsia="宋体" w:cs="宋体"/>
                <w:b w:val="0"/>
                <w:color w:val="000000"/>
                <w:kern w:val="0"/>
                <w:sz w:val="21"/>
                <w:szCs w:val="21"/>
                <w:lang w:val="en-US" w:eastAsia="zh-CN" w:bidi="ar"/>
              </w:rPr>
              <w:t>负类</w:t>
            </w:r>
          </w:p>
        </w:tc>
      </w:tr>
      <w:tr w14:paraId="73907C8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7" w:hRule="atLeast"/>
          <w:tblCellSpacing w:w="15" w:type="dxa"/>
          <w:jc w:val="center"/>
        </w:trPr>
        <w:tc>
          <w:tcPr>
            <w:tcW w:w="1582" w:type="pct"/>
            <w:vMerge w:val="continue"/>
            <w:tcBorders>
              <w:top w:val="nil"/>
              <w:left w:val="nil"/>
              <w:bottom w:val="nil"/>
              <w:right w:val="nil"/>
              <w:tl2br w:val="nil"/>
              <w:tr2bl w:val="nil"/>
            </w:tcBorders>
            <w:shd w:val="clear" w:color="auto" w:fill="FFFFFF"/>
            <w:vAlign w:val="center"/>
          </w:tcPr>
          <w:p w14:paraId="632F1444">
            <w:pPr>
              <w:jc w:val="center"/>
              <w:rPr>
                <w:rFonts w:hint="eastAsia" w:ascii="Times New Roman" w:hAnsi="Times New Roman" w:eastAsia="宋体"/>
                <w:b w:val="0"/>
                <w:color w:val="000000"/>
                <w:sz w:val="21"/>
                <w:szCs w:val="21"/>
              </w:rPr>
            </w:pPr>
          </w:p>
        </w:tc>
        <w:tc>
          <w:tcPr>
            <w:tcW w:w="1075" w:type="pct"/>
            <w:tcBorders>
              <w:top w:val="nil"/>
              <w:left w:val="nil"/>
              <w:bottom w:val="nil"/>
              <w:right w:val="nil"/>
              <w:tl2br w:val="nil"/>
              <w:tr2bl w:val="nil"/>
            </w:tcBorders>
            <w:shd w:val="clear" w:color="auto" w:fill="FFFFFF"/>
            <w:vAlign w:val="center"/>
          </w:tcPr>
          <w:p w14:paraId="13968D03">
            <w:pPr>
              <w:keepNext w:val="0"/>
              <w:keepLines w:val="0"/>
              <w:widowControl/>
              <w:suppressLineNumbers w:val="0"/>
              <w:jc w:val="center"/>
              <w:rPr>
                <w:rFonts w:ascii="Times New Roman" w:hAnsi="Times New Roman" w:eastAsia="宋体"/>
                <w:b w:val="0"/>
                <w:color w:val="000000"/>
                <w:sz w:val="21"/>
                <w:szCs w:val="21"/>
              </w:rPr>
            </w:pPr>
            <w:r>
              <w:rPr>
                <w:rFonts w:ascii="Times New Roman" w:hAnsi="Times New Roman" w:eastAsia="宋体" w:cs="宋体"/>
                <w:b w:val="0"/>
                <w:color w:val="000000"/>
                <w:kern w:val="0"/>
                <w:sz w:val="21"/>
                <w:szCs w:val="21"/>
                <w:lang w:val="en-US" w:eastAsia="zh-CN" w:bidi="ar"/>
              </w:rPr>
              <w:t>正类</w:t>
            </w:r>
          </w:p>
        </w:tc>
        <w:tc>
          <w:tcPr>
            <w:tcW w:w="1075" w:type="pct"/>
            <w:tcBorders>
              <w:top w:val="nil"/>
              <w:left w:val="nil"/>
              <w:bottom w:val="nil"/>
              <w:right w:val="nil"/>
              <w:tl2br w:val="nil"/>
              <w:tr2bl w:val="nil"/>
            </w:tcBorders>
            <w:shd w:val="clear" w:color="auto" w:fill="FFFFFF"/>
            <w:vAlign w:val="center"/>
          </w:tcPr>
          <w:p w14:paraId="5124E7EF">
            <w:pPr>
              <w:keepNext w:val="0"/>
              <w:keepLines w:val="0"/>
              <w:widowControl/>
              <w:suppressLineNumbers w:val="0"/>
              <w:jc w:val="center"/>
              <w:rPr>
                <w:rFonts w:ascii="Times New Roman" w:hAnsi="Times New Roman" w:eastAsia="宋体"/>
                <w:b w:val="0"/>
                <w:color w:val="000000"/>
                <w:sz w:val="21"/>
                <w:szCs w:val="21"/>
              </w:rPr>
            </w:pPr>
            <w:r>
              <w:rPr>
                <w:rFonts w:ascii="Times New Roman" w:hAnsi="Times New Roman" w:eastAsia="宋体" w:cs="宋体"/>
                <w:b w:val="0"/>
                <w:color w:val="000000"/>
                <w:kern w:val="0"/>
                <w:sz w:val="21"/>
                <w:szCs w:val="21"/>
                <w:lang w:val="en-US" w:eastAsia="zh-CN" w:bidi="ar"/>
              </w:rPr>
              <w:t>TP</w:t>
            </w:r>
          </w:p>
        </w:tc>
        <w:tc>
          <w:tcPr>
            <w:tcW w:w="1114" w:type="pct"/>
            <w:tcBorders>
              <w:top w:val="nil"/>
              <w:left w:val="nil"/>
              <w:bottom w:val="nil"/>
              <w:right w:val="nil"/>
              <w:tl2br w:val="nil"/>
              <w:tr2bl w:val="nil"/>
            </w:tcBorders>
            <w:shd w:val="clear" w:color="auto" w:fill="FFFFFF"/>
            <w:vAlign w:val="center"/>
          </w:tcPr>
          <w:p w14:paraId="3AF7D52A">
            <w:pPr>
              <w:keepNext w:val="0"/>
              <w:keepLines w:val="0"/>
              <w:widowControl/>
              <w:suppressLineNumbers w:val="0"/>
              <w:jc w:val="center"/>
              <w:rPr>
                <w:rFonts w:ascii="Times New Roman" w:hAnsi="Times New Roman" w:eastAsia="宋体"/>
                <w:b w:val="0"/>
                <w:color w:val="000000"/>
                <w:sz w:val="21"/>
                <w:szCs w:val="21"/>
              </w:rPr>
            </w:pPr>
            <w:r>
              <w:rPr>
                <w:rFonts w:ascii="Times New Roman" w:hAnsi="Times New Roman" w:eastAsia="宋体" w:cs="宋体"/>
                <w:b w:val="0"/>
                <w:color w:val="000000"/>
                <w:kern w:val="0"/>
                <w:sz w:val="21"/>
                <w:szCs w:val="21"/>
                <w:lang w:val="en-US" w:eastAsia="zh-CN" w:bidi="ar"/>
              </w:rPr>
              <w:t>FN</w:t>
            </w:r>
          </w:p>
        </w:tc>
      </w:tr>
      <w:tr w14:paraId="0B3EAC7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4" w:hRule="atLeast"/>
          <w:tblCellSpacing w:w="15" w:type="dxa"/>
          <w:jc w:val="center"/>
        </w:trPr>
        <w:tc>
          <w:tcPr>
            <w:tcW w:w="1582" w:type="pct"/>
            <w:tcBorders>
              <w:top w:val="nil"/>
              <w:left w:val="nil"/>
              <w:bottom w:val="nil"/>
              <w:right w:val="nil"/>
              <w:tl2br w:val="nil"/>
              <w:tr2bl w:val="nil"/>
            </w:tcBorders>
            <w:shd w:val="clear" w:color="auto" w:fill="FFFFFF"/>
            <w:vAlign w:val="center"/>
          </w:tcPr>
          <w:p w14:paraId="1D10CFDF">
            <w:pPr>
              <w:jc w:val="center"/>
              <w:rPr>
                <w:rFonts w:hint="eastAsia" w:ascii="Times New Roman" w:hAnsi="Times New Roman" w:eastAsia="宋体"/>
                <w:b w:val="0"/>
                <w:color w:val="000000"/>
                <w:sz w:val="21"/>
                <w:szCs w:val="21"/>
              </w:rPr>
            </w:pPr>
          </w:p>
        </w:tc>
        <w:tc>
          <w:tcPr>
            <w:tcW w:w="1075" w:type="pct"/>
            <w:tcBorders>
              <w:top w:val="nil"/>
              <w:left w:val="nil"/>
              <w:bottom w:val="nil"/>
              <w:right w:val="nil"/>
              <w:tl2br w:val="nil"/>
              <w:tr2bl w:val="nil"/>
            </w:tcBorders>
            <w:shd w:val="clear" w:color="auto" w:fill="FFFFFF"/>
            <w:vAlign w:val="center"/>
          </w:tcPr>
          <w:p w14:paraId="0FF0A9DE">
            <w:pPr>
              <w:keepNext w:val="0"/>
              <w:keepLines w:val="0"/>
              <w:widowControl/>
              <w:suppressLineNumbers w:val="0"/>
              <w:jc w:val="center"/>
              <w:rPr>
                <w:rFonts w:ascii="Times New Roman" w:hAnsi="Times New Roman" w:eastAsia="宋体"/>
                <w:b w:val="0"/>
                <w:color w:val="000000"/>
                <w:sz w:val="21"/>
                <w:szCs w:val="21"/>
              </w:rPr>
            </w:pPr>
            <w:r>
              <w:rPr>
                <w:rFonts w:ascii="Times New Roman" w:hAnsi="Times New Roman" w:eastAsia="宋体" w:cs="宋体"/>
                <w:b w:val="0"/>
                <w:color w:val="000000"/>
                <w:kern w:val="0"/>
                <w:sz w:val="21"/>
                <w:szCs w:val="21"/>
                <w:lang w:val="en-US" w:eastAsia="zh-CN" w:bidi="ar"/>
              </w:rPr>
              <w:t>负类</w:t>
            </w:r>
          </w:p>
        </w:tc>
        <w:tc>
          <w:tcPr>
            <w:tcW w:w="1075" w:type="pct"/>
            <w:tcBorders>
              <w:top w:val="nil"/>
              <w:left w:val="nil"/>
              <w:bottom w:val="nil"/>
              <w:right w:val="nil"/>
              <w:tl2br w:val="nil"/>
              <w:tr2bl w:val="nil"/>
            </w:tcBorders>
            <w:shd w:val="clear" w:color="auto" w:fill="FFFFFF"/>
            <w:vAlign w:val="center"/>
          </w:tcPr>
          <w:p w14:paraId="62183B82">
            <w:pPr>
              <w:keepNext w:val="0"/>
              <w:keepLines w:val="0"/>
              <w:widowControl/>
              <w:suppressLineNumbers w:val="0"/>
              <w:jc w:val="center"/>
              <w:rPr>
                <w:rFonts w:ascii="Times New Roman" w:hAnsi="Times New Roman" w:eastAsia="宋体"/>
                <w:b w:val="0"/>
                <w:color w:val="000000"/>
                <w:sz w:val="21"/>
                <w:szCs w:val="21"/>
              </w:rPr>
            </w:pPr>
            <w:r>
              <w:rPr>
                <w:rFonts w:ascii="Times New Roman" w:hAnsi="Times New Roman" w:eastAsia="宋体" w:cs="宋体"/>
                <w:b w:val="0"/>
                <w:color w:val="000000"/>
                <w:kern w:val="0"/>
                <w:sz w:val="21"/>
                <w:szCs w:val="21"/>
                <w:lang w:val="en-US" w:eastAsia="zh-CN" w:bidi="ar"/>
              </w:rPr>
              <w:t>FP</w:t>
            </w:r>
          </w:p>
        </w:tc>
        <w:tc>
          <w:tcPr>
            <w:tcW w:w="1114" w:type="pct"/>
            <w:tcBorders>
              <w:top w:val="nil"/>
              <w:left w:val="nil"/>
              <w:bottom w:val="nil"/>
              <w:right w:val="nil"/>
              <w:tl2br w:val="nil"/>
              <w:tr2bl w:val="nil"/>
            </w:tcBorders>
            <w:shd w:val="clear" w:color="auto" w:fill="FFFFFF"/>
            <w:vAlign w:val="center"/>
          </w:tcPr>
          <w:p w14:paraId="092A7916">
            <w:pPr>
              <w:keepNext w:val="0"/>
              <w:keepLines w:val="0"/>
              <w:widowControl/>
              <w:suppressLineNumbers w:val="0"/>
              <w:jc w:val="center"/>
              <w:rPr>
                <w:rFonts w:ascii="Times New Roman" w:hAnsi="Times New Roman" w:eastAsia="宋体"/>
                <w:b w:val="0"/>
                <w:color w:val="000000"/>
                <w:sz w:val="21"/>
                <w:szCs w:val="21"/>
              </w:rPr>
            </w:pPr>
            <w:r>
              <w:rPr>
                <w:rFonts w:ascii="Times New Roman" w:hAnsi="Times New Roman" w:eastAsia="宋体" w:cs="宋体"/>
                <w:b w:val="0"/>
                <w:color w:val="000000"/>
                <w:kern w:val="0"/>
                <w:sz w:val="21"/>
                <w:szCs w:val="21"/>
                <w:lang w:val="en-US" w:eastAsia="zh-CN" w:bidi="ar"/>
              </w:rPr>
              <w:t>TN</w:t>
            </w:r>
          </w:p>
        </w:tc>
      </w:tr>
    </w:tbl>
    <w:tbl>
      <w:tblPr>
        <w:tblStyle w:val="17"/>
        <w:tblpPr w:leftFromText="180" w:rightFromText="180" w:vertAnchor="text" w:tblpX="10574" w:tblpY="-1060"/>
        <w:tblOverlap w:val="never"/>
        <w:tblW w:w="238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05"/>
      </w:tblGrid>
      <w:tr w14:paraId="29945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5000" w:type="pct"/>
          </w:tcPr>
          <w:p w14:paraId="1C516818">
            <w:pPr>
              <w:rPr>
                <w:vertAlign w:val="baseline"/>
              </w:rPr>
            </w:pPr>
          </w:p>
        </w:tc>
      </w:tr>
    </w:tbl>
    <w:p w14:paraId="0CE45908">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eastAsia"/>
          <w:sz w:val="24"/>
          <w:szCs w:val="24"/>
        </w:rPr>
      </w:pPr>
      <w:r>
        <w:rPr>
          <w:rFonts w:hint="eastAsia"/>
          <w:sz w:val="24"/>
          <w:szCs w:val="24"/>
        </w:rPr>
        <w:t>在混淆矩阵即表</w:t>
      </w:r>
      <w:r>
        <w:rPr>
          <w:rFonts w:hint="eastAsia"/>
          <w:sz w:val="24"/>
          <w:szCs w:val="24"/>
          <w:lang w:val="en-US" w:eastAsia="zh-CN"/>
        </w:rPr>
        <w:t>5-2</w:t>
      </w:r>
      <w:r>
        <w:rPr>
          <w:rFonts w:hint="eastAsia"/>
          <w:sz w:val="24"/>
          <w:szCs w:val="24"/>
        </w:rPr>
        <w:t>中，定义如下：</w:t>
      </w:r>
    </w:p>
    <w:p w14:paraId="6097AB7F">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sz w:val="24"/>
          <w:szCs w:val="24"/>
        </w:rPr>
      </w:pPr>
      <w:r>
        <w:rPr>
          <w:rFonts w:hint="eastAsia"/>
          <w:sz w:val="24"/>
          <w:szCs w:val="24"/>
        </w:rPr>
        <w:t>（1）TP：真阳性，即预测为正，实际为正，预测为正样本是对的。</w:t>
      </w:r>
    </w:p>
    <w:p w14:paraId="221EC602">
      <w:pPr>
        <w:keepNext w:val="0"/>
        <w:keepLines w:val="0"/>
        <w:pageBreakBefore w:val="0"/>
        <w:widowControl w:val="0"/>
        <w:numPr>
          <w:ilvl w:val="0"/>
          <w:numId w:val="2"/>
        </w:numPr>
        <w:kinsoku/>
        <w:wordWrap/>
        <w:overflowPunct/>
        <w:topLinePunct w:val="0"/>
        <w:autoSpaceDE/>
        <w:autoSpaceDN/>
        <w:bidi w:val="0"/>
        <w:adjustRightInd/>
        <w:snapToGrid/>
        <w:spacing w:line="312" w:lineRule="auto"/>
        <w:ind w:firstLine="480" w:firstLineChars="200"/>
        <w:textAlignment w:val="auto"/>
        <w:rPr>
          <w:rFonts w:hint="eastAsia"/>
          <w:sz w:val="24"/>
          <w:szCs w:val="24"/>
        </w:rPr>
      </w:pPr>
      <w:r>
        <w:rPr>
          <w:rFonts w:hint="eastAsia"/>
          <w:sz w:val="24"/>
          <w:szCs w:val="24"/>
        </w:rPr>
        <w:t>FP：假阳性，即预测为正，实际为负，预测为正样本是错的。</w:t>
      </w:r>
    </w:p>
    <w:p w14:paraId="285956BE">
      <w:pPr>
        <w:keepNext w:val="0"/>
        <w:keepLines w:val="0"/>
        <w:pageBreakBefore w:val="0"/>
        <w:widowControl w:val="0"/>
        <w:numPr>
          <w:ilvl w:val="0"/>
          <w:numId w:val="2"/>
        </w:numPr>
        <w:kinsoku/>
        <w:wordWrap/>
        <w:overflowPunct/>
        <w:topLinePunct w:val="0"/>
        <w:autoSpaceDE/>
        <w:autoSpaceDN/>
        <w:bidi w:val="0"/>
        <w:adjustRightInd/>
        <w:snapToGrid/>
        <w:spacing w:line="312" w:lineRule="auto"/>
        <w:ind w:firstLine="480" w:firstLineChars="200"/>
        <w:textAlignment w:val="auto"/>
        <w:rPr>
          <w:sz w:val="24"/>
          <w:szCs w:val="24"/>
        </w:rPr>
      </w:pPr>
      <w:r>
        <w:rPr>
          <w:rFonts w:hint="eastAsia"/>
          <w:sz w:val="24"/>
          <w:szCs w:val="24"/>
        </w:rPr>
        <w:t>FN：假阴性，即预测为负，实际为正，预测为负样本是错的。</w:t>
      </w:r>
    </w:p>
    <w:p w14:paraId="11271087">
      <w:pPr>
        <w:keepNext w:val="0"/>
        <w:keepLines w:val="0"/>
        <w:pageBreakBefore w:val="0"/>
        <w:widowControl w:val="0"/>
        <w:numPr>
          <w:ilvl w:val="0"/>
          <w:numId w:val="2"/>
        </w:numPr>
        <w:kinsoku/>
        <w:wordWrap/>
        <w:overflowPunct/>
        <w:topLinePunct w:val="0"/>
        <w:autoSpaceDE/>
        <w:autoSpaceDN/>
        <w:bidi w:val="0"/>
        <w:adjustRightInd/>
        <w:snapToGrid/>
        <w:spacing w:line="312" w:lineRule="auto"/>
        <w:ind w:firstLine="480" w:firstLineChars="200"/>
        <w:textAlignment w:val="auto"/>
        <w:rPr>
          <w:sz w:val="24"/>
          <w:szCs w:val="24"/>
        </w:rPr>
      </w:pPr>
      <w:r>
        <w:rPr>
          <w:rFonts w:hint="eastAsia"/>
          <w:sz w:val="24"/>
          <w:szCs w:val="24"/>
        </w:rPr>
        <w:t>TN：真阴性，即预测为负，实际为负，预测为负样本是对的。由上面的定义，给出本文采用的评价标准定义：</w:t>
      </w:r>
    </w:p>
    <w:p w14:paraId="2A12C818">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200"/>
        <w:textAlignment w:val="auto"/>
        <w:rPr>
          <w:rFonts w:hint="eastAsia"/>
          <w:sz w:val="24"/>
          <w:szCs w:val="24"/>
        </w:rPr>
      </w:pPr>
      <w:r>
        <w:rPr>
          <w:rFonts w:hint="eastAsia"/>
        </w:rPr>
        <w:t>（</w:t>
      </w:r>
      <w:r>
        <w:rPr>
          <w:rFonts w:hint="eastAsia"/>
          <w:sz w:val="24"/>
          <w:szCs w:val="24"/>
        </w:rPr>
        <w:t>1）准确率(Accuracy)：正确预测的数量与输入样本总数的比率。</w:t>
      </w:r>
      <w:r>
        <w:rPr>
          <w:rFonts w:hint="eastAsia"/>
          <w:sz w:val="24"/>
          <w:szCs w:val="24"/>
          <w:highlight w:val="none"/>
        </w:rPr>
        <w:t>公式为(3.1)</w:t>
      </w:r>
      <w:r>
        <w:rPr>
          <w:rFonts w:hint="eastAsia"/>
          <w:sz w:val="24"/>
          <w:szCs w:val="24"/>
        </w:rPr>
        <w:t>：</w:t>
      </w:r>
    </w:p>
    <w:p w14:paraId="56BAD88E">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firstLineChars="200"/>
        <w:textAlignment w:val="auto"/>
        <w:rPr>
          <w:rFonts w:hint="eastAsia"/>
          <w:sz w:val="24"/>
          <w:szCs w:val="24"/>
        </w:rPr>
      </w:pPr>
    </w:p>
    <w:p w14:paraId="59E5BE1A">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default" w:hAnsi="Cambria Math"/>
          <w:i w:val="0"/>
          <w:sz w:val="24"/>
          <w:szCs w:val="24"/>
          <w:lang w:val="en-US" w:eastAsia="zh-CN"/>
        </w:rPr>
      </w:pPr>
      <m:oMathPara>
        <m:oMath>
          <m:r>
            <m:rPr/>
            <w:rPr>
              <w:rFonts w:ascii="Cambria Math" w:hAnsi="Cambria Math" w:eastAsia="Cambria Math" w:cs="Cambria Math"/>
              <w:sz w:val="24"/>
              <w:szCs w:val="24"/>
            </w:rPr>
            <m:t>Accuracy=</m:t>
          </m:r>
          <m:f>
            <m:fPr>
              <m:ctrlPr>
                <w:rPr>
                  <w:sz w:val="24"/>
                  <w:szCs w:val="24"/>
                </w:rPr>
              </m:ctrlPr>
            </m:fPr>
            <m:num>
              <m:r>
                <m:rPr/>
                <w:rPr>
                  <w:rFonts w:ascii="Cambria Math" w:hAnsi="Cambria Math" w:eastAsia="Cambria Math" w:cs="Cambria Math"/>
                  <w:sz w:val="24"/>
                  <w:szCs w:val="24"/>
                </w:rPr>
                <m:t>TP+TN</m:t>
              </m:r>
              <m:ctrlPr>
                <w:rPr>
                  <w:sz w:val="24"/>
                  <w:szCs w:val="24"/>
                </w:rPr>
              </m:ctrlPr>
            </m:num>
            <m:den>
              <m:r>
                <m:rPr/>
                <w:rPr>
                  <w:rFonts w:ascii="Cambria Math" w:hAnsi="Cambria Math" w:eastAsia="Cambria Math" w:cs="Cambria Math"/>
                  <w:sz w:val="24"/>
                  <w:szCs w:val="24"/>
                </w:rPr>
                <m:t>TP+TN+FP+FN</m:t>
              </m:r>
              <m:ctrlPr>
                <w:rPr>
                  <w:sz w:val="24"/>
                  <w:szCs w:val="24"/>
                </w:rPr>
              </m:ctrlPr>
            </m:den>
          </m:f>
          <m:r>
            <m:rPr>
              <m:sty m:val="p"/>
            </m:rPr>
            <w:rPr>
              <w:rFonts w:hint="default" w:ascii="Cambria Math" w:hAnsi="Cambria Math"/>
              <w:sz w:val="24"/>
              <w:szCs w:val="24"/>
              <w:lang w:val="en-US" w:eastAsia="zh-CN"/>
            </w:rPr>
            <m:t xml:space="preserve">                     (3.1)</m:t>
          </m:r>
        </m:oMath>
      </m:oMathPara>
    </w:p>
    <w:p w14:paraId="38BC190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default" w:hAnsi="Cambria Math"/>
          <w:i w:val="0"/>
          <w:sz w:val="24"/>
          <w:szCs w:val="24"/>
          <w:lang w:val="en-US" w:eastAsia="zh-CN"/>
        </w:rPr>
      </w:pPr>
    </w:p>
    <w:p w14:paraId="341023D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default" w:hAnsi="Cambria Math"/>
          <w:i w:val="0"/>
          <w:sz w:val="24"/>
          <w:szCs w:val="24"/>
          <w:lang w:val="en-US" w:eastAsia="zh-CN"/>
        </w:rPr>
      </w:pPr>
    </w:p>
    <w:p w14:paraId="3C0B873E">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i w:val="0"/>
          <w:sz w:val="24"/>
          <w:szCs w:val="24"/>
        </w:rPr>
      </w:pPr>
    </w:p>
    <w:p w14:paraId="55B3F13C">
      <w:pPr>
        <w:keepNext w:val="0"/>
        <w:keepLines w:val="0"/>
        <w:pageBreakBefore w:val="0"/>
        <w:widowControl w:val="0"/>
        <w:numPr>
          <w:ilvl w:val="0"/>
          <w:numId w:val="3"/>
        </w:numPr>
        <w:kinsoku/>
        <w:wordWrap/>
        <w:overflowPunct/>
        <w:topLinePunct w:val="0"/>
        <w:autoSpaceDE/>
        <w:autoSpaceDN/>
        <w:bidi w:val="0"/>
        <w:adjustRightInd/>
        <w:snapToGrid/>
        <w:spacing w:line="312" w:lineRule="auto"/>
        <w:ind w:firstLine="480" w:firstLineChars="200"/>
        <w:textAlignment w:val="auto"/>
        <w:rPr>
          <w:rFonts w:hint="eastAsia"/>
          <w:sz w:val="24"/>
          <w:szCs w:val="24"/>
        </w:rPr>
      </w:pPr>
      <w:r>
        <w:rPr>
          <w:rFonts w:hint="eastAsia"/>
          <w:sz w:val="24"/>
          <w:szCs w:val="24"/>
        </w:rPr>
        <w:t>精确率(Precision)：真阳性样本的数量与所有预测阳性样本的数量之比。</w:t>
      </w:r>
      <w:r>
        <w:rPr>
          <w:rFonts w:hint="eastAsia"/>
          <w:sz w:val="24"/>
          <w:szCs w:val="24"/>
          <w:highlight w:val="none"/>
        </w:rPr>
        <w:t>公式为(3.2)：</w:t>
      </w:r>
    </w:p>
    <w:p w14:paraId="08EA3276">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firstLineChars="200"/>
        <w:jc w:val="both"/>
        <w:textAlignment w:val="auto"/>
        <w:rPr>
          <w:rFonts w:hint="eastAsia"/>
          <w:sz w:val="24"/>
          <w:szCs w:val="24"/>
        </w:rPr>
      </w:pPr>
    </w:p>
    <w:p w14:paraId="4CAFF5D2">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default" w:eastAsia="宋体"/>
          <w:sz w:val="24"/>
          <w:szCs w:val="24"/>
          <w:lang w:val="en-US" w:eastAsia="zh-CN"/>
        </w:rPr>
      </w:pPr>
      <m:oMathPara>
        <m:oMath>
          <m:r>
            <m:rPr/>
            <w:rPr>
              <w:rFonts w:ascii="Cambria Math" w:hAnsi="Cambria Math" w:eastAsia="Cambria Math" w:cs="Cambria Math"/>
              <w:sz w:val="24"/>
              <w:szCs w:val="24"/>
            </w:rPr>
            <m:t>Precision=</m:t>
          </m:r>
          <m:f>
            <m:fPr>
              <m:ctrlPr>
                <w:rPr>
                  <w:sz w:val="24"/>
                  <w:szCs w:val="24"/>
                </w:rPr>
              </m:ctrlPr>
            </m:fPr>
            <m:num>
              <m:r>
                <m:rPr/>
                <w:rPr>
                  <w:rFonts w:ascii="Cambria Math" w:hAnsi="Cambria Math" w:eastAsia="Cambria Math" w:cs="Cambria Math"/>
                  <w:sz w:val="24"/>
                  <w:szCs w:val="24"/>
                </w:rPr>
                <m:t>TP</m:t>
              </m:r>
              <m:ctrlPr>
                <w:rPr>
                  <w:sz w:val="24"/>
                  <w:szCs w:val="24"/>
                </w:rPr>
              </m:ctrlPr>
            </m:num>
            <m:den>
              <m:r>
                <m:rPr/>
                <w:rPr>
                  <w:rFonts w:ascii="Cambria Math" w:hAnsi="Cambria Math" w:eastAsia="Cambria Math" w:cs="Cambria Math"/>
                  <w:sz w:val="24"/>
                  <w:szCs w:val="24"/>
                </w:rPr>
                <m:t>TP+FP</m:t>
              </m:r>
              <m:ctrlPr>
                <w:rPr>
                  <w:sz w:val="24"/>
                  <w:szCs w:val="24"/>
                </w:rPr>
              </m:ctrlPr>
            </m:den>
          </m:f>
          <m:r>
            <m:rPr>
              <m:sty m:val="p"/>
            </m:rPr>
            <w:rPr>
              <w:rFonts w:hint="default" w:ascii="Cambria Math" w:hAnsi="Cambria Math"/>
              <w:sz w:val="24"/>
              <w:szCs w:val="24"/>
              <w:lang w:val="en-US" w:eastAsia="zh-CN"/>
            </w:rPr>
            <m:t xml:space="preserve">                              (3.2)</m:t>
          </m:r>
        </m:oMath>
      </m:oMathPara>
    </w:p>
    <w:p w14:paraId="22C82173">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80" w:firstLineChars="200"/>
        <w:jc w:val="both"/>
        <w:textAlignment w:val="auto"/>
        <w:rPr>
          <w:rFonts w:hint="eastAsia"/>
          <w:sz w:val="24"/>
          <w:szCs w:val="24"/>
          <w:highlight w:val="none"/>
        </w:rPr>
      </w:pPr>
      <w:r>
        <w:rPr>
          <w:rFonts w:hint="eastAsia"/>
          <w:sz w:val="24"/>
          <w:szCs w:val="24"/>
        </w:rPr>
        <w:t>（3）召回率(Recall)：指实际为正确的样本中，判断为阳性的比例。</w:t>
      </w:r>
      <w:r>
        <w:rPr>
          <w:rFonts w:hint="eastAsia"/>
          <w:sz w:val="24"/>
          <w:szCs w:val="24"/>
          <w:highlight w:val="none"/>
        </w:rPr>
        <w:t>公式为(3.3)：</w:t>
      </w:r>
    </w:p>
    <w:p w14:paraId="271436E7">
      <w:pPr>
        <w:keepNext w:val="0"/>
        <w:keepLines w:val="0"/>
        <w:pageBreakBefore w:val="0"/>
        <w:widowControl w:val="0"/>
        <w:kinsoku/>
        <w:wordWrap/>
        <w:overflowPunct/>
        <w:topLinePunct w:val="0"/>
        <w:autoSpaceDE/>
        <w:autoSpaceDN/>
        <w:bidi w:val="0"/>
        <w:adjustRightInd/>
        <w:snapToGrid/>
        <w:spacing w:line="312" w:lineRule="auto"/>
        <w:ind w:firstLine="480" w:firstLineChars="200"/>
        <w:textAlignment w:val="auto"/>
        <w:rPr>
          <w:rFonts w:hint="default" w:eastAsia="宋体"/>
          <w:sz w:val="24"/>
          <w:szCs w:val="24"/>
          <w:lang w:val="en-US" w:eastAsia="zh-CN"/>
        </w:rPr>
      </w:pPr>
      <m:oMathPara>
        <m:oMath>
          <m:r>
            <m:rPr/>
            <w:rPr>
              <w:rFonts w:ascii="Cambria Math" w:hAnsi="Cambria Math" w:eastAsia="Cambria Math" w:cs="Cambria Math"/>
              <w:sz w:val="24"/>
              <w:szCs w:val="24"/>
            </w:rPr>
            <m:t>Recall=</m:t>
          </m:r>
          <m:f>
            <m:fPr>
              <m:ctrlPr>
                <w:rPr>
                  <w:sz w:val="24"/>
                  <w:szCs w:val="24"/>
                </w:rPr>
              </m:ctrlPr>
            </m:fPr>
            <m:num>
              <m:r>
                <m:rPr/>
                <w:rPr>
                  <w:rFonts w:ascii="Cambria Math" w:hAnsi="Cambria Math" w:eastAsia="Cambria Math" w:cs="Cambria Math"/>
                  <w:sz w:val="24"/>
                  <w:szCs w:val="24"/>
                </w:rPr>
                <m:t>TP</m:t>
              </m:r>
              <m:ctrlPr>
                <w:rPr>
                  <w:sz w:val="24"/>
                  <w:szCs w:val="24"/>
                </w:rPr>
              </m:ctrlPr>
            </m:num>
            <m:den>
              <m:r>
                <m:rPr/>
                <w:rPr>
                  <w:rFonts w:ascii="Cambria Math" w:hAnsi="Cambria Math" w:eastAsia="Cambria Math" w:cs="Cambria Math"/>
                  <w:sz w:val="24"/>
                  <w:szCs w:val="24"/>
                </w:rPr>
                <m:t>TP+FN</m:t>
              </m:r>
              <m:ctrlPr>
                <w:rPr>
                  <w:sz w:val="24"/>
                  <w:szCs w:val="24"/>
                </w:rPr>
              </m:ctrlPr>
            </m:den>
          </m:f>
          <m:r>
            <m:rPr>
              <m:sty m:val="p"/>
            </m:rPr>
            <w:rPr>
              <w:rFonts w:hint="default" w:ascii="Cambria Math" w:hAnsi="Cambria Math"/>
              <w:sz w:val="24"/>
              <w:szCs w:val="24"/>
              <w:lang w:val="en-US" w:eastAsia="zh-CN"/>
            </w:rPr>
            <m:t xml:space="preserve">                          (3.3)</m:t>
          </m:r>
        </m:oMath>
      </m:oMathPara>
    </w:p>
    <w:p w14:paraId="61C971D2">
      <w:pPr>
        <w:pStyle w:val="4"/>
        <w:keepNext w:val="0"/>
        <w:keepLines w:val="0"/>
        <w:widowControl w:val="0"/>
        <w:spacing w:before="0" w:after="0" w:line="312" w:lineRule="auto"/>
        <w:ind w:left="0"/>
        <w:jc w:val="both"/>
        <w:rPr>
          <w:rFonts w:hint="default" w:ascii="Times New Roman" w:hAnsi="Times New Roman" w:eastAsia="宋体" w:cs="Times New Roman"/>
          <w:b/>
          <w:kern w:val="2"/>
          <w:sz w:val="28"/>
          <w:szCs w:val="28"/>
          <w:lang w:val="en-US" w:eastAsia="zh-CN" w:bidi="ar-SA"/>
        </w:rPr>
      </w:pPr>
      <w:bookmarkStart w:id="42" w:name="_Toc18590"/>
      <w:r>
        <w:rPr>
          <w:rFonts w:hint="eastAsia" w:ascii="Times New Roman" w:hAnsi="Times New Roman" w:eastAsia="宋体" w:cs="Times New Roman"/>
          <w:b/>
          <w:kern w:val="2"/>
          <w:sz w:val="28"/>
          <w:szCs w:val="28"/>
          <w:lang w:val="en-US" w:eastAsia="zh-CN" w:bidi="ar-SA"/>
        </w:rPr>
        <w:t xml:space="preserve">5.3.2 </w:t>
      </w:r>
      <w:r>
        <w:rPr>
          <w:rFonts w:hint="default" w:ascii="Times New Roman" w:hAnsi="Times New Roman" w:eastAsia="宋体" w:cs="Times New Roman"/>
          <w:b/>
          <w:kern w:val="2"/>
          <w:sz w:val="28"/>
          <w:szCs w:val="28"/>
          <w:lang w:val="en-US" w:eastAsia="zh-CN" w:bidi="ar-SA"/>
        </w:rPr>
        <w:t>训练与验证准确率变化分析</w:t>
      </w:r>
      <w:bookmarkEnd w:id="42"/>
    </w:p>
    <w:p w14:paraId="510A22EE">
      <w:pPr>
        <w:jc w:val="center"/>
        <w:rPr>
          <w:rFonts w:hint="eastAsia" w:eastAsia="宋体"/>
          <w:lang w:eastAsia="zh-CN"/>
        </w:rPr>
      </w:pPr>
      <w:r>
        <w:rPr>
          <w:rFonts w:hint="eastAsia" w:eastAsia="宋体"/>
          <w:lang w:eastAsia="zh-CN"/>
        </w:rPr>
        <w:drawing>
          <wp:inline distT="0" distB="0" distL="114300" distR="114300">
            <wp:extent cx="3487420" cy="2264410"/>
            <wp:effectExtent l="0" t="0" r="5080" b="5715"/>
            <wp:docPr id="13" name="图片 13" descr="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raining_curves"/>
                    <pic:cNvPicPr>
                      <a:picLocks noChangeAspect="1"/>
                    </pic:cNvPicPr>
                  </pic:nvPicPr>
                  <pic:blipFill>
                    <a:blip r:embed="rId19"/>
                    <a:stretch>
                      <a:fillRect/>
                    </a:stretch>
                  </pic:blipFill>
                  <pic:spPr>
                    <a:xfrm>
                      <a:off x="0" y="0"/>
                      <a:ext cx="3487420" cy="2264410"/>
                    </a:xfrm>
                    <a:prstGeom prst="rect">
                      <a:avLst/>
                    </a:prstGeom>
                  </pic:spPr>
                </pic:pic>
              </a:graphicData>
            </a:graphic>
          </wp:inline>
        </w:drawing>
      </w:r>
    </w:p>
    <w:p w14:paraId="2B74591B">
      <w:pPr>
        <w:jc w:val="center"/>
        <w:rPr>
          <w:rFonts w:hint="eastAsia" w:eastAsia="宋体"/>
          <w:lang w:eastAsia="zh-CN"/>
        </w:rPr>
      </w:pPr>
      <w:r>
        <w:rPr>
          <w:rFonts w:hint="eastAsia"/>
          <w:b/>
          <w:bCs/>
          <w:lang w:val="en-US" w:eastAsia="zh-CN"/>
        </w:rPr>
        <w:t xml:space="preserve">图5-1 </w:t>
      </w:r>
    </w:p>
    <w:p w14:paraId="74046314">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图5-1“模型训练过程中的准确率变化”展示了训练轮次与准确率的关系。训练准确率（蓝色曲线）和验证准确率（红色曲线）随训练轮次增加呈现逐步上升趋势，在训练后期均趋于稳定，且两者差距较小。这表明模型在训练过程中能够有效学习数据特征，未出现明显的过拟合现象，具备较好的泛化能力，能够在新数据上保持稳定的性能表现。</w:t>
      </w:r>
    </w:p>
    <w:p w14:paraId="1EE0A82B">
      <w:pPr>
        <w:pStyle w:val="4"/>
        <w:keepNext w:val="0"/>
        <w:keepLines w:val="0"/>
        <w:widowControl w:val="0"/>
        <w:spacing w:before="0" w:after="0" w:line="312" w:lineRule="auto"/>
        <w:ind w:left="0"/>
        <w:jc w:val="both"/>
        <w:rPr>
          <w:rFonts w:hint="eastAsia" w:ascii="Times New Roman" w:hAnsi="Times New Roman" w:eastAsia="宋体" w:cs="Times New Roman"/>
          <w:b/>
          <w:kern w:val="2"/>
          <w:sz w:val="28"/>
          <w:szCs w:val="28"/>
          <w:lang w:val="en-US" w:eastAsia="zh-CN" w:bidi="ar-SA"/>
        </w:rPr>
      </w:pPr>
      <w:bookmarkStart w:id="43" w:name="_Toc19219"/>
      <w:r>
        <w:rPr>
          <w:rFonts w:hint="eastAsia" w:ascii="Times New Roman" w:hAnsi="Times New Roman" w:eastAsia="宋体" w:cs="Times New Roman"/>
          <w:b/>
          <w:kern w:val="2"/>
          <w:sz w:val="28"/>
          <w:szCs w:val="28"/>
          <w:lang w:val="en-US" w:eastAsia="zh-CN" w:bidi="ar-SA"/>
        </w:rPr>
        <w:t>5.3.3 测试集混淆矩阵分析</w:t>
      </w:r>
      <w:bookmarkEnd w:id="43"/>
    </w:p>
    <w:p w14:paraId="6F0B76CB">
      <w:pPr>
        <w:jc w:val="center"/>
        <w:rPr>
          <w:rFonts w:hint="eastAsia" w:eastAsia="宋体"/>
          <w:lang w:eastAsia="zh-CN"/>
        </w:rPr>
      </w:pPr>
      <w:r>
        <w:rPr>
          <w:rFonts w:hint="eastAsia" w:eastAsia="宋体"/>
          <w:lang w:eastAsia="zh-CN"/>
        </w:rPr>
        <w:drawing>
          <wp:inline distT="0" distB="0" distL="114300" distR="114300">
            <wp:extent cx="4224655" cy="3640455"/>
            <wp:effectExtent l="0" t="0" r="13970" b="10795"/>
            <wp:docPr id="14" name="图片 14"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onfusion_matrix"/>
                    <pic:cNvPicPr>
                      <a:picLocks noChangeAspect="1"/>
                    </pic:cNvPicPr>
                  </pic:nvPicPr>
                  <pic:blipFill>
                    <a:blip r:embed="rId20"/>
                    <a:stretch>
                      <a:fillRect/>
                    </a:stretch>
                  </pic:blipFill>
                  <pic:spPr>
                    <a:xfrm>
                      <a:off x="0" y="0"/>
                      <a:ext cx="4224655" cy="3640455"/>
                    </a:xfrm>
                    <a:prstGeom prst="rect">
                      <a:avLst/>
                    </a:prstGeom>
                  </pic:spPr>
                </pic:pic>
              </a:graphicData>
            </a:graphic>
          </wp:inline>
        </w:drawing>
      </w:r>
    </w:p>
    <w:p w14:paraId="3E18404C">
      <w:pPr>
        <w:jc w:val="center"/>
        <w:rPr>
          <w:rFonts w:hint="default" w:eastAsia="宋体"/>
          <w:b/>
          <w:bCs/>
          <w:lang w:val="en-US" w:eastAsia="zh-CN"/>
        </w:rPr>
      </w:pPr>
      <w:r>
        <w:rPr>
          <w:rFonts w:hint="eastAsia"/>
          <w:b/>
          <w:bCs/>
          <w:lang w:val="en-US" w:eastAsia="zh-CN"/>
        </w:rPr>
        <w:t xml:space="preserve">图5-2 </w:t>
      </w:r>
    </w:p>
    <w:p w14:paraId="7EB3F208">
      <w:pPr>
        <w:widowControl w:val="0"/>
        <w:spacing w:line="312" w:lineRule="auto"/>
        <w:ind w:firstLine="480" w:firstLineChars="200"/>
        <w:jc w:val="both"/>
        <w:rPr>
          <w:rFonts w:hint="eastAsia"/>
          <w:kern w:val="2"/>
          <w:sz w:val="24"/>
          <w:szCs w:val="24"/>
          <w:lang w:val="en-US" w:eastAsia="zh-CN" w:bidi="ar-SA"/>
        </w:rPr>
      </w:pPr>
      <w:r>
        <w:rPr>
          <w:rFonts w:hint="default"/>
          <w:kern w:val="2"/>
          <w:sz w:val="24"/>
          <w:szCs w:val="24"/>
          <w:lang w:val="en-US" w:eastAsia="zh-CN" w:bidi="ar-SA"/>
        </w:rPr>
        <w:t>图</w:t>
      </w:r>
      <w:r>
        <w:rPr>
          <w:rFonts w:hint="eastAsia"/>
          <w:kern w:val="2"/>
          <w:sz w:val="24"/>
          <w:szCs w:val="24"/>
          <w:lang w:val="en-US" w:eastAsia="zh-CN" w:bidi="ar-SA"/>
        </w:rPr>
        <w:t>5-2</w:t>
      </w:r>
      <w:r>
        <w:rPr>
          <w:rFonts w:hint="default"/>
          <w:kern w:val="2"/>
          <w:sz w:val="24"/>
          <w:szCs w:val="24"/>
          <w:lang w:val="en-US" w:eastAsia="zh-CN" w:bidi="ar-SA"/>
        </w:rPr>
        <w:t>“模型在测试集上的混淆矩阵” 详细呈现了模型对各药材类别的预测情况。对角线元素（如人参0.95、西洋参0.92、北沙参0.94等）代表正确预测的比例，数值普遍较高，说明模型对多数药材类别的识别能力较强。非对角线元素反映类别间的混淆情况，例如人参有0.03的概率被错判为西洋参，西洋参有0.04的概率被错判为人参，这可能是由于两者在特征上存在一定相似性，导致模型区分困难。总体而言，模型在多数类别上表现可靠，但部分相似类别需进一步优化特征提取或增加区分度。</w:t>
      </w:r>
    </w:p>
    <w:p w14:paraId="23EF6436">
      <w:pPr>
        <w:pStyle w:val="4"/>
        <w:keepNext w:val="0"/>
        <w:keepLines w:val="0"/>
        <w:widowControl w:val="0"/>
        <w:spacing w:before="0" w:after="0" w:line="312" w:lineRule="auto"/>
        <w:ind w:left="0"/>
        <w:jc w:val="both"/>
        <w:rPr>
          <w:rFonts w:hint="eastAsia" w:ascii="Times New Roman" w:hAnsi="Times New Roman" w:eastAsia="宋体" w:cs="Times New Roman"/>
          <w:b/>
          <w:kern w:val="2"/>
          <w:sz w:val="28"/>
          <w:szCs w:val="28"/>
          <w:lang w:val="en-US" w:eastAsia="zh-CN" w:bidi="ar-SA"/>
        </w:rPr>
      </w:pPr>
      <w:bookmarkStart w:id="44" w:name="_Toc7717"/>
      <w:r>
        <w:rPr>
          <w:rFonts w:hint="eastAsia" w:ascii="Times New Roman" w:hAnsi="Times New Roman" w:eastAsia="宋体" w:cs="Times New Roman"/>
          <w:b/>
          <w:kern w:val="2"/>
          <w:sz w:val="28"/>
          <w:szCs w:val="28"/>
          <w:lang w:val="en-US" w:eastAsia="zh-CN" w:bidi="ar-SA"/>
        </w:rPr>
        <w:t>5.3.4 预测结果置信度分布分析</w:t>
      </w:r>
      <w:bookmarkEnd w:id="44"/>
    </w:p>
    <w:p w14:paraId="5FB3E991">
      <w:pPr>
        <w:widowControl w:val="0"/>
        <w:spacing w:line="312" w:lineRule="auto"/>
        <w:ind w:firstLine="480" w:firstLineChars="200"/>
        <w:jc w:val="both"/>
        <w:rPr>
          <w:rFonts w:hint="eastAsia"/>
          <w:kern w:val="2"/>
          <w:sz w:val="24"/>
          <w:szCs w:val="24"/>
          <w:lang w:val="en-US" w:eastAsia="zh-CN" w:bidi="ar-SA"/>
        </w:rPr>
      </w:pPr>
      <w:r>
        <w:rPr>
          <w:rFonts w:hint="default"/>
          <w:kern w:val="2"/>
          <w:sz w:val="24"/>
          <w:szCs w:val="24"/>
          <w:lang w:val="en-US" w:eastAsia="zh-CN" w:bidi="ar-SA"/>
        </w:rPr>
        <w:t>图</w:t>
      </w:r>
      <w:r>
        <w:rPr>
          <w:rFonts w:hint="eastAsia"/>
          <w:kern w:val="2"/>
          <w:sz w:val="24"/>
          <w:szCs w:val="24"/>
          <w:lang w:val="en-US" w:eastAsia="zh-CN" w:bidi="ar-SA"/>
        </w:rPr>
        <w:t>5-3</w:t>
      </w:r>
      <w:r>
        <w:rPr>
          <w:rFonts w:hint="default"/>
          <w:kern w:val="2"/>
          <w:sz w:val="24"/>
          <w:szCs w:val="24"/>
          <w:lang w:val="en-US" w:eastAsia="zh-CN" w:bidi="ar-SA"/>
        </w:rPr>
        <w:t>“预测结果置信度分布”显示，预测置信度主要集中在0.8以上，尤其是置信度为1.0时频数最高。这表明模型在做出预测时，多数结果具有较高的置信度，预测结果的可靠性较强。较低置信度区间（如0.6-0.7）频数较少，说明模型对绝大多数样本能够明确分类，减少了模糊判断的情况，进一步证明了模型的稳定性和准确性。</w:t>
      </w:r>
    </w:p>
    <w:p w14:paraId="3DDCB5EF">
      <w:pPr>
        <w:jc w:val="center"/>
        <w:rPr>
          <w:rFonts w:hint="eastAsia" w:eastAsia="宋体"/>
          <w:lang w:eastAsia="zh-CN"/>
        </w:rPr>
      </w:pPr>
      <w:r>
        <w:rPr>
          <w:rFonts w:hint="eastAsia" w:eastAsia="宋体"/>
          <w:lang w:eastAsia="zh-CN"/>
        </w:rPr>
        <w:drawing>
          <wp:inline distT="0" distB="0" distL="114300" distR="114300">
            <wp:extent cx="4041775" cy="2605405"/>
            <wp:effectExtent l="0" t="0" r="6350" b="13970"/>
            <wp:docPr id="15" name="图片 15" descr="confidenc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onfidence_distribution"/>
                    <pic:cNvPicPr>
                      <a:picLocks noChangeAspect="1"/>
                    </pic:cNvPicPr>
                  </pic:nvPicPr>
                  <pic:blipFill>
                    <a:blip r:embed="rId21"/>
                    <a:stretch>
                      <a:fillRect/>
                    </a:stretch>
                  </pic:blipFill>
                  <pic:spPr>
                    <a:xfrm>
                      <a:off x="0" y="0"/>
                      <a:ext cx="4041775" cy="2605405"/>
                    </a:xfrm>
                    <a:prstGeom prst="rect">
                      <a:avLst/>
                    </a:prstGeom>
                  </pic:spPr>
                </pic:pic>
              </a:graphicData>
            </a:graphic>
          </wp:inline>
        </w:drawing>
      </w:r>
    </w:p>
    <w:p w14:paraId="570CB7F8">
      <w:pPr>
        <w:jc w:val="center"/>
        <w:rPr>
          <w:rFonts w:hint="default" w:eastAsia="宋体"/>
          <w:b/>
          <w:bCs/>
          <w:lang w:val="en-US" w:eastAsia="zh-CN"/>
        </w:rPr>
      </w:pPr>
      <w:r>
        <w:rPr>
          <w:rFonts w:hint="eastAsia"/>
          <w:b/>
          <w:bCs/>
          <w:lang w:val="en-US" w:eastAsia="zh-CN"/>
        </w:rPr>
        <w:t xml:space="preserve">图5-3 </w:t>
      </w:r>
    </w:p>
    <w:p w14:paraId="7DA71351">
      <w:pPr>
        <w:pStyle w:val="4"/>
        <w:keepNext w:val="0"/>
        <w:keepLines w:val="0"/>
        <w:widowControl w:val="0"/>
        <w:spacing w:before="0" w:after="0" w:line="312" w:lineRule="auto"/>
        <w:ind w:left="0"/>
        <w:jc w:val="both"/>
        <w:rPr>
          <w:rFonts w:hint="default" w:ascii="Times New Roman" w:hAnsi="Times New Roman" w:eastAsia="宋体" w:cs="Times New Roman"/>
          <w:b/>
          <w:kern w:val="2"/>
          <w:sz w:val="28"/>
          <w:szCs w:val="28"/>
          <w:lang w:val="en-US" w:eastAsia="zh-CN" w:bidi="ar-SA"/>
        </w:rPr>
      </w:pPr>
      <w:bookmarkStart w:id="45" w:name="_Toc17232"/>
      <w:r>
        <w:rPr>
          <w:rFonts w:hint="eastAsia" w:ascii="Times New Roman" w:hAnsi="Times New Roman" w:eastAsia="宋体" w:cs="Times New Roman"/>
          <w:b/>
          <w:kern w:val="2"/>
          <w:sz w:val="28"/>
          <w:szCs w:val="28"/>
          <w:lang w:val="en-US" w:eastAsia="zh-CN" w:bidi="ar-SA"/>
        </w:rPr>
        <w:t xml:space="preserve">5.3.5 </w:t>
      </w:r>
      <w:r>
        <w:rPr>
          <w:rFonts w:hint="default" w:ascii="Times New Roman" w:hAnsi="Times New Roman" w:eastAsia="宋体" w:cs="Times New Roman"/>
          <w:b/>
          <w:kern w:val="2"/>
          <w:sz w:val="28"/>
          <w:szCs w:val="28"/>
          <w:lang w:val="en-US" w:eastAsia="zh-CN" w:bidi="ar-SA"/>
        </w:rPr>
        <w:t>各类别识别准确率分布分析</w:t>
      </w:r>
      <w:bookmarkEnd w:id="45"/>
    </w:p>
    <w:p w14:paraId="56ED785F">
      <w:pPr>
        <w:widowControl w:val="0"/>
        <w:spacing w:line="312" w:lineRule="auto"/>
        <w:ind w:firstLine="480" w:firstLineChars="200"/>
        <w:jc w:val="both"/>
        <w:rPr>
          <w:rFonts w:hint="eastAsia"/>
          <w:kern w:val="2"/>
          <w:sz w:val="24"/>
          <w:szCs w:val="24"/>
          <w:lang w:val="en-US" w:eastAsia="zh-CN" w:bidi="ar-SA"/>
        </w:rPr>
      </w:pPr>
      <w:r>
        <w:rPr>
          <w:rFonts w:hint="default"/>
          <w:kern w:val="2"/>
          <w:sz w:val="24"/>
          <w:szCs w:val="24"/>
          <w:lang w:val="en-US" w:eastAsia="zh-CN" w:bidi="ar-SA"/>
        </w:rPr>
        <w:t>图</w:t>
      </w:r>
      <w:r>
        <w:rPr>
          <w:rFonts w:hint="eastAsia"/>
          <w:kern w:val="2"/>
          <w:sz w:val="24"/>
          <w:szCs w:val="24"/>
          <w:lang w:val="en-US" w:eastAsia="zh-CN" w:bidi="ar-SA"/>
        </w:rPr>
        <w:t>5-4</w:t>
      </w:r>
      <w:r>
        <w:rPr>
          <w:rFonts w:hint="default"/>
          <w:kern w:val="2"/>
          <w:sz w:val="24"/>
          <w:szCs w:val="24"/>
          <w:lang w:val="en-US" w:eastAsia="zh-CN" w:bidi="ar-SA"/>
        </w:rPr>
        <w:t>“各类别识别准确率分布” 展示了不同药材类别的识别准确率。其中，玉竹、三七的准确率超过97.5%，表现极为优异，说明模型对这两类药材的特征捕捉精准。人参的准确率约为85%，是所有类别中最低的，可能是由于该类别样本的特征较为复杂，或训练数据量不足、样本多样性不够，导致模型对其识别存在一定困难。针对这一现象，可考虑增加人参类别的训练样本，或采用更精细的特征工程方法，提升模型对该类别的识别能力。</w:t>
      </w:r>
    </w:p>
    <w:p w14:paraId="3F5408F2">
      <w:pPr>
        <w:jc w:val="both"/>
        <w:rPr>
          <w:rFonts w:hint="eastAsia" w:eastAsia="宋体"/>
          <w:lang w:eastAsia="zh-CN"/>
        </w:rPr>
      </w:pPr>
      <w:r>
        <w:rPr>
          <w:rFonts w:hint="eastAsia" w:eastAsia="宋体"/>
          <w:lang w:eastAsia="zh-CN"/>
        </w:rPr>
        <w:drawing>
          <wp:inline distT="0" distB="0" distL="114300" distR="114300">
            <wp:extent cx="5326380" cy="2867660"/>
            <wp:effectExtent l="0" t="0" r="7620" b="5715"/>
            <wp:docPr id="16" name="图片 16" descr="accuracy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ccuracy_distribution"/>
                    <pic:cNvPicPr>
                      <a:picLocks noChangeAspect="1"/>
                    </pic:cNvPicPr>
                  </pic:nvPicPr>
                  <pic:blipFill>
                    <a:blip r:embed="rId22"/>
                    <a:stretch>
                      <a:fillRect/>
                    </a:stretch>
                  </pic:blipFill>
                  <pic:spPr>
                    <a:xfrm>
                      <a:off x="0" y="0"/>
                      <a:ext cx="5326380" cy="2867660"/>
                    </a:xfrm>
                    <a:prstGeom prst="rect">
                      <a:avLst/>
                    </a:prstGeom>
                  </pic:spPr>
                </pic:pic>
              </a:graphicData>
            </a:graphic>
          </wp:inline>
        </w:drawing>
      </w:r>
    </w:p>
    <w:p w14:paraId="47966D3D">
      <w:pPr>
        <w:jc w:val="center"/>
        <w:rPr>
          <w:rFonts w:hint="default" w:eastAsia="宋体"/>
          <w:b/>
          <w:bCs/>
          <w:lang w:val="en-US" w:eastAsia="zh-CN"/>
        </w:rPr>
      </w:pPr>
      <w:r>
        <w:rPr>
          <w:rFonts w:hint="eastAsia"/>
          <w:b/>
          <w:bCs/>
          <w:lang w:val="en-US" w:eastAsia="zh-CN"/>
        </w:rPr>
        <w:t xml:space="preserve">图5-4 </w:t>
      </w:r>
    </w:p>
    <w:p w14:paraId="22152BCC">
      <w:pPr>
        <w:pStyle w:val="4"/>
        <w:keepNext w:val="0"/>
        <w:keepLines w:val="0"/>
        <w:widowControl w:val="0"/>
        <w:spacing w:before="0" w:after="0" w:line="312" w:lineRule="auto"/>
        <w:ind w:left="0"/>
        <w:jc w:val="both"/>
        <w:rPr>
          <w:rFonts w:hint="default" w:ascii="Times New Roman" w:hAnsi="Times New Roman" w:eastAsia="宋体" w:cs="Times New Roman"/>
          <w:b/>
          <w:kern w:val="2"/>
          <w:sz w:val="28"/>
          <w:szCs w:val="28"/>
          <w:lang w:val="en-US" w:eastAsia="zh-CN" w:bidi="ar-SA"/>
        </w:rPr>
      </w:pPr>
      <w:bookmarkStart w:id="46" w:name="_Toc12187"/>
      <w:r>
        <w:rPr>
          <w:rFonts w:hint="eastAsia" w:ascii="Times New Roman" w:hAnsi="Times New Roman" w:eastAsia="宋体" w:cs="Times New Roman"/>
          <w:b/>
          <w:kern w:val="2"/>
          <w:sz w:val="28"/>
          <w:szCs w:val="28"/>
          <w:lang w:val="en-US" w:eastAsia="zh-CN" w:bidi="ar-SA"/>
        </w:rPr>
        <w:t xml:space="preserve">5.3.6 </w:t>
      </w:r>
      <w:r>
        <w:rPr>
          <w:rFonts w:hint="default" w:ascii="Times New Roman" w:hAnsi="Times New Roman" w:eastAsia="宋体" w:cs="Times New Roman"/>
          <w:b/>
          <w:kern w:val="2"/>
          <w:sz w:val="28"/>
          <w:szCs w:val="28"/>
          <w:lang w:val="en-US" w:eastAsia="zh-CN" w:bidi="ar-SA"/>
        </w:rPr>
        <w:t>综合结论</w:t>
      </w:r>
      <w:bookmarkEnd w:id="46"/>
    </w:p>
    <w:p w14:paraId="1988FE4F">
      <w:pPr>
        <w:pStyle w:val="21"/>
        <w:keepNext w:val="0"/>
        <w:keepLines w:val="0"/>
        <w:pageBreakBefore w:val="0"/>
        <w:widowControl w:val="0"/>
        <w:kinsoku/>
        <w:wordWrap/>
        <w:overflowPunct/>
        <w:topLinePunct w:val="0"/>
        <w:autoSpaceDE/>
        <w:autoSpaceDN/>
        <w:bidi w:val="0"/>
        <w:adjustRightInd w:val="0"/>
        <w:snapToGrid w:val="0"/>
        <w:spacing w:before="0" w:beforeLines="0" w:after="0" w:afterLines="0" w:line="240" w:lineRule="auto"/>
        <w:ind w:firstLine="0" w:firstLineChars="0"/>
        <w:jc w:val="center"/>
        <w:textAlignment w:val="auto"/>
        <w:rPr>
          <w:rFonts w:hint="default"/>
          <w:b/>
          <w:bCs/>
          <w:sz w:val="21"/>
          <w:szCs w:val="21"/>
          <w:lang w:val="en-US" w:eastAsia="zh-CN"/>
        </w:rPr>
      </w:pPr>
      <w:r>
        <w:rPr>
          <w:rFonts w:hint="eastAsia"/>
          <w:b/>
          <w:bCs/>
          <w:sz w:val="21"/>
          <w:szCs w:val="21"/>
          <w:lang w:val="en-US" w:eastAsia="zh-CN"/>
        </w:rPr>
        <w:t xml:space="preserve">表5-3 </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3"/>
        <w:gridCol w:w="1934"/>
        <w:gridCol w:w="1934"/>
        <w:gridCol w:w="1934"/>
        <w:gridCol w:w="2013"/>
      </w:tblGrid>
      <w:tr w14:paraId="1658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 w:type="pct"/>
            <w:vAlign w:val="center"/>
          </w:tcPr>
          <w:p w14:paraId="5A122A8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指标</w:t>
            </w:r>
          </w:p>
        </w:tc>
        <w:tc>
          <w:tcPr>
            <w:tcW w:w="1046" w:type="pct"/>
            <w:vAlign w:val="center"/>
          </w:tcPr>
          <w:p w14:paraId="78BA250E">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准确度</w:t>
            </w:r>
          </w:p>
        </w:tc>
        <w:tc>
          <w:tcPr>
            <w:tcW w:w="1046" w:type="pct"/>
            <w:vAlign w:val="center"/>
          </w:tcPr>
          <w:p w14:paraId="20BF9193">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精确度</w:t>
            </w:r>
          </w:p>
        </w:tc>
        <w:tc>
          <w:tcPr>
            <w:tcW w:w="1046" w:type="pct"/>
            <w:vAlign w:val="center"/>
          </w:tcPr>
          <w:p w14:paraId="168D36CE">
            <w:pPr>
              <w:keepNext w:val="0"/>
              <w:keepLines w:val="0"/>
              <w:pageBreakBefore w:val="0"/>
              <w:widowControl w:val="0"/>
              <w:kinsoku/>
              <w:wordWrap/>
              <w:overflowPunct/>
              <w:topLinePunct w:val="0"/>
              <w:autoSpaceDE/>
              <w:autoSpaceDN/>
              <w:bidi w:val="0"/>
              <w:adjustRightInd/>
              <w:snapToGrid/>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召回率</w:t>
            </w:r>
          </w:p>
        </w:tc>
        <w:tc>
          <w:tcPr>
            <w:tcW w:w="1089" w:type="pct"/>
            <w:vAlign w:val="center"/>
          </w:tcPr>
          <w:p w14:paraId="476A5EFF">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F1分数</w:t>
            </w:r>
          </w:p>
        </w:tc>
      </w:tr>
      <w:tr w14:paraId="118D0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0" w:type="pct"/>
            <w:vAlign w:val="center"/>
          </w:tcPr>
          <w:p w14:paraId="39437CE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量化</w:t>
            </w:r>
          </w:p>
        </w:tc>
        <w:tc>
          <w:tcPr>
            <w:tcW w:w="1046" w:type="pct"/>
            <w:vAlign w:val="center"/>
          </w:tcPr>
          <w:p w14:paraId="0066481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94.71%</w:t>
            </w:r>
          </w:p>
        </w:tc>
        <w:tc>
          <w:tcPr>
            <w:tcW w:w="1046" w:type="pct"/>
            <w:vAlign w:val="center"/>
          </w:tcPr>
          <w:p w14:paraId="6BB0D64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93.58%</w:t>
            </w:r>
          </w:p>
        </w:tc>
        <w:tc>
          <w:tcPr>
            <w:tcW w:w="1046" w:type="pct"/>
            <w:vAlign w:val="center"/>
          </w:tcPr>
          <w:p w14:paraId="3C082E8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92.45%</w:t>
            </w:r>
          </w:p>
        </w:tc>
        <w:tc>
          <w:tcPr>
            <w:tcW w:w="1089" w:type="pct"/>
            <w:vAlign w:val="center"/>
          </w:tcPr>
          <w:p w14:paraId="31164E1C">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93.01%</w:t>
            </w:r>
          </w:p>
        </w:tc>
      </w:tr>
    </w:tbl>
    <w:p w14:paraId="5E895DB1">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综上所述，该模型在整体训练过程中表现稳定，具备良好的泛化能力，在测试集上对多数药材类别能够准确识别且预测置信度高。然而，部分类别（如人参）的识别准确率仍有提升空间。建议在后续优化中，针对易混淆类别增加样本量、优化特征提取策略或调整模型参数，以进一步提高模型的整体性能和对复杂特征类别的识别能力。通过这些改进措施，有望提升模型在实际应用中的可靠性和准确性，更好地满足药材识别任务的需求。</w:t>
      </w:r>
    </w:p>
    <w:p w14:paraId="611E8577">
      <w:pPr>
        <w:rPr>
          <w:rFonts w:ascii="Times New Roman" w:hAnsi="Times New Roman" w:eastAsia="宋体" w:cs="宋体"/>
          <w:color w:val="000000"/>
          <w:kern w:val="0"/>
          <w:sz w:val="24"/>
          <w:szCs w:val="24"/>
          <w:lang w:val="en-US" w:eastAsia="zh-CN" w:bidi="ar"/>
        </w:rPr>
        <w:sectPr>
          <w:headerReference r:id="rId7" w:type="default"/>
          <w:footerReference r:id="rId8" w:type="default"/>
          <w:pgSz w:w="11906" w:h="16838"/>
          <w:pgMar w:top="1440" w:right="1440" w:bottom="1440" w:left="1440" w:header="708" w:footer="708" w:gutter="0"/>
          <w:pgBorders>
            <w:top w:val="none" w:sz="0" w:space="0"/>
            <w:left w:val="none" w:sz="0" w:space="0"/>
            <w:bottom w:val="none" w:sz="0" w:space="0"/>
            <w:right w:val="none" w:sz="0" w:space="0"/>
          </w:pgBorders>
          <w:pgNumType w:fmt="decimal" w:start="1"/>
          <w:cols w:space="720" w:num="1"/>
          <w:docGrid w:linePitch="360" w:charSpace="0"/>
        </w:sectPr>
      </w:pPr>
      <w:r>
        <w:rPr>
          <w:rFonts w:ascii="Times New Roman" w:hAnsi="Times New Roman" w:eastAsia="宋体" w:cs="宋体"/>
          <w:color w:val="000000"/>
          <w:kern w:val="0"/>
          <w:sz w:val="24"/>
          <w:szCs w:val="24"/>
          <w:lang w:val="en-US" w:eastAsia="zh-CN" w:bidi="ar"/>
        </w:rPr>
        <w:br w:type="page"/>
      </w:r>
    </w:p>
    <w:p w14:paraId="3BC4051D">
      <w:pPr>
        <w:rPr>
          <w:rFonts w:hint="eastAsia" w:ascii="Times New Roman" w:hAnsi="Times New Roman" w:eastAsia="宋体" w:cs="宋体"/>
          <w:color w:val="000000"/>
          <w:kern w:val="0"/>
          <w:sz w:val="24"/>
          <w:szCs w:val="24"/>
          <w:lang w:val="en-US" w:eastAsia="zh-CN" w:bidi="ar"/>
        </w:rPr>
      </w:pPr>
    </w:p>
    <w:p w14:paraId="09C110B3">
      <w:pPr>
        <w:pStyle w:val="3"/>
        <w:keepNext w:val="0"/>
        <w:keepLines w:val="0"/>
        <w:pageBreakBefore w:val="0"/>
        <w:widowControl/>
        <w:kinsoku/>
        <w:wordWrap/>
        <w:overflowPunct/>
        <w:topLinePunct w:val="0"/>
        <w:autoSpaceDE/>
        <w:autoSpaceDN/>
        <w:bidi w:val="0"/>
        <w:adjustRightInd/>
        <w:snapToGrid/>
        <w:spacing w:before="0" w:after="0" w:line="312" w:lineRule="auto"/>
        <w:jc w:val="center"/>
        <w:textAlignment w:val="auto"/>
        <w:outlineLvl w:val="0"/>
        <w:rPr>
          <w:rFonts w:hint="eastAsia" w:ascii="Times New Roman" w:hAnsi="Times New Roman" w:eastAsia="宋体"/>
          <w:b/>
          <w:bCs/>
          <w:color w:val="auto"/>
          <w:sz w:val="36"/>
          <w:lang w:val="en-US" w:eastAsia="zh-CN"/>
        </w:rPr>
      </w:pPr>
      <w:bookmarkStart w:id="47" w:name="_Toc29317"/>
      <w:r>
        <w:rPr>
          <w:rFonts w:ascii="Times New Roman" w:hAnsi="Times New Roman" w:eastAsia="宋体"/>
          <w:b/>
          <w:bCs/>
          <w:color w:val="auto"/>
          <w:sz w:val="36"/>
        </w:rPr>
        <w:t>6</w:t>
      </w:r>
      <w:r>
        <w:rPr>
          <w:rFonts w:hint="eastAsia" w:ascii="Times New Roman" w:hAnsi="Times New Roman" w:eastAsia="宋体"/>
          <w:b/>
          <w:bCs/>
          <w:color w:val="auto"/>
          <w:sz w:val="36"/>
          <w:lang w:val="en-US" w:eastAsia="zh-CN"/>
        </w:rPr>
        <w:t>系统设计</w:t>
      </w:r>
      <w:bookmarkEnd w:id="47"/>
    </w:p>
    <w:p w14:paraId="759833FD">
      <w:pPr>
        <w:pStyle w:val="3"/>
        <w:keepNext w:val="0"/>
        <w:keepLines w:val="0"/>
        <w:widowControl w:val="0"/>
        <w:spacing w:before="0" w:after="0" w:line="312" w:lineRule="auto"/>
        <w:ind w:left="0"/>
        <w:jc w:val="both"/>
        <w:rPr>
          <w:rFonts w:ascii="Times New Roman" w:hAnsi="Times New Roman" w:eastAsia="宋体" w:cs="Times New Roman"/>
          <w:kern w:val="2"/>
          <w:sz w:val="30"/>
          <w:szCs w:val="30"/>
          <w:lang w:val="en-US" w:eastAsia="zh-CN" w:bidi="ar-SA"/>
        </w:rPr>
      </w:pPr>
      <w:bookmarkStart w:id="48" w:name="_Toc220"/>
      <w:r>
        <w:rPr>
          <w:rFonts w:hint="eastAsia" w:ascii="Times New Roman" w:hAnsi="Times New Roman" w:eastAsia="宋体" w:cs="Times New Roman"/>
          <w:kern w:val="2"/>
          <w:sz w:val="30"/>
          <w:szCs w:val="30"/>
          <w:lang w:val="en-US" w:eastAsia="zh-CN" w:bidi="ar-SA"/>
        </w:rPr>
        <w:t>6</w:t>
      </w:r>
      <w:r>
        <w:rPr>
          <w:rFonts w:ascii="Times New Roman" w:hAnsi="Times New Roman" w:eastAsia="宋体" w:cs="Times New Roman"/>
          <w:kern w:val="2"/>
          <w:sz w:val="30"/>
          <w:szCs w:val="30"/>
          <w:lang w:val="en-US" w:eastAsia="zh-CN" w:bidi="ar-SA"/>
        </w:rPr>
        <w:t>.1 系统总体架构</w:t>
      </w:r>
      <w:bookmarkEnd w:id="48"/>
    </w:p>
    <w:p w14:paraId="6D2D8602">
      <w:pPr>
        <w:keepNext w:val="0"/>
        <w:keepLines w:val="0"/>
        <w:widowControl/>
        <w:suppressLineNumbers w:val="0"/>
        <w:jc w:val="left"/>
      </w:pPr>
    </w:p>
    <w:p w14:paraId="233201F8">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本系统构建了一套融合本地深度学习模型与云端 AI 能力的智能中药材识别体系，核心技术框架基于 Flask 后端服务与 TensorFlow 深度学习引擎搭建。系统设计采用分层解耦架构，通过双重识别引擎的协同验证机制，有效提升中药材识别的可靠性。在技术实现上，本地部署的轻量化深度学习模型负责基础特征提取，结合百度 AI 云端的海量数据识别能力，形成 "本地初筛 - 云端复核" 的双重校验体系，显著降低单一模型可能存在的识别偏差问题。这种架构设计既保证了边缘计算的实时性，又利用云端的强大算力补充复杂场景下的识别能力，满足中医药领域对精准识别的核心需求。</w:t>
      </w:r>
    </w:p>
    <w:p w14:paraId="086FC7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20" w:firstLineChars="200"/>
        <w:jc w:val="center"/>
        <w:textAlignment w:val="auto"/>
        <w:rPr>
          <w:rFonts w:ascii="宋体" w:hAnsi="宋体" w:eastAsia="宋体" w:cs="宋体"/>
          <w:kern w:val="0"/>
          <w:sz w:val="24"/>
          <w:szCs w:val="24"/>
          <w:lang w:val="en-US" w:eastAsia="zh-CN" w:bidi="ar"/>
        </w:rPr>
      </w:pPr>
      <w:r>
        <w:drawing>
          <wp:inline distT="0" distB="0" distL="114300" distR="114300">
            <wp:extent cx="5722620" cy="3098165"/>
            <wp:effectExtent l="0" t="0" r="8255"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5722620" cy="3098165"/>
                    </a:xfrm>
                    <a:prstGeom prst="rect">
                      <a:avLst/>
                    </a:prstGeom>
                    <a:noFill/>
                    <a:ln>
                      <a:noFill/>
                    </a:ln>
                  </pic:spPr>
                </pic:pic>
              </a:graphicData>
            </a:graphic>
          </wp:inline>
        </w:drawing>
      </w:r>
    </w:p>
    <w:p w14:paraId="7E42A330">
      <w:pPr>
        <w:jc w:val="center"/>
        <w:rPr>
          <w:rFonts w:hint="eastAsia"/>
          <w:b/>
          <w:bCs/>
          <w:lang w:val="en-US" w:eastAsia="zh-CN"/>
        </w:rPr>
      </w:pPr>
      <w:r>
        <w:rPr>
          <w:rFonts w:hint="eastAsia"/>
          <w:b/>
          <w:bCs/>
          <w:lang w:val="en-US" w:eastAsia="zh-CN"/>
        </w:rPr>
        <w:t>图6-1相似药材识别系统功能模块图</w:t>
      </w:r>
    </w:p>
    <w:p w14:paraId="64FF6B55">
      <w:pPr>
        <w:pStyle w:val="4"/>
        <w:keepNext w:val="0"/>
        <w:keepLines w:val="0"/>
        <w:widowControl w:val="0"/>
        <w:spacing w:before="0" w:after="0" w:line="312" w:lineRule="auto"/>
        <w:ind w:left="0"/>
        <w:jc w:val="both"/>
        <w:rPr>
          <w:rFonts w:ascii="Times New Roman" w:hAnsi="Times New Roman" w:eastAsia="宋体" w:cs="Times New Roman"/>
          <w:b/>
          <w:kern w:val="2"/>
          <w:sz w:val="28"/>
          <w:szCs w:val="28"/>
          <w:lang w:val="en-US" w:eastAsia="zh-CN" w:bidi="ar-SA"/>
        </w:rPr>
      </w:pPr>
      <w:bookmarkStart w:id="49" w:name="_Toc17734"/>
      <w:r>
        <w:rPr>
          <w:rFonts w:hint="eastAsia" w:ascii="Times New Roman" w:hAnsi="Times New Roman" w:eastAsia="宋体" w:cs="Times New Roman"/>
          <w:b/>
          <w:kern w:val="2"/>
          <w:sz w:val="28"/>
          <w:szCs w:val="28"/>
          <w:lang w:val="en-US" w:eastAsia="zh-CN" w:bidi="ar-SA"/>
        </w:rPr>
        <w:t>6</w:t>
      </w:r>
      <w:r>
        <w:rPr>
          <w:rFonts w:ascii="Times New Roman" w:hAnsi="Times New Roman" w:eastAsia="宋体" w:cs="Times New Roman"/>
          <w:b/>
          <w:kern w:val="2"/>
          <w:sz w:val="28"/>
          <w:szCs w:val="28"/>
          <w:lang w:val="en-US" w:eastAsia="zh-CN" w:bidi="ar-SA"/>
        </w:rPr>
        <w:t>.1.1 系统设计目标</w:t>
      </w:r>
      <w:bookmarkEnd w:id="49"/>
    </w:p>
    <w:p w14:paraId="0D2604CE">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系统围绕中医药行业实际应用场景，确立四大核心设计目标。首先聚焦识别准确性，通过构建多维度特征数据库与双重验证机制，确保对常见中药材的识别准确率达到行业领先水平，满足专业医师与药材从业者的精准化需求。其次通过本地模型与云端 API 的异构融合架构，建立动态置信度评估模型，实现识别结果的交叉验证，将误识别率控制在可接受范围内。在用户体验层面，采用响应式 Web 设计技术，开发跨平台的交互界面，支持多终端设备的流畅操作，同时集成智能引导功能，降低非专业用户的使用门槛。系统架构预留模块化扩展接口，通过微服务化设计实现功能组件的动态加载，支持后续新增药材品类识别、智能推荐等扩展功能，保障系统的长期技术演进能力。</w:t>
      </w:r>
    </w:p>
    <w:p w14:paraId="00E871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firstLine="480" w:firstLineChars="200"/>
        <w:jc w:val="center"/>
        <w:textAlignment w:val="auto"/>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drawing>
          <wp:inline distT="0" distB="0" distL="114300" distR="114300">
            <wp:extent cx="5730240" cy="4297680"/>
            <wp:effectExtent l="0" t="0" r="635" b="4445"/>
            <wp:docPr id="3" name="图片 3" descr="pmfans_174757737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mfans_1747577371273"/>
                    <pic:cNvPicPr>
                      <a:picLocks noChangeAspect="1"/>
                    </pic:cNvPicPr>
                  </pic:nvPicPr>
                  <pic:blipFill>
                    <a:blip r:embed="rId24"/>
                    <a:stretch>
                      <a:fillRect/>
                    </a:stretch>
                  </pic:blipFill>
                  <pic:spPr>
                    <a:xfrm>
                      <a:off x="0" y="0"/>
                      <a:ext cx="5730240" cy="4297680"/>
                    </a:xfrm>
                    <a:prstGeom prst="rect">
                      <a:avLst/>
                    </a:prstGeom>
                  </pic:spPr>
                </pic:pic>
              </a:graphicData>
            </a:graphic>
          </wp:inline>
        </w:drawing>
      </w:r>
    </w:p>
    <w:p w14:paraId="3CF1A6C6">
      <w:pPr>
        <w:jc w:val="center"/>
        <w:rPr>
          <w:rFonts w:hint="default"/>
          <w:b/>
          <w:bCs/>
          <w:lang w:val="en-US" w:eastAsia="zh-CN"/>
        </w:rPr>
      </w:pPr>
      <w:r>
        <w:rPr>
          <w:rFonts w:hint="eastAsia"/>
          <w:b/>
          <w:bCs/>
          <w:lang w:val="en-US" w:eastAsia="zh-CN"/>
        </w:rPr>
        <w:t>图6-2系统架构设计图</w:t>
      </w:r>
    </w:p>
    <w:p w14:paraId="052AB4DB">
      <w:pPr>
        <w:pStyle w:val="4"/>
        <w:keepNext w:val="0"/>
        <w:keepLines w:val="0"/>
        <w:widowControl w:val="0"/>
        <w:spacing w:before="0" w:after="0" w:line="312" w:lineRule="auto"/>
        <w:ind w:left="0"/>
        <w:jc w:val="both"/>
        <w:rPr>
          <w:rFonts w:ascii="Times New Roman" w:hAnsi="Times New Roman" w:eastAsia="宋体" w:cs="Times New Roman"/>
          <w:b/>
          <w:kern w:val="2"/>
          <w:sz w:val="28"/>
          <w:szCs w:val="28"/>
          <w:lang w:val="en-US" w:eastAsia="zh-CN" w:bidi="ar-SA"/>
        </w:rPr>
      </w:pPr>
      <w:bookmarkStart w:id="50" w:name="_Toc2985"/>
      <w:r>
        <w:rPr>
          <w:rFonts w:hint="eastAsia" w:ascii="Times New Roman" w:hAnsi="Times New Roman" w:eastAsia="宋体" w:cs="Times New Roman"/>
          <w:b/>
          <w:kern w:val="2"/>
          <w:sz w:val="28"/>
          <w:szCs w:val="28"/>
          <w:lang w:val="en-US" w:eastAsia="zh-CN" w:bidi="ar-SA"/>
        </w:rPr>
        <w:t>6</w:t>
      </w:r>
      <w:r>
        <w:rPr>
          <w:rFonts w:ascii="Times New Roman" w:hAnsi="Times New Roman" w:eastAsia="宋体" w:cs="Times New Roman"/>
          <w:b/>
          <w:kern w:val="2"/>
          <w:sz w:val="28"/>
          <w:szCs w:val="28"/>
          <w:lang w:val="en-US" w:eastAsia="zh-CN" w:bidi="ar-SA"/>
        </w:rPr>
        <w:t>.1.2 系统架构设计</w:t>
      </w:r>
      <w:bookmarkEnd w:id="50"/>
    </w:p>
    <w:p w14:paraId="05B2629B">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采用经典的三层架构模式进行系统分层设计，各层之间通过标准化接口实现松耦合交互。表示层作为用户交互入口，基于 HTML5/CSS3 技术构建可视化界面，集成 WebSocket 实现实时数据交互，支持图像上传预览、识别结果动态展示等功能，通过前端组件化开发提升界面渲染效率。业务逻辑层作为核心处理单元，包含图像处理引擎、模型推理服务与数据管理模块：图像处理引擎集成 OpenCV 视觉库，实现图像降噪、边缘检测等预处理操作；模型推理服务封装 TensorFlow 训练的 EfficientNetV2B0 模型，结合百度 AI 开放平台 API 实现双重识别引擎的协同工作；数据管理模块负责业务数据的流程调度，通过任务队列机制优化多并发请求处理效率。数据访问层采用 SQLite 嵌入式数据库，针对中药材图像特征数据、用户信息、识别历史等不同数据类型设计索引策略，通过 ORM 框架实现数据持久化操作的统一管理，同时支持数据文件的加密存储与快速检索，保障数据访问的安全性与高效性。</w:t>
      </w:r>
    </w:p>
    <w:p w14:paraId="18E7BC56">
      <w:pPr>
        <w:pStyle w:val="3"/>
        <w:keepNext w:val="0"/>
        <w:keepLines w:val="0"/>
        <w:widowControl w:val="0"/>
        <w:spacing w:before="0" w:after="0" w:line="312" w:lineRule="auto"/>
        <w:ind w:left="0"/>
        <w:jc w:val="both"/>
        <w:rPr>
          <w:rFonts w:ascii="Times New Roman" w:hAnsi="Times New Roman" w:eastAsia="宋体" w:cs="Times New Roman"/>
          <w:kern w:val="2"/>
          <w:sz w:val="30"/>
          <w:szCs w:val="30"/>
          <w:lang w:val="en-US" w:eastAsia="zh-CN" w:bidi="ar-SA"/>
        </w:rPr>
      </w:pPr>
      <w:bookmarkStart w:id="51" w:name="_Toc6094"/>
      <w:r>
        <w:rPr>
          <w:rFonts w:hint="eastAsia" w:ascii="Times New Roman" w:hAnsi="Times New Roman" w:eastAsia="宋体" w:cs="Times New Roman"/>
          <w:kern w:val="2"/>
          <w:sz w:val="30"/>
          <w:szCs w:val="30"/>
          <w:lang w:val="en-US" w:eastAsia="zh-CN" w:bidi="ar-SA"/>
        </w:rPr>
        <w:t>6</w:t>
      </w:r>
      <w:r>
        <w:rPr>
          <w:rFonts w:ascii="Times New Roman" w:hAnsi="Times New Roman" w:eastAsia="宋体" w:cs="Times New Roman"/>
          <w:kern w:val="2"/>
          <w:sz w:val="30"/>
          <w:szCs w:val="30"/>
          <w:lang w:val="en-US" w:eastAsia="zh-CN" w:bidi="ar-SA"/>
        </w:rPr>
        <w:t>.2 系统功能模块设计</w:t>
      </w:r>
      <w:bookmarkEnd w:id="51"/>
    </w:p>
    <w:p w14:paraId="65CBFA39">
      <w:pPr>
        <w:pStyle w:val="4"/>
        <w:keepNext w:val="0"/>
        <w:keepLines w:val="0"/>
        <w:widowControl w:val="0"/>
        <w:spacing w:before="0" w:after="0" w:line="312" w:lineRule="auto"/>
        <w:ind w:left="0"/>
        <w:jc w:val="both"/>
        <w:rPr>
          <w:rFonts w:ascii="Times New Roman" w:hAnsi="Times New Roman" w:eastAsia="宋体" w:cs="Times New Roman"/>
          <w:b/>
          <w:kern w:val="2"/>
          <w:sz w:val="28"/>
          <w:szCs w:val="28"/>
          <w:lang w:val="en-US" w:eastAsia="zh-CN" w:bidi="ar-SA"/>
        </w:rPr>
      </w:pPr>
      <w:bookmarkStart w:id="52" w:name="_Toc18150"/>
      <w:r>
        <w:rPr>
          <w:rFonts w:hint="eastAsia" w:ascii="Times New Roman" w:hAnsi="Times New Roman" w:eastAsia="宋体" w:cs="Times New Roman"/>
          <w:b/>
          <w:kern w:val="2"/>
          <w:sz w:val="28"/>
          <w:szCs w:val="28"/>
          <w:lang w:val="en-US" w:eastAsia="zh-CN" w:bidi="ar-SA"/>
        </w:rPr>
        <w:t>6</w:t>
      </w:r>
      <w:r>
        <w:rPr>
          <w:rFonts w:ascii="Times New Roman" w:hAnsi="Times New Roman" w:eastAsia="宋体" w:cs="Times New Roman"/>
          <w:b/>
          <w:kern w:val="2"/>
          <w:sz w:val="28"/>
          <w:szCs w:val="28"/>
          <w:lang w:val="en-US" w:eastAsia="zh-CN" w:bidi="ar-SA"/>
        </w:rPr>
        <w:t>.2.1 用户管理模块</w:t>
      </w:r>
      <w:bookmarkEnd w:id="52"/>
    </w:p>
    <w:p w14:paraId="64CC9955">
      <w:pPr>
        <w:widowControl w:val="0"/>
        <w:spacing w:line="312" w:lineRule="auto"/>
        <w:ind w:firstLine="480" w:firstLineChars="200"/>
        <w:jc w:val="both"/>
        <w:rPr>
          <w:rFonts w:hint="default"/>
          <w:kern w:val="2"/>
          <w:sz w:val="24"/>
          <w:szCs w:val="24"/>
          <w:lang w:val="en-US" w:eastAsia="zh-CN" w:bidi="ar-SA"/>
        </w:rPr>
      </w:pPr>
      <w:r>
        <w:rPr>
          <w:rFonts w:hint="eastAsia"/>
          <w:kern w:val="2"/>
          <w:sz w:val="24"/>
          <w:szCs w:val="24"/>
          <w:lang w:val="en-US" w:eastAsia="zh-CN" w:bidi="ar-SA"/>
        </w:rPr>
        <w:t>用户管理模块构建全生命周期的账户管理体系，实现从注册到注销的闭环管理。在注册环节，采用渐进式表单验证技术，实时校验用户名格式、邮箱有效性及信息唯一性，通过发送包含动态令牌的验证邮件实现账户激活，确保用户信息的真实性。登录模块集成 BCrypt 密码哈希算法，对用户凭证进行高强度加密存储，结合 Session 会话管理机制维持登录状态，同时引入验证码防刷策略提升安全性。个人信息管理功能支持用户自定义系统偏好，如默认识别模式、结果展示语言等，提供密码重置、邮箱修改等安全操作入口，并通过安全会话终止机制确保用户退出时的信息清除，全方位保障用户账户安全与操作体验。</w:t>
      </w:r>
    </w:p>
    <w:p w14:paraId="0079F1F6">
      <w:pPr>
        <w:pStyle w:val="4"/>
        <w:keepNext w:val="0"/>
        <w:keepLines w:val="0"/>
        <w:widowControl w:val="0"/>
        <w:spacing w:before="0" w:after="0" w:line="312" w:lineRule="auto"/>
        <w:ind w:left="0"/>
        <w:jc w:val="both"/>
        <w:rPr>
          <w:rFonts w:ascii="Times New Roman" w:hAnsi="Times New Roman" w:eastAsia="宋体" w:cs="Times New Roman"/>
          <w:b/>
          <w:kern w:val="2"/>
          <w:sz w:val="28"/>
          <w:szCs w:val="28"/>
          <w:lang w:val="en-US" w:eastAsia="zh-CN" w:bidi="ar-SA"/>
        </w:rPr>
      </w:pPr>
      <w:bookmarkStart w:id="53" w:name="_Toc10936"/>
      <w:r>
        <w:rPr>
          <w:rFonts w:hint="eastAsia" w:ascii="Times New Roman" w:hAnsi="Times New Roman" w:eastAsia="宋体" w:cs="Times New Roman"/>
          <w:b/>
          <w:kern w:val="2"/>
          <w:sz w:val="28"/>
          <w:szCs w:val="28"/>
          <w:lang w:val="en-US" w:eastAsia="zh-CN" w:bidi="ar-SA"/>
        </w:rPr>
        <w:t>6</w:t>
      </w:r>
      <w:r>
        <w:rPr>
          <w:rFonts w:ascii="Times New Roman" w:hAnsi="Times New Roman" w:eastAsia="宋体" w:cs="Times New Roman"/>
          <w:b/>
          <w:kern w:val="2"/>
          <w:sz w:val="28"/>
          <w:szCs w:val="28"/>
          <w:lang w:val="en-US" w:eastAsia="zh-CN" w:bidi="ar-SA"/>
        </w:rPr>
        <w:t>.2.2 药材识别模块</w:t>
      </w:r>
      <w:bookmarkEnd w:id="53"/>
    </w:p>
    <w:p w14:paraId="5C46B567">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作为系统核心功能单元，药材识别模块构建了完整的图像识别处理流水线。图像采集预处理环节支持多源输入方式，既包括摄像头实时拍摄、本地文件上传，也可通过视频帧提取技术处理动态图像，通过统一的图像标准化流程将输入图像归一化为 224×224 像素尺寸，结合直方图均衡化、高斯滤波等技术提升图像质量，为后续识别提供优质数据源。双重识别引擎采用异构融合策略：本地模型基于轻量化 EfficientNetV2B0 架构，在移动端设备上可实现快速推理，提取药材的纹理、形状等基础特征；云端调用百度 AI 的通用物体识别 API，利用其千万级样本训练的深度模型处理复杂光照、多角度拍摄等场景，最终通过置信度加权融合算法整合双引擎结果，显著提升复杂场景下的识别精度。结果处理模块实现多维度信息展示，除直观呈现识别结果外，基于欧氏距离算法计算药材特征相似度，推荐 3-5 种相似中药材供用户参考，并关联药材数据库展示性味归经、功能主治、用法用量等专业信息，满足不同用户的查询需求。</w:t>
      </w:r>
    </w:p>
    <w:p w14:paraId="6B67AC5D">
      <w:pPr>
        <w:pStyle w:val="4"/>
        <w:keepNext w:val="0"/>
        <w:keepLines w:val="0"/>
        <w:widowControl w:val="0"/>
        <w:spacing w:before="0" w:after="0" w:line="312" w:lineRule="auto"/>
        <w:ind w:left="0"/>
        <w:jc w:val="both"/>
        <w:rPr>
          <w:rFonts w:ascii="Times New Roman" w:hAnsi="Times New Roman" w:eastAsia="宋体" w:cs="Times New Roman"/>
          <w:b/>
          <w:kern w:val="2"/>
          <w:sz w:val="28"/>
          <w:szCs w:val="28"/>
          <w:lang w:val="en-US" w:eastAsia="zh-CN" w:bidi="ar-SA"/>
        </w:rPr>
      </w:pPr>
      <w:bookmarkStart w:id="54" w:name="_Toc10467"/>
      <w:r>
        <w:rPr>
          <w:rFonts w:hint="eastAsia" w:ascii="Times New Roman" w:hAnsi="Times New Roman" w:eastAsia="宋体" w:cs="Times New Roman"/>
          <w:b/>
          <w:kern w:val="2"/>
          <w:sz w:val="28"/>
          <w:szCs w:val="28"/>
          <w:lang w:val="en-US" w:eastAsia="zh-CN" w:bidi="ar-SA"/>
        </w:rPr>
        <w:t>6</w:t>
      </w:r>
      <w:r>
        <w:rPr>
          <w:rFonts w:ascii="Times New Roman" w:hAnsi="Times New Roman" w:eastAsia="宋体" w:cs="Times New Roman"/>
          <w:b/>
          <w:kern w:val="2"/>
          <w:sz w:val="28"/>
          <w:szCs w:val="28"/>
          <w:lang w:val="en-US" w:eastAsia="zh-CN" w:bidi="ar-SA"/>
        </w:rPr>
        <w:t>.2.3 数据管理模块</w:t>
      </w:r>
      <w:bookmarkEnd w:id="54"/>
    </w:p>
    <w:p w14:paraId="0DDDB1E6">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数据管理模块承担系统全量数据的生命周期管理任务，涵盖业务数据的存储、检索、维护与安全管控。识别历史管理子模块采用时间轴与标签分类相结合的检索方式，支持按日期、药材类别、识别结果等多维度查询，方便用户进行识别结果分析。药材信息管理子系统构建动态更新的中药材数据库，支持管理员进行药材基础信息的增删改查操作，维护药材之间的性味关联、入药部位关系等知识图谱数据，同时提供批量数据导入导出接口，满足中医药机构的专业数据对接需求。系统数据管理模块实现自动化运维功能，通过定时任务机制执行数据库备份，采用增量备份策略降低存储开销，设计可视化的恢复向导简化数据还原操作，同时完整记录用户操作日志，通过日志分析工具监控系统异常访问行为，保障数据资产的安全性与完整性。</w:t>
      </w:r>
    </w:p>
    <w:p w14:paraId="5483B604">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55" w:name="_Toc31409"/>
      <w:r>
        <w:rPr>
          <w:rFonts w:hint="eastAsia" w:ascii="Times New Roman" w:hAnsi="Times New Roman" w:eastAsia="宋体" w:cs="Times New Roman"/>
          <w:kern w:val="2"/>
          <w:sz w:val="30"/>
          <w:szCs w:val="30"/>
          <w:lang w:val="en-US" w:eastAsia="zh-CN" w:bidi="ar-SA"/>
        </w:rPr>
        <w:t>6.3 数据库设计</w:t>
      </w:r>
      <w:bookmarkEnd w:id="55"/>
    </w:p>
    <w:p w14:paraId="2D864481">
      <w:pPr>
        <w:pStyle w:val="4"/>
        <w:keepNext w:val="0"/>
        <w:keepLines w:val="0"/>
        <w:widowControl w:val="0"/>
        <w:spacing w:before="0" w:after="0" w:line="312" w:lineRule="auto"/>
        <w:ind w:left="0"/>
        <w:jc w:val="both"/>
        <w:rPr>
          <w:rFonts w:ascii="Times New Roman" w:hAnsi="Times New Roman" w:eastAsia="宋体" w:cs="Times New Roman"/>
          <w:b/>
          <w:kern w:val="2"/>
          <w:sz w:val="28"/>
          <w:szCs w:val="28"/>
          <w:lang w:val="en-US" w:eastAsia="zh-CN" w:bidi="ar-SA"/>
        </w:rPr>
      </w:pPr>
      <w:bookmarkStart w:id="56" w:name="_Toc1227"/>
      <w:r>
        <w:rPr>
          <w:rFonts w:hint="eastAsia" w:ascii="Times New Roman" w:hAnsi="Times New Roman" w:eastAsia="宋体" w:cs="Times New Roman"/>
          <w:b/>
          <w:kern w:val="2"/>
          <w:sz w:val="28"/>
          <w:szCs w:val="28"/>
          <w:lang w:val="en-US" w:eastAsia="zh-CN" w:bidi="ar-SA"/>
        </w:rPr>
        <w:t>6</w:t>
      </w:r>
      <w:r>
        <w:rPr>
          <w:rFonts w:ascii="Times New Roman" w:hAnsi="Times New Roman" w:eastAsia="宋体" w:cs="Times New Roman"/>
          <w:b/>
          <w:kern w:val="2"/>
          <w:sz w:val="28"/>
          <w:szCs w:val="28"/>
          <w:lang w:val="en-US" w:eastAsia="zh-CN" w:bidi="ar-SA"/>
        </w:rPr>
        <w:t>.3.1 数据库选型</w:t>
      </w:r>
      <w:bookmarkEnd w:id="56"/>
    </w:p>
    <w:p w14:paraId="3DDBAD44">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综合考虑系统应用场景与技术需求，选择 SQLite 作为底层数据存储方案。作为轻量级嵌入式数据库，SQLite 无需独立服务器部署，直接以文件形式存储数据，非常适合中小规模的中药材识别系统，能够有效降低部署复杂度与运维成本。其跨平台特性支持 Windows、Linux、Android 等主流操作系统，与系统采用的 Flask 框架及移动端开发技术栈形成良好适配，确保多终端设备的数据一致性。在性能表现上，SQLite 通过 B + 树索引结构实现高效的数据查询，支持事务处理保证数据完整性，能够满足系统高频次的识别历史存储、药材信息检索等操作需求。针对移动端应用场景，其轻量化设计避免了传统数据库的资源占用问题，在移动设备上运行稳定，同时提供完整的 ACID 特性，为系统数据管理提供可靠支撑。这种选型决策在功能性与经济性之间取得平衡，既满足当前业务需求，又为未来数据规模扩展预留迁移接口。</w:t>
      </w:r>
    </w:p>
    <w:p w14:paraId="40647E9E">
      <w:pPr>
        <w:rPr>
          <w:rFonts w:ascii="Times New Roman" w:hAnsi="Times New Roman" w:eastAsia="宋体" w:cs="宋体"/>
          <w:color w:val="000000"/>
          <w:kern w:val="0"/>
          <w:sz w:val="24"/>
          <w:szCs w:val="24"/>
          <w:lang w:val="en-US" w:eastAsia="zh-CN" w:bidi="ar"/>
        </w:rPr>
        <w:sectPr>
          <w:pgSz w:w="11906" w:h="16838"/>
          <w:pgMar w:top="1440" w:right="1440" w:bottom="1440" w:left="1440" w:header="708" w:footer="708" w:gutter="0"/>
          <w:pgBorders>
            <w:top w:val="none" w:sz="0" w:space="0"/>
            <w:left w:val="none" w:sz="0" w:space="0"/>
            <w:bottom w:val="none" w:sz="0" w:space="0"/>
            <w:right w:val="none" w:sz="0" w:space="0"/>
          </w:pgBorders>
          <w:pgNumType w:fmt="decimal"/>
          <w:cols w:space="720" w:num="1"/>
          <w:docGrid w:linePitch="360" w:charSpace="0"/>
        </w:sectPr>
      </w:pPr>
    </w:p>
    <w:p w14:paraId="17D6DA37">
      <w:pPr>
        <w:rPr>
          <w:rFonts w:hint="eastAsia" w:ascii="Times New Roman" w:hAnsi="Times New Roman" w:eastAsia="宋体" w:cs="宋体"/>
          <w:color w:val="000000"/>
          <w:kern w:val="0"/>
          <w:sz w:val="24"/>
          <w:szCs w:val="24"/>
          <w:lang w:val="en-US" w:eastAsia="zh-CN" w:bidi="ar"/>
        </w:rPr>
      </w:pPr>
    </w:p>
    <w:p w14:paraId="437C10DA">
      <w:pPr>
        <w:pStyle w:val="3"/>
        <w:keepNext w:val="0"/>
        <w:keepLines w:val="0"/>
        <w:pageBreakBefore w:val="0"/>
        <w:widowControl/>
        <w:kinsoku/>
        <w:wordWrap/>
        <w:overflowPunct/>
        <w:topLinePunct w:val="0"/>
        <w:autoSpaceDE/>
        <w:autoSpaceDN/>
        <w:bidi w:val="0"/>
        <w:adjustRightInd/>
        <w:snapToGrid/>
        <w:spacing w:before="0" w:after="0" w:line="312" w:lineRule="auto"/>
        <w:jc w:val="center"/>
        <w:textAlignment w:val="auto"/>
        <w:outlineLvl w:val="0"/>
        <w:rPr>
          <w:rFonts w:ascii="Times New Roman" w:hAnsi="Times New Roman" w:eastAsia="宋体"/>
          <w:b/>
          <w:bCs/>
          <w:color w:val="auto"/>
          <w:sz w:val="36"/>
        </w:rPr>
      </w:pPr>
      <w:bookmarkStart w:id="57" w:name="_Toc31391"/>
      <w:r>
        <w:rPr>
          <w:rFonts w:hint="eastAsia" w:ascii="Times New Roman" w:hAnsi="Times New Roman" w:eastAsia="宋体"/>
          <w:b/>
          <w:bCs/>
          <w:color w:val="auto"/>
          <w:sz w:val="36"/>
          <w:lang w:val="en-US" w:eastAsia="zh-CN"/>
        </w:rPr>
        <w:t>7</w:t>
      </w:r>
      <w:r>
        <w:rPr>
          <w:rFonts w:ascii="Times New Roman" w:hAnsi="Times New Roman" w:eastAsia="宋体"/>
          <w:b/>
          <w:bCs/>
          <w:color w:val="auto"/>
          <w:sz w:val="36"/>
        </w:rPr>
        <w:t>结论与展望</w:t>
      </w:r>
      <w:bookmarkEnd w:id="57"/>
    </w:p>
    <w:p w14:paraId="79D0A329">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在中国，中草药的发展一直受到人们的关注，中草药在医疗方面做出了卓越的贡献，为人们的身体健康提供了保障。一直以来，人们对于中草药的分类问题一直没能很好的解决。大部分情况还是需要专业的人员来对其进行区分，对于新手来说这是个不可能完成的任务。人工分类将会造成大量人力资源的浪费。目前对于分类来说，最好的算法莫过于深度学习算法，近几年更是达到了超越人类认知的水平，所以，把深度学习算法应用在中草药分类方面有很大的发展潜力，本文对此作了重点研究。本章对做的所有工作进行一个概括总结，并且对于已经完成的工作提出了下一步的改进，和优化的策略以及方向。</w:t>
      </w:r>
    </w:p>
    <w:p w14:paraId="63F5B20D">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58" w:name="_Toc25775"/>
      <w:r>
        <w:rPr>
          <w:rFonts w:hint="eastAsia" w:ascii="Times New Roman" w:hAnsi="Times New Roman" w:eastAsia="宋体" w:cs="Times New Roman"/>
          <w:kern w:val="2"/>
          <w:sz w:val="30"/>
          <w:szCs w:val="30"/>
          <w:lang w:val="en-US" w:eastAsia="zh-CN" w:bidi="ar-SA"/>
        </w:rPr>
        <w:t>7.1 总结</w:t>
      </w:r>
      <w:bookmarkEnd w:id="58"/>
    </w:p>
    <w:p w14:paraId="65AD00CE">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首先通过阅读大量的中英文文献，确定对于中草药分类的研究背景以及国内外研究现状，发现很少有对中草药分类进行的研究，但是对于植物进行分类的文章并不少，而且，比较早的时候，大多数人都只是使用植物的叶片来对图像进行分类，后来人们才开始尝试使用深度学习的各种框架，模型进行分类工作。</w:t>
      </w:r>
    </w:p>
    <w:p w14:paraId="4DD7953B">
      <w:pPr>
        <w:pStyle w:val="3"/>
        <w:keepNext w:val="0"/>
        <w:keepLines w:val="0"/>
        <w:widowControl w:val="0"/>
        <w:spacing w:before="0" w:after="0" w:line="312" w:lineRule="auto"/>
        <w:ind w:left="0"/>
        <w:jc w:val="both"/>
        <w:rPr>
          <w:rFonts w:hint="eastAsia" w:ascii="Times New Roman" w:hAnsi="Times New Roman" w:eastAsia="宋体" w:cs="Times New Roman"/>
          <w:kern w:val="2"/>
          <w:sz w:val="30"/>
          <w:szCs w:val="30"/>
          <w:lang w:val="en-US" w:eastAsia="zh-CN" w:bidi="ar-SA"/>
        </w:rPr>
      </w:pPr>
      <w:bookmarkStart w:id="59" w:name="_Toc27657"/>
      <w:r>
        <w:rPr>
          <w:rFonts w:hint="eastAsia" w:ascii="Times New Roman" w:hAnsi="Times New Roman" w:eastAsia="宋体" w:cs="Times New Roman"/>
          <w:kern w:val="2"/>
          <w:sz w:val="30"/>
          <w:szCs w:val="30"/>
          <w:lang w:val="en-US" w:eastAsia="zh-CN" w:bidi="ar-SA"/>
        </w:rPr>
        <w:t>7.2 展望</w:t>
      </w:r>
      <w:bookmarkEnd w:id="59"/>
    </w:p>
    <w:p w14:paraId="21F128F8">
      <w:pPr>
        <w:widowControl w:val="0"/>
        <w:spacing w:line="312" w:lineRule="auto"/>
        <w:ind w:firstLine="480" w:firstLineChars="200"/>
        <w:jc w:val="both"/>
        <w:rPr>
          <w:rFonts w:hint="eastAsia"/>
          <w:kern w:val="2"/>
          <w:sz w:val="24"/>
          <w:szCs w:val="24"/>
          <w:lang w:val="en-US" w:eastAsia="zh-CN" w:bidi="ar-SA"/>
        </w:rPr>
      </w:pPr>
      <w:r>
        <w:rPr>
          <w:rFonts w:hint="eastAsia"/>
          <w:kern w:val="2"/>
          <w:sz w:val="24"/>
          <w:szCs w:val="24"/>
          <w:lang w:val="en-US" w:eastAsia="zh-CN" w:bidi="ar-SA"/>
        </w:rPr>
        <w:t>中药材数据集样本不足。本论文搜集到的数据集只有26类别，数据种类少，总共图片数量为5382张，一方面市场上，中药材种类繁多，要想使得模型识别更多的中药材种类，需要搜集更多的中药材图片种类对模型进行训练，以满足市场上丰富的中药材种类需求，做到数据样本要有广泛性。</w:t>
      </w:r>
    </w:p>
    <w:p w14:paraId="3390BD90">
      <w:pPr>
        <w:widowControl w:val="0"/>
        <w:spacing w:line="312" w:lineRule="auto"/>
        <w:ind w:firstLine="480" w:firstLineChars="200"/>
        <w:jc w:val="both"/>
        <w:rPr>
          <w:rFonts w:hint="eastAsia"/>
          <w:kern w:val="2"/>
          <w:sz w:val="24"/>
          <w:szCs w:val="24"/>
          <w:lang w:val="en-US" w:eastAsia="zh-CN" w:bidi="ar-SA"/>
        </w:rPr>
        <w:sectPr>
          <w:pgSz w:w="11906" w:h="16838"/>
          <w:pgMar w:top="1440" w:right="1440" w:bottom="1440" w:left="1440" w:header="708" w:footer="708" w:gutter="0"/>
          <w:pgBorders>
            <w:top w:val="none" w:sz="0" w:space="0"/>
            <w:left w:val="none" w:sz="0" w:space="0"/>
            <w:bottom w:val="none" w:sz="0" w:space="0"/>
            <w:right w:val="none" w:sz="0" w:space="0"/>
          </w:pgBorders>
          <w:pgNumType w:fmt="decimal"/>
          <w:cols w:space="720" w:num="1"/>
          <w:docGrid w:linePitch="360" w:charSpace="0"/>
        </w:sectPr>
      </w:pPr>
      <w:r>
        <w:rPr>
          <w:rFonts w:hint="eastAsia"/>
          <w:kern w:val="2"/>
          <w:sz w:val="24"/>
          <w:szCs w:val="24"/>
          <w:lang w:val="en-US" w:eastAsia="zh-CN" w:bidi="ar-SA"/>
        </w:rPr>
        <w:t>对中药材识别进行分层学习。本文所设计的网络模型仅仅是针对中药材图像分类任务，还未对中药材的品质进行深入研究。在视觉上，很难通过肉眼对一些类似的中药材品质进行鉴别，区分难度比较大，由于一张图片上有不同的特征，下一步任务可以专门研究对中药材图像的拍摄方法和通过不同的维度将图像的特征进行融合，进而达到对中药材不同品质的研究。</w:t>
      </w:r>
    </w:p>
    <w:p w14:paraId="47C577AF">
      <w:pPr>
        <w:pStyle w:val="2"/>
        <w:bidi w:val="0"/>
        <w:jc w:val="center"/>
        <w:rPr>
          <w:rFonts w:hint="eastAsia"/>
          <w:sz w:val="24"/>
        </w:rPr>
      </w:pPr>
      <w:bookmarkStart w:id="60" w:name="_Toc19657"/>
      <w:bookmarkStart w:id="61" w:name="_Toc27905"/>
      <w:r>
        <w:rPr>
          <w:rFonts w:hint="eastAsia" w:ascii="黑体" w:hAnsi="黑体" w:eastAsia="黑体" w:cs="黑体"/>
          <w:sz w:val="30"/>
          <w:szCs w:val="30"/>
        </w:rPr>
        <w:t>参考文献</w:t>
      </w:r>
      <w:bookmarkEnd w:id="60"/>
      <w:bookmarkEnd w:id="61"/>
    </w:p>
    <w:p w14:paraId="4C65CD61">
      <w:pPr>
        <w:numPr>
          <w:ilvl w:val="0"/>
          <w:numId w:val="4"/>
        </w:numPr>
        <w:spacing w:line="360" w:lineRule="auto"/>
        <w:ind w:left="0" w:leftChars="0" w:firstLine="0" w:firstLineChars="0"/>
        <w:jc w:val="left"/>
        <w:rPr>
          <w:rFonts w:hint="eastAsia" w:ascii="宋体" w:hAnsi="宋体"/>
          <w:sz w:val="24"/>
        </w:rPr>
      </w:pPr>
      <w:r>
        <w:rPr>
          <w:rFonts w:hint="eastAsia" w:ascii="宋体" w:hAnsi="宋体"/>
          <w:sz w:val="24"/>
        </w:rPr>
        <w:t>郭紫俐. 基于深度学习的中草药图像分类方法研究[D]. 杭州电子科技大学, 2024.</w:t>
      </w:r>
    </w:p>
    <w:p w14:paraId="299169EB">
      <w:pPr>
        <w:numPr>
          <w:ilvl w:val="0"/>
          <w:numId w:val="4"/>
        </w:numPr>
        <w:spacing w:line="360" w:lineRule="auto"/>
        <w:ind w:left="0" w:leftChars="0" w:firstLine="0" w:firstLineChars="0"/>
        <w:jc w:val="left"/>
        <w:rPr>
          <w:rFonts w:hint="eastAsia" w:ascii="宋体" w:hAnsi="宋体"/>
          <w:sz w:val="24"/>
        </w:rPr>
      </w:pPr>
      <w:r>
        <w:rPr>
          <w:rFonts w:hint="eastAsia" w:ascii="宋体" w:hAnsi="宋体"/>
          <w:sz w:val="24"/>
        </w:rPr>
        <w:t>杨静, 郗润平, 张迎迎, 汪炜杰. 基于深度学习的中草药植物视觉识别方法研究[J]. 中国体视学与图像分析, 2023, 28 (02): 203-211.</w:t>
      </w:r>
    </w:p>
    <w:p w14:paraId="1D42992B">
      <w:pPr>
        <w:numPr>
          <w:ilvl w:val="0"/>
          <w:numId w:val="4"/>
        </w:numPr>
        <w:spacing w:line="360" w:lineRule="auto"/>
        <w:ind w:left="0" w:leftChars="0" w:firstLine="0" w:firstLineChars="0"/>
        <w:jc w:val="left"/>
        <w:rPr>
          <w:rFonts w:hint="eastAsia" w:ascii="宋体" w:hAnsi="宋体"/>
          <w:sz w:val="24"/>
        </w:rPr>
      </w:pPr>
      <w:r>
        <w:rPr>
          <w:rFonts w:hint="eastAsia" w:ascii="宋体" w:hAnsi="宋体"/>
          <w:sz w:val="24"/>
        </w:rPr>
        <w:t>刘伟, 肖致, 刘波. 基于深度学习的中草药植物图像识别研究与应用[J]. 信息与电脑(理论版), 2022, 34 (12): 32-34.</w:t>
      </w:r>
    </w:p>
    <w:p w14:paraId="67D0FF1C">
      <w:pPr>
        <w:numPr>
          <w:ilvl w:val="0"/>
          <w:numId w:val="4"/>
        </w:numPr>
        <w:spacing w:line="360" w:lineRule="auto"/>
        <w:ind w:left="0" w:leftChars="0" w:firstLine="0" w:firstLineChars="0"/>
        <w:jc w:val="left"/>
        <w:rPr>
          <w:rFonts w:hint="eastAsia" w:ascii="宋体" w:hAnsi="宋体"/>
          <w:sz w:val="24"/>
        </w:rPr>
      </w:pPr>
      <w:r>
        <w:rPr>
          <w:rFonts w:hint="eastAsia" w:ascii="宋体" w:hAnsi="宋体"/>
          <w:sz w:val="24"/>
        </w:rPr>
        <w:t>崔帅帅. 基于深度学习的中草药知识图谱构建及应用[D]. 塔里木大学, 2022.</w:t>
      </w:r>
    </w:p>
    <w:p w14:paraId="6C5C96C8">
      <w:pPr>
        <w:numPr>
          <w:ilvl w:val="0"/>
          <w:numId w:val="4"/>
        </w:numPr>
        <w:spacing w:line="360" w:lineRule="auto"/>
        <w:ind w:left="0" w:leftChars="0" w:firstLine="0" w:firstLineChars="0"/>
        <w:jc w:val="left"/>
        <w:rPr>
          <w:rFonts w:hint="eastAsia" w:ascii="宋体" w:hAnsi="宋体"/>
          <w:sz w:val="24"/>
        </w:rPr>
      </w:pPr>
      <w:r>
        <w:rPr>
          <w:rFonts w:hint="eastAsia" w:ascii="宋体" w:hAnsi="宋体"/>
          <w:sz w:val="24"/>
        </w:rPr>
        <w:t>张万义, 张千, 潘继波, 张浩宇, 孟宇翔, 相玖红. 基于深度学习的中草药分类识别[J]. 智慧健康, 2020, 6 (35): 1-4+13.</w:t>
      </w:r>
    </w:p>
    <w:p w14:paraId="008163B0">
      <w:pPr>
        <w:numPr>
          <w:ilvl w:val="0"/>
          <w:numId w:val="4"/>
        </w:numPr>
        <w:spacing w:line="360" w:lineRule="auto"/>
        <w:ind w:left="0" w:leftChars="0" w:firstLine="0" w:firstLineChars="0"/>
        <w:jc w:val="left"/>
        <w:rPr>
          <w:rFonts w:hint="default" w:ascii="Times New Roman" w:hAnsi="Times New Roman" w:cs="Times New Roman"/>
          <w:bCs/>
          <w:sz w:val="24"/>
        </w:rPr>
      </w:pPr>
      <w:r>
        <w:rPr>
          <w:rFonts w:hint="default" w:ascii="Times New Roman" w:hAnsi="Times New Roman" w:cs="Times New Roman"/>
          <w:bCs/>
          <w:sz w:val="24"/>
        </w:rPr>
        <w:t>J. Li, H. Liu, W. Wu, S. Yang, L. Sheng. Corrosion Assessment of Carbon Steel Using Texture and Color Features[C]. In: 2020 3rd International Conference on Advanced Electronic Materials, Computers and Software Engineering (AEMCSE), Shenzhen, China, 2020: 337-341.</w:t>
      </w:r>
    </w:p>
    <w:p w14:paraId="335427B2">
      <w:pPr>
        <w:numPr>
          <w:ilvl w:val="0"/>
          <w:numId w:val="4"/>
        </w:numPr>
        <w:spacing w:line="360" w:lineRule="auto"/>
        <w:ind w:left="0" w:leftChars="0" w:firstLine="0" w:firstLineChars="0"/>
        <w:jc w:val="left"/>
        <w:rPr>
          <w:rFonts w:hint="default" w:ascii="Times New Roman" w:hAnsi="Times New Roman" w:cs="Times New Roman"/>
          <w:bCs/>
          <w:sz w:val="24"/>
        </w:rPr>
      </w:pPr>
      <w:r>
        <w:rPr>
          <w:rFonts w:hint="default" w:ascii="Times New Roman" w:hAnsi="Times New Roman" w:cs="Times New Roman"/>
          <w:bCs/>
          <w:sz w:val="24"/>
        </w:rPr>
        <w:t>Abdolhossein Fathi, Babak Moradi, Iman Zarei, Afshin Shirbandi. Deep learning based System for automatic motorcycle license plates detection and recognition[J]. Signal, Image and Video Processing, 2024, (prepublish): 1-11.</w:t>
      </w:r>
    </w:p>
    <w:p w14:paraId="35B005B8">
      <w:pPr>
        <w:numPr>
          <w:ilvl w:val="0"/>
          <w:numId w:val="4"/>
        </w:numPr>
        <w:spacing w:line="360" w:lineRule="auto"/>
        <w:ind w:left="0" w:leftChars="0" w:firstLine="0" w:firstLineChars="0"/>
        <w:jc w:val="left"/>
        <w:rPr>
          <w:rFonts w:hint="default" w:ascii="Times New Roman" w:hAnsi="Times New Roman" w:cs="Times New Roman"/>
          <w:bCs/>
          <w:sz w:val="24"/>
        </w:rPr>
      </w:pPr>
      <w:r>
        <w:rPr>
          <w:rFonts w:hint="default" w:ascii="Times New Roman" w:hAnsi="Times New Roman" w:cs="Times New Roman"/>
          <w:bCs/>
          <w:sz w:val="24"/>
        </w:rPr>
        <w:t>Goyal Archana, Gupta Vishal, Kumar Manish. Deep Learning-Based Named Entity Recognition System Using Hybrid Embedding[J]. Cybernetics and Systems, 2024, 55 (2): 279-301.</w:t>
      </w:r>
    </w:p>
    <w:p w14:paraId="6D01FF74">
      <w:pPr>
        <w:numPr>
          <w:ilvl w:val="0"/>
          <w:numId w:val="4"/>
        </w:numPr>
        <w:spacing w:line="360" w:lineRule="auto"/>
        <w:ind w:left="0" w:leftChars="0" w:firstLine="0" w:firstLineChars="0"/>
        <w:jc w:val="left"/>
        <w:rPr>
          <w:rFonts w:hint="default" w:ascii="Times New Roman" w:hAnsi="Times New Roman" w:cs="Times New Roman"/>
          <w:bCs/>
          <w:sz w:val="24"/>
        </w:rPr>
      </w:pPr>
      <w:r>
        <w:rPr>
          <w:rFonts w:hint="default" w:ascii="Times New Roman" w:hAnsi="Times New Roman" w:cs="Times New Roman"/>
          <w:bCs/>
          <w:sz w:val="24"/>
        </w:rPr>
        <w:t>谭超群. 面向中药材质量快速检验的视觉分析方法研究[D]. 四川大学, 2023.</w:t>
      </w:r>
    </w:p>
    <w:p w14:paraId="3C71A897">
      <w:pPr>
        <w:numPr>
          <w:ilvl w:val="0"/>
          <w:numId w:val="4"/>
        </w:numPr>
        <w:spacing w:line="360" w:lineRule="auto"/>
        <w:ind w:left="0" w:leftChars="0" w:firstLine="0" w:firstLineChars="0"/>
        <w:jc w:val="left"/>
        <w:rPr>
          <w:rFonts w:hint="default" w:ascii="Times New Roman" w:hAnsi="Times New Roman" w:cs="Times New Roman"/>
          <w:bCs/>
          <w:sz w:val="24"/>
        </w:rPr>
      </w:pPr>
      <w:r>
        <w:rPr>
          <w:rFonts w:hint="default" w:ascii="Times New Roman" w:hAnsi="Times New Roman" w:cs="Times New Roman"/>
          <w:bCs/>
          <w:sz w:val="24"/>
        </w:rPr>
        <w:t>李万虎, 吴丽丽. 基于改进型AlexNet的中药材图像识别[J]. 软件工程, 2023, 26 (09): 38-41.</w:t>
      </w:r>
    </w:p>
    <w:p w14:paraId="409B95C7">
      <w:pPr>
        <w:numPr>
          <w:ilvl w:val="0"/>
          <w:numId w:val="4"/>
        </w:numPr>
        <w:spacing w:line="360" w:lineRule="auto"/>
        <w:ind w:left="0" w:leftChars="0" w:firstLine="0" w:firstLineChars="0"/>
        <w:jc w:val="left"/>
        <w:rPr>
          <w:rFonts w:hint="default" w:ascii="Times New Roman" w:hAnsi="Times New Roman" w:cs="Times New Roman"/>
          <w:bCs/>
          <w:sz w:val="24"/>
        </w:rPr>
      </w:pPr>
      <w:r>
        <w:rPr>
          <w:rFonts w:hint="default" w:ascii="Times New Roman" w:hAnsi="Times New Roman" w:cs="Times New Roman"/>
          <w:bCs/>
          <w:sz w:val="24"/>
        </w:rPr>
        <w:t>韩勇, 兰杰, 郭瑞瑶, 邢聪颖, 黄新杰, 霍迎秋. 基于深度学习的中药材饮片识别[J]. 西北农业学报, 2023, 32 (11): 1859-1867.</w:t>
      </w:r>
    </w:p>
    <w:p w14:paraId="7C725613">
      <w:pPr>
        <w:numPr>
          <w:ilvl w:val="0"/>
          <w:numId w:val="4"/>
        </w:numPr>
        <w:spacing w:line="360" w:lineRule="auto"/>
        <w:ind w:left="0" w:leftChars="0" w:firstLine="0" w:firstLineChars="0"/>
        <w:jc w:val="left"/>
        <w:rPr>
          <w:rFonts w:hint="default" w:ascii="Times New Roman" w:hAnsi="Times New Roman" w:cs="Times New Roman"/>
          <w:bCs/>
          <w:sz w:val="24"/>
        </w:rPr>
      </w:pPr>
      <w:r>
        <w:rPr>
          <w:rFonts w:hint="default" w:ascii="Times New Roman" w:hAnsi="Times New Roman" w:cs="Times New Roman"/>
          <w:bCs/>
          <w:sz w:val="24"/>
        </w:rPr>
        <w:t>陶森浩. 基于纹理特征的中药材粉末显微图像识别研究[D]. 北方工业大学, 2023.</w:t>
      </w:r>
    </w:p>
    <w:p w14:paraId="29426A5E">
      <w:pPr>
        <w:numPr>
          <w:ilvl w:val="0"/>
          <w:numId w:val="4"/>
        </w:numPr>
        <w:spacing w:line="360" w:lineRule="auto"/>
        <w:ind w:left="0" w:leftChars="0" w:firstLine="0" w:firstLineChars="0"/>
        <w:jc w:val="left"/>
        <w:rPr>
          <w:rFonts w:hint="default" w:ascii="Times New Roman" w:hAnsi="Times New Roman" w:cs="Times New Roman"/>
          <w:bCs/>
          <w:sz w:val="24"/>
        </w:rPr>
      </w:pPr>
      <w:r>
        <w:rPr>
          <w:rFonts w:hint="default" w:ascii="Times New Roman" w:hAnsi="Times New Roman" w:cs="Times New Roman"/>
          <w:bCs/>
          <w:sz w:val="24"/>
        </w:rPr>
        <w:t>刘伟, 邹伟红, 卢彦杰, 胡为, 刘塔斯. 基于迁移学习和模型融合的中药材图像识别研究[J]. 湖南中医药大学学报, 2022, 42 (05): 809-814.</w:t>
      </w:r>
    </w:p>
    <w:p w14:paraId="3A8C9CEA">
      <w:pPr>
        <w:numPr>
          <w:ilvl w:val="0"/>
          <w:numId w:val="4"/>
        </w:numPr>
        <w:spacing w:line="360" w:lineRule="auto"/>
        <w:ind w:left="0" w:leftChars="0" w:firstLine="0" w:firstLineChars="0"/>
        <w:jc w:val="left"/>
        <w:rPr>
          <w:rFonts w:hint="default" w:ascii="Times New Roman" w:hAnsi="Times New Roman" w:cs="Times New Roman"/>
          <w:bCs/>
          <w:sz w:val="24"/>
        </w:rPr>
      </w:pPr>
      <w:r>
        <w:rPr>
          <w:rFonts w:hint="default" w:ascii="Times New Roman" w:hAnsi="Times New Roman" w:cs="Times New Roman"/>
          <w:bCs/>
          <w:sz w:val="24"/>
        </w:rPr>
        <w:t>张桐桐. 基于深度学习的常用中药材图像识别研究[D]. 湖南农业大学, 2022.</w:t>
      </w:r>
    </w:p>
    <w:p w14:paraId="486E206A">
      <w:pPr>
        <w:numPr>
          <w:ilvl w:val="0"/>
          <w:numId w:val="4"/>
        </w:numPr>
        <w:spacing w:line="360" w:lineRule="auto"/>
        <w:ind w:left="0" w:leftChars="0" w:firstLine="0" w:firstLineChars="0"/>
        <w:jc w:val="left"/>
        <w:rPr>
          <w:rFonts w:hint="default" w:ascii="Times New Roman" w:hAnsi="Times New Roman" w:cs="Times New Roman"/>
          <w:bCs/>
          <w:sz w:val="24"/>
        </w:rPr>
      </w:pPr>
      <w:r>
        <w:rPr>
          <w:rFonts w:hint="default" w:ascii="Times New Roman" w:hAnsi="Times New Roman" w:cs="Times New Roman"/>
          <w:bCs/>
          <w:sz w:val="24"/>
        </w:rPr>
        <w:t>刘加峰, 高子啸, 段元民, 李海云, 石宏理. 基于深度学习的中药材饮片图像识别[J]. 北京生物医学工程, 2021, 40 (06): 605-608.</w:t>
      </w:r>
    </w:p>
    <w:p w14:paraId="0435F73D">
      <w:pPr>
        <w:numPr>
          <w:ilvl w:val="0"/>
          <w:numId w:val="4"/>
        </w:numPr>
        <w:spacing w:line="360" w:lineRule="auto"/>
        <w:ind w:left="0" w:leftChars="0" w:firstLine="0" w:firstLineChars="0"/>
        <w:jc w:val="left"/>
        <w:rPr>
          <w:rFonts w:hint="eastAsia"/>
          <w:szCs w:val="21"/>
        </w:rPr>
      </w:pPr>
      <w:r>
        <w:rPr>
          <w:rFonts w:hint="default" w:ascii="Times New Roman" w:hAnsi="Times New Roman" w:cs="Times New Roman"/>
          <w:bCs/>
          <w:sz w:val="24"/>
        </w:rPr>
        <w:t>吴冲. 基于深度学习的中药材鉴别方法研究[D]. 四川大学, 2021.</w:t>
      </w:r>
    </w:p>
    <w:p w14:paraId="4D7D44FC">
      <w:pPr>
        <w:numPr>
          <w:ilvl w:val="0"/>
          <w:numId w:val="4"/>
        </w:numPr>
        <w:spacing w:line="360" w:lineRule="auto"/>
        <w:ind w:left="0" w:leftChars="0" w:firstLine="0" w:firstLineChars="0"/>
        <w:jc w:val="left"/>
        <w:rPr>
          <w:rFonts w:hint="eastAsia" w:ascii="Times New Roman" w:hAnsi="Times New Roman"/>
          <w:sz w:val="24"/>
          <w:szCs w:val="21"/>
        </w:rPr>
      </w:pPr>
      <w:r>
        <w:rPr>
          <w:rFonts w:hint="eastAsia" w:ascii="Times New Roman" w:hAnsi="Times New Roman"/>
          <w:sz w:val="24"/>
          <w:szCs w:val="21"/>
        </w:rPr>
        <w:t>汤鸿源, 王利恒, 张海龙, 康超. 基于CNN-LSTM的实时空降空投状态识别系统设计[J]. 自动化与仪表, 2024, 39 (12): 56-60.</w:t>
      </w:r>
    </w:p>
    <w:p w14:paraId="4D95773B">
      <w:pPr>
        <w:numPr>
          <w:ilvl w:val="0"/>
          <w:numId w:val="4"/>
        </w:numPr>
        <w:spacing w:line="360" w:lineRule="auto"/>
        <w:ind w:left="0" w:leftChars="0" w:firstLine="0" w:firstLineChars="0"/>
        <w:jc w:val="left"/>
        <w:rPr>
          <w:rFonts w:hint="eastAsia" w:ascii="Times New Roman" w:hAnsi="Times New Roman"/>
          <w:sz w:val="24"/>
          <w:szCs w:val="21"/>
        </w:rPr>
      </w:pPr>
      <w:r>
        <w:rPr>
          <w:rFonts w:hint="eastAsia" w:ascii="Times New Roman" w:hAnsi="Times New Roman"/>
          <w:sz w:val="24"/>
          <w:szCs w:val="21"/>
        </w:rPr>
        <w:t>蔡榕坤, 黄志雄, 彭健豪. 基于卷积神经网络的香梨分拣系统[J]. 物联网技术, 2024, 14 (11): 110-112+116.</w:t>
      </w:r>
    </w:p>
    <w:p w14:paraId="4DFBAAB0">
      <w:pPr>
        <w:numPr>
          <w:ilvl w:val="0"/>
          <w:numId w:val="4"/>
        </w:numPr>
        <w:spacing w:line="360" w:lineRule="auto"/>
        <w:ind w:left="0" w:leftChars="0" w:firstLine="0" w:firstLineChars="0"/>
        <w:jc w:val="left"/>
        <w:rPr>
          <w:rFonts w:hint="eastAsia" w:ascii="Times New Roman" w:hAnsi="Times New Roman"/>
          <w:sz w:val="24"/>
          <w:szCs w:val="21"/>
        </w:rPr>
      </w:pPr>
      <w:r>
        <w:rPr>
          <w:rFonts w:hint="eastAsia" w:ascii="Times New Roman" w:hAnsi="Times New Roman"/>
          <w:sz w:val="24"/>
          <w:szCs w:val="21"/>
        </w:rPr>
        <w:t>郭灿璨, 朱玉祥, 张俊明, 郑晓. 基于卷积神经网络的中草药识别算法研究[J]. 中医药信息, 2024, 41 (11): 29-34.</w:t>
      </w:r>
    </w:p>
    <w:p w14:paraId="42B852CC">
      <w:pPr>
        <w:numPr>
          <w:ilvl w:val="0"/>
          <w:numId w:val="4"/>
        </w:numPr>
        <w:spacing w:line="360" w:lineRule="auto"/>
        <w:ind w:left="0" w:leftChars="0" w:firstLine="0" w:firstLineChars="0"/>
        <w:jc w:val="left"/>
        <w:rPr>
          <w:rFonts w:hint="eastAsia" w:ascii="Times New Roman" w:hAnsi="Times New Roman"/>
          <w:sz w:val="24"/>
          <w:szCs w:val="21"/>
        </w:rPr>
      </w:pPr>
      <w:r>
        <w:rPr>
          <w:rFonts w:hint="eastAsia" w:ascii="Times New Roman" w:hAnsi="Times New Roman"/>
          <w:sz w:val="24"/>
          <w:szCs w:val="21"/>
        </w:rPr>
        <w:t>吕斌, 姚强, 粟超, 李波, 查茜, 黄祥, 詹火木. 基于RGB图像和CNN模型的水稻氮素诊断系统[J]. 现代农业装备, 2024, 45 (04): 67-73.</w:t>
      </w:r>
    </w:p>
    <w:p w14:paraId="6189C6B7">
      <w:pPr>
        <w:keepNext w:val="0"/>
        <w:keepLines w:val="0"/>
        <w:pageBreakBefore w:val="0"/>
        <w:widowControl w:val="0"/>
        <w:kinsoku/>
        <w:wordWrap/>
        <w:overflowPunct/>
        <w:topLinePunct w:val="0"/>
        <w:autoSpaceDE/>
        <w:autoSpaceDN/>
        <w:bidi w:val="0"/>
        <w:adjustRightInd/>
        <w:snapToGrid/>
        <w:spacing w:line="312" w:lineRule="auto"/>
        <w:jc w:val="both"/>
        <w:textAlignment w:val="auto"/>
        <w:rPr>
          <w:rFonts w:hint="eastAsia"/>
          <w:sz w:val="24"/>
          <w:szCs w:val="24"/>
        </w:rPr>
      </w:pPr>
      <w:r>
        <w:rPr>
          <w:rFonts w:hint="eastAsia" w:ascii="Times New Roman" w:hAnsi="Times New Roman"/>
          <w:sz w:val="24"/>
          <w:szCs w:val="21"/>
        </w:rPr>
        <w:t>赵莹. 中药处方中外形相似药材的鉴别方法探讨[J]. 中国处方药, 2018, 16 (01): 116-117.</w:t>
      </w:r>
    </w:p>
    <w:sectPr>
      <w:pgSz w:w="11906" w:h="16838"/>
      <w:pgMar w:top="1440" w:right="1440" w:bottom="1440" w:left="1440" w:header="708" w:footer="708"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58983">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4850239">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4850239">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2B6E8">
    <w:pPr>
      <w:pStyle w:val="10"/>
      <w:tabs>
        <w:tab w:val="center" w:pos="4513"/>
        <w:tab w:val="clear" w:pos="4153"/>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3B0E72A">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43B0E72A">
                    <w:pPr>
                      <w:pStyle w:val="10"/>
                    </w:pPr>
                    <w:r>
                      <w:fldChar w:fldCharType="begin"/>
                    </w:r>
                    <w:r>
                      <w:instrText xml:space="preserve"> PAGE  \* MERGEFORMAT </w:instrText>
                    </w:r>
                    <w:r>
                      <w:fldChar w:fldCharType="separate"/>
                    </w:r>
                    <w:r>
                      <w:t>I</w:t>
                    </w:r>
                    <w:r>
                      <w:fldChar w:fldCharType="end"/>
                    </w:r>
                  </w:p>
                </w:txbxContent>
              </v:textbox>
            </v:shape>
          </w:pict>
        </mc:Fallback>
      </mc:AlternateContent>
    </w:r>
    <w:r>
      <w:rPr>
        <w:rFonts w:hint="eastAsia"/>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169E2">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C7F94">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96F674">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996F674">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0774C">
    <w:pPr>
      <w:pStyle w:val="11"/>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AFBB6">
    <w:pPr>
      <w:pStyle w:val="11"/>
      <w:jc w:val="center"/>
    </w:pPr>
    <w:r>
      <w:rPr>
        <w:rFonts w:hint="eastAsia"/>
      </w:rPr>
      <w:t>基于深度学习的相似中药材识别系统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32FE0"/>
    <w:multiLevelType w:val="singleLevel"/>
    <w:tmpl w:val="A7032FE0"/>
    <w:lvl w:ilvl="0" w:tentative="0">
      <w:start w:val="2"/>
      <w:numFmt w:val="decimal"/>
      <w:suff w:val="nothing"/>
      <w:lvlText w:val="（%1）"/>
      <w:lvlJc w:val="left"/>
    </w:lvl>
  </w:abstractNum>
  <w:abstractNum w:abstractNumId="1">
    <w:nsid w:val="B89A39F1"/>
    <w:multiLevelType w:val="singleLevel"/>
    <w:tmpl w:val="B89A39F1"/>
    <w:lvl w:ilvl="0" w:tentative="0">
      <w:start w:val="1"/>
      <w:numFmt w:val="decimal"/>
      <w:suff w:val="nothing"/>
      <w:lvlText w:val="[%1]"/>
      <w:lvlJc w:val="left"/>
      <w:rPr>
        <w:rFonts w:hint="default" w:ascii="宋体" w:hAnsi="宋体" w:eastAsia="宋体" w:cs="宋体"/>
        <w:sz w:val="24"/>
        <w:szCs w:val="24"/>
      </w:rPr>
    </w:lvl>
  </w:abstractNum>
  <w:abstractNum w:abstractNumId="2">
    <w:nsid w:val="29112780"/>
    <w:multiLevelType w:val="singleLevel"/>
    <w:tmpl w:val="29112780"/>
    <w:lvl w:ilvl="0" w:tentative="0">
      <w:start w:val="2"/>
      <w:numFmt w:val="decimal"/>
      <w:suff w:val="nothing"/>
      <w:lvlText w:val="（%1）"/>
      <w:lvlJc w:val="left"/>
    </w:lvl>
  </w:abstractNum>
  <w:abstractNum w:abstractNumId="3">
    <w:nsid w:val="5BDF4D89"/>
    <w:multiLevelType w:val="singleLevel"/>
    <w:tmpl w:val="5BDF4D89"/>
    <w:lvl w:ilvl="0" w:tentative="0">
      <w:start w:val="1"/>
      <w:numFmt w:val="decimal"/>
      <w:lvlText w:val="(%1)"/>
      <w:lvlJc w:val="left"/>
      <w:pPr>
        <w:tabs>
          <w:tab w:val="left" w:pos="312"/>
        </w:tabs>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docVars>
    <w:docVar w:name="commondata" w:val="eyJoZGlkIjoiN2YzNjBkOTgyNWQ1YTMxYzM3MzMwNWFiODNmOWIzYWMifQ=="/>
  </w:docVars>
  <w:rsids>
    <w:rsidRoot w:val="00000000"/>
    <w:rsid w:val="01AC780B"/>
    <w:rsid w:val="06BA5298"/>
    <w:rsid w:val="082D0D5E"/>
    <w:rsid w:val="088362C0"/>
    <w:rsid w:val="10B62239"/>
    <w:rsid w:val="136B1FEB"/>
    <w:rsid w:val="157E0E4B"/>
    <w:rsid w:val="1580593D"/>
    <w:rsid w:val="1A3B67AF"/>
    <w:rsid w:val="1F0E4DA5"/>
    <w:rsid w:val="21010033"/>
    <w:rsid w:val="283E6389"/>
    <w:rsid w:val="2AE92DE3"/>
    <w:rsid w:val="2B0E388C"/>
    <w:rsid w:val="2E0F48DF"/>
    <w:rsid w:val="301C0923"/>
    <w:rsid w:val="353F1A6B"/>
    <w:rsid w:val="35E87669"/>
    <w:rsid w:val="36540984"/>
    <w:rsid w:val="36C4095C"/>
    <w:rsid w:val="3BAE03FF"/>
    <w:rsid w:val="3D037D04"/>
    <w:rsid w:val="3DF548F4"/>
    <w:rsid w:val="3E3142ED"/>
    <w:rsid w:val="3E89008D"/>
    <w:rsid w:val="41E9507C"/>
    <w:rsid w:val="43C41F2D"/>
    <w:rsid w:val="49EB4D26"/>
    <w:rsid w:val="4A836B79"/>
    <w:rsid w:val="4ADE6854"/>
    <w:rsid w:val="56913C5A"/>
    <w:rsid w:val="59483BEB"/>
    <w:rsid w:val="5ABA5A4E"/>
    <w:rsid w:val="5CC71F9C"/>
    <w:rsid w:val="5CE41FC9"/>
    <w:rsid w:val="5EA507C4"/>
    <w:rsid w:val="61655CDB"/>
    <w:rsid w:val="63252609"/>
    <w:rsid w:val="655D1742"/>
    <w:rsid w:val="657742F2"/>
    <w:rsid w:val="6A667059"/>
    <w:rsid w:val="6E1352BE"/>
    <w:rsid w:val="6E481A15"/>
    <w:rsid w:val="6EEC0B65"/>
    <w:rsid w:val="73C41538"/>
    <w:rsid w:val="7D1943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basedOn w:val="1"/>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basedOn w:val="1"/>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99"/>
    <w:pPr>
      <w:ind w:left="231"/>
    </w:pPr>
    <w:rPr>
      <w:rFonts w:ascii="宋体" w:hAnsi="宋体" w:eastAsia="宋体" w:cs="宋体"/>
      <w:sz w:val="32"/>
      <w:szCs w:val="32"/>
      <w:lang w:val="zh-CN" w:bidi="zh-CN"/>
    </w:r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qFormat/>
    <w:uiPriority w:val="0"/>
  </w:style>
  <w:style w:type="paragraph" w:styleId="13">
    <w:name w:val="footnote text"/>
    <w:link w:val="23"/>
    <w:semiHidden/>
    <w:unhideWhenUsed/>
    <w:qFormat/>
    <w:uiPriority w:val="99"/>
    <w:pPr>
      <w:spacing w:after="0" w:line="240" w:lineRule="auto"/>
    </w:pPr>
    <w:rPr>
      <w:rFonts w:ascii="Times New Roman" w:hAnsi="Times New Roman" w:eastAsia="宋体" w:cs="Times New Roman"/>
      <w:sz w:val="20"/>
      <w:szCs w:val="20"/>
    </w:rPr>
  </w:style>
  <w:style w:type="paragraph" w:styleId="14">
    <w:name w:val="toc 2"/>
    <w:basedOn w:val="1"/>
    <w:next w:val="1"/>
    <w:qFormat/>
    <w:uiPriority w:val="0"/>
    <w:pPr>
      <w:ind w:left="420" w:leftChars="200"/>
    </w:pPr>
  </w:style>
  <w:style w:type="paragraph" w:styleId="15">
    <w:name w:val="Title"/>
    <w:qFormat/>
    <w:uiPriority w:val="0"/>
    <w:pPr>
      <w:spacing w:before="480" w:after="480" w:line="288" w:lineRule="auto"/>
      <w:ind w:left="0"/>
    </w:pPr>
    <w:rPr>
      <w:rFonts w:ascii="Arial" w:hAnsi="Arial" w:eastAsia="等线" w:cs="Arial"/>
      <w:b/>
      <w:bCs/>
      <w:sz w:val="52"/>
      <w:szCs w:val="52"/>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customStyle="1" w:styleId="21">
    <w:name w:val="正文段落"/>
    <w:basedOn w:val="1"/>
    <w:autoRedefine/>
    <w:qFormat/>
    <w:uiPriority w:val="0"/>
    <w:pPr>
      <w:adjustRightInd w:val="0"/>
      <w:snapToGrid w:val="0"/>
      <w:spacing w:before="20" w:beforeLines="20" w:after="20" w:afterLines="20" w:line="360" w:lineRule="auto"/>
      <w:ind w:firstLine="200" w:firstLineChars="200"/>
    </w:pPr>
    <w:rPr>
      <w:rFonts w:ascii="Times New Roman" w:hAnsi="Times New Roman" w:eastAsia="宋体"/>
    </w:rPr>
  </w:style>
  <w:style w:type="paragraph" w:styleId="22">
    <w:name w:val="List Paragraph"/>
    <w:qFormat/>
    <w:uiPriority w:val="0"/>
    <w:rPr>
      <w:rFonts w:ascii="Times New Roman" w:hAnsi="Times New Roman" w:eastAsia="宋体" w:cs="Times New Roman"/>
      <w:sz w:val="21"/>
      <w:szCs w:val="22"/>
    </w:rPr>
  </w:style>
  <w:style w:type="character" w:customStyle="1" w:styleId="23">
    <w:name w:val="Footnote Text Char"/>
    <w:link w:val="13"/>
    <w:semiHidden/>
    <w:unhideWhenUsed/>
    <w:qFormat/>
    <w:uiPriority w:val="99"/>
    <w:rPr>
      <w:sz w:val="20"/>
      <w:szCs w:val="20"/>
    </w:rPr>
  </w:style>
  <w:style w:type="paragraph" w:customStyle="1" w:styleId="24">
    <w:name w:val="_Style 13"/>
    <w:qFormat/>
    <w:uiPriority w:val="0"/>
    <w:pPr>
      <w:spacing w:before="120" w:after="120" w:line="288" w:lineRule="auto"/>
      <w:ind w:left="0"/>
      <w:jc w:val="left"/>
    </w:pPr>
    <w:rPr>
      <w:rFonts w:ascii="Arial" w:hAnsi="Arial" w:eastAsia="等线" w:cs="Arial"/>
      <w:sz w:val="22"/>
      <w:szCs w:val="22"/>
    </w:rPr>
  </w:style>
  <w:style w:type="paragraph" w:customStyle="1" w:styleId="25">
    <w:name w:val="_Style 14"/>
    <w:qFormat/>
    <w:uiPriority w:val="0"/>
    <w:pPr>
      <w:spacing w:before="120" w:after="120" w:line="288" w:lineRule="auto"/>
      <w:ind w:left="0"/>
      <w:jc w:val="left"/>
    </w:pPr>
    <w:rPr>
      <w:rFonts w:ascii="Arial" w:hAnsi="Arial" w:eastAsia="等线" w:cs="Arial"/>
      <w:color w:val="8F959E"/>
      <w:sz w:val="22"/>
      <w:szCs w:val="22"/>
    </w:rPr>
  </w:style>
  <w:style w:type="paragraph" w:customStyle="1" w:styleId="26">
    <w:name w:val="WPSOffice手动目录 1"/>
    <w:qFormat/>
    <w:uiPriority w:val="0"/>
    <w:pPr>
      <w:ind w:leftChars="0"/>
    </w:pPr>
    <w:rPr>
      <w:rFonts w:ascii="Times New Roman" w:hAnsi="Times New Roman" w:eastAsia="宋体" w:cs="Times New Roman"/>
      <w:sz w:val="20"/>
      <w:szCs w:val="20"/>
    </w:rPr>
  </w:style>
  <w:style w:type="paragraph" w:customStyle="1" w:styleId="27">
    <w:name w:val="WPSOffice手动目录 2"/>
    <w:qFormat/>
    <w:uiPriority w:val="0"/>
    <w:pPr>
      <w:ind w:leftChars="200"/>
    </w:pPr>
    <w:rPr>
      <w:rFonts w:ascii="Times New Roman" w:hAnsi="Times New Roman" w:eastAsia="宋体" w:cs="Times New Roman"/>
      <w:sz w:val="20"/>
      <w:szCs w:val="20"/>
    </w:rPr>
  </w:style>
  <w:style w:type="paragraph" w:customStyle="1" w:styleId="28">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chart" Target="charts/chart2.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jpeg"/><Relationship Id="rId14" Type="http://schemas.openxmlformats.org/officeDocument/2006/relationships/chart" Target="charts/chart1.xml"/><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G:\deep_learning_in_medical\&#22522;&#20110;&#28145;&#24230;&#23398;&#20064;&#30340;&#30456;&#20284;&#20013;&#33647;&#26448;&#35782;&#21035;\&#27719;&#24635;.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G:\deep_learning_in_medical\&#22522;&#20110;&#28145;&#24230;&#23398;&#20064;&#30340;&#30456;&#20284;&#20013;&#33647;&#26448;&#35782;&#21035;\&#27719;&#2463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barChart>
        <c:barDir val="col"/>
        <c:grouping val="clustered"/>
        <c:varyColors val="0"/>
        <c:ser>
          <c:idx val="0"/>
          <c:order val="0"/>
          <c:tx>
            <c:strRef>
              <c:f>[汇总.xlsx]Sheet1!$D$1</c:f>
              <c:strCache>
                <c:ptCount val="1"/>
                <c:pt idx="0">
                  <c:v>拍照数</c:v>
                </c:pt>
              </c:strCache>
            </c:strRef>
          </c:tx>
          <c:spPr>
            <a:solidFill>
              <a:schemeClr val="accent1"/>
            </a:solidFill>
            <a:ln>
              <a:noFill/>
            </a:ln>
            <a:effectLst/>
          </c:spPr>
          <c:invertIfNegative val="0"/>
          <c:dLbls>
            <c:delete val="1"/>
          </c:dLbls>
          <c:cat>
            <c:numRef>
              <c:f>[汇总.xlsx]Sheet1!$A$2:$A$27</c:f>
              <c:numCache>
                <c:formatCode>General</c:formatCode>
                <c:ptCount val="2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numCache>
            </c:numRef>
          </c:cat>
          <c:val>
            <c:numRef>
              <c:f>[汇总.xlsx]Sheet1!$D$2:$D$27</c:f>
              <c:numCache>
                <c:formatCode>General</c:formatCode>
                <c:ptCount val="26"/>
                <c:pt idx="0">
                  <c:v>203</c:v>
                </c:pt>
                <c:pt idx="1">
                  <c:v>204</c:v>
                </c:pt>
                <c:pt idx="2">
                  <c:v>202</c:v>
                </c:pt>
                <c:pt idx="3">
                  <c:v>204</c:v>
                </c:pt>
                <c:pt idx="4">
                  <c:v>222</c:v>
                </c:pt>
                <c:pt idx="5">
                  <c:v>201</c:v>
                </c:pt>
                <c:pt idx="6">
                  <c:v>209</c:v>
                </c:pt>
                <c:pt idx="7">
                  <c:v>208</c:v>
                </c:pt>
                <c:pt idx="8">
                  <c:v>214</c:v>
                </c:pt>
                <c:pt idx="9">
                  <c:v>212</c:v>
                </c:pt>
                <c:pt idx="10">
                  <c:v>199</c:v>
                </c:pt>
                <c:pt idx="11">
                  <c:v>216</c:v>
                </c:pt>
                <c:pt idx="12">
                  <c:v>283</c:v>
                </c:pt>
                <c:pt idx="13">
                  <c:v>200</c:v>
                </c:pt>
                <c:pt idx="14">
                  <c:v>202</c:v>
                </c:pt>
                <c:pt idx="15">
                  <c:v>197</c:v>
                </c:pt>
                <c:pt idx="16">
                  <c:v>201</c:v>
                </c:pt>
                <c:pt idx="17">
                  <c:v>202</c:v>
                </c:pt>
                <c:pt idx="18">
                  <c:v>202</c:v>
                </c:pt>
                <c:pt idx="19">
                  <c:v>199</c:v>
                </c:pt>
                <c:pt idx="20">
                  <c:v>205</c:v>
                </c:pt>
                <c:pt idx="21">
                  <c:v>191</c:v>
                </c:pt>
                <c:pt idx="22">
                  <c:v>201</c:v>
                </c:pt>
                <c:pt idx="23">
                  <c:v>203</c:v>
                </c:pt>
                <c:pt idx="24">
                  <c:v>201</c:v>
                </c:pt>
                <c:pt idx="25">
                  <c:v>201</c:v>
                </c:pt>
              </c:numCache>
            </c:numRef>
          </c:val>
        </c:ser>
        <c:dLbls>
          <c:showLegendKey val="0"/>
          <c:showVal val="0"/>
          <c:showCatName val="0"/>
          <c:showSerName val="0"/>
          <c:showPercent val="0"/>
          <c:showBubbleSize val="0"/>
        </c:dLbls>
        <c:gapWidth val="246"/>
        <c:overlap val="-28"/>
        <c:axId val="561188833"/>
        <c:axId val="198473235"/>
      </c:barChart>
      <c:catAx>
        <c:axId val="56118883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98473235"/>
        <c:crosses val="autoZero"/>
        <c:auto val="1"/>
        <c:lblAlgn val="ctr"/>
        <c:lblOffset val="100"/>
        <c:noMultiLvlLbl val="0"/>
      </c:catAx>
      <c:valAx>
        <c:axId val="198473235"/>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61188833"/>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3662d20-70ec-4cfd-9996-d2fe30f572e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0" vertOverflow="ellipsis" vert="horz" wrap="square" anchor="ctr" anchorCtr="1"/>
        <a:lstStyle/>
        <a:p>
          <a:pPr>
            <a:defRPr lang="zh-CN" sz="1400" b="1" i="0" u="none" strike="noStrike" kern="1200" baseline="0">
              <a:solidFill>
                <a:schemeClr val="tx1">
                  <a:lumMod val="75000"/>
                  <a:lumOff val="25000"/>
                </a:schemeClr>
              </a:solidFill>
              <a:latin typeface="+mn-lt"/>
              <a:ea typeface="+mn-ea"/>
              <a:cs typeface="+mn-cs"/>
            </a:defRPr>
          </a:pPr>
        </a:p>
      </c:txPr>
    </c:title>
    <c:autoTitleDeleted val="0"/>
    <c:plotArea>
      <c:layout/>
      <c:barChart>
        <c:barDir val="col"/>
        <c:grouping val="clustered"/>
        <c:varyColors val="0"/>
        <c:ser>
          <c:idx val="0"/>
          <c:order val="0"/>
          <c:tx>
            <c:strRef>
              <c:f>[汇总.xlsx]Sheet1!$E$1</c:f>
              <c:strCache>
                <c:ptCount val="1"/>
                <c:pt idx="0">
                  <c:v>剪切数</c:v>
                </c:pt>
              </c:strCache>
            </c:strRef>
          </c:tx>
          <c:spPr>
            <a:solidFill>
              <a:schemeClr val="accent1"/>
            </a:solidFill>
            <a:ln>
              <a:noFill/>
            </a:ln>
            <a:effectLst/>
          </c:spPr>
          <c:invertIfNegative val="0"/>
          <c:dLbls>
            <c:delete val="1"/>
          </c:dLbls>
          <c:cat>
            <c:numRef>
              <c:f>[汇总.xlsx]Sheet1!$A$2:$A$27</c:f>
              <c:numCache>
                <c:formatCode>General</c:formatCode>
                <c:ptCount val="2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numCache>
            </c:numRef>
          </c:cat>
          <c:val>
            <c:numRef>
              <c:f>[汇总.xlsx]Sheet1!$E$2:$E$27</c:f>
              <c:numCache>
                <c:formatCode>General</c:formatCode>
                <c:ptCount val="26"/>
                <c:pt idx="0">
                  <c:v>1865</c:v>
                </c:pt>
                <c:pt idx="1">
                  <c:v>1823</c:v>
                </c:pt>
                <c:pt idx="2">
                  <c:v>1817</c:v>
                </c:pt>
                <c:pt idx="3">
                  <c:v>1837</c:v>
                </c:pt>
                <c:pt idx="4">
                  <c:v>1996</c:v>
                </c:pt>
                <c:pt idx="5">
                  <c:v>1790</c:v>
                </c:pt>
                <c:pt idx="6">
                  <c:v>2118</c:v>
                </c:pt>
                <c:pt idx="7">
                  <c:v>2005</c:v>
                </c:pt>
                <c:pt idx="8">
                  <c:v>2539</c:v>
                </c:pt>
                <c:pt idx="9">
                  <c:v>1930</c:v>
                </c:pt>
                <c:pt idx="10">
                  <c:v>1962</c:v>
                </c:pt>
                <c:pt idx="11">
                  <c:v>1949</c:v>
                </c:pt>
                <c:pt idx="12">
                  <c:v>3430</c:v>
                </c:pt>
                <c:pt idx="13">
                  <c:v>2011</c:v>
                </c:pt>
                <c:pt idx="14">
                  <c:v>1995</c:v>
                </c:pt>
                <c:pt idx="15">
                  <c:v>1956</c:v>
                </c:pt>
                <c:pt idx="16">
                  <c:v>2011</c:v>
                </c:pt>
                <c:pt idx="17">
                  <c:v>2026</c:v>
                </c:pt>
                <c:pt idx="18">
                  <c:v>2007</c:v>
                </c:pt>
                <c:pt idx="19">
                  <c:v>2004</c:v>
                </c:pt>
                <c:pt idx="20">
                  <c:v>2048</c:v>
                </c:pt>
                <c:pt idx="21">
                  <c:v>1938</c:v>
                </c:pt>
                <c:pt idx="22">
                  <c:v>2011</c:v>
                </c:pt>
                <c:pt idx="23">
                  <c:v>2039</c:v>
                </c:pt>
                <c:pt idx="24">
                  <c:v>2019</c:v>
                </c:pt>
                <c:pt idx="25">
                  <c:v>2014</c:v>
                </c:pt>
              </c:numCache>
            </c:numRef>
          </c:val>
        </c:ser>
        <c:dLbls>
          <c:showLegendKey val="0"/>
          <c:showVal val="0"/>
          <c:showCatName val="0"/>
          <c:showSerName val="0"/>
          <c:showPercent val="0"/>
          <c:showBubbleSize val="0"/>
        </c:dLbls>
        <c:gapWidth val="246"/>
        <c:overlap val="-28"/>
        <c:axId val="983190528"/>
        <c:axId val="524787866"/>
      </c:barChart>
      <c:catAx>
        <c:axId val="9831905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24787866"/>
        <c:crosses val="autoZero"/>
        <c:auto val="1"/>
        <c:lblAlgn val="ctr"/>
        <c:lblOffset val="100"/>
        <c:noMultiLvlLbl val="0"/>
      </c:catAx>
      <c:valAx>
        <c:axId val="524787866"/>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83190528"/>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3840763-465a-4af8-94fe-7ee203723c2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29</Pages>
  <Words>2911</Words>
  <Characters>4370</Characters>
  <TotalTime>2</TotalTime>
  <ScaleCrop>false</ScaleCrop>
  <LinksUpToDate>false</LinksUpToDate>
  <CharactersWithSpaces>4822</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2025-05-17T23:20:00Z</dcterms:created>
  <dc:creator>Un-named</dc:creator>
  <cp:lastModifiedBy>UR的出不克</cp:lastModifiedBy>
  <dcterms:modified xsi:type="dcterms:W3CDTF">2025-05-23T14:03:42Z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eyJoZGlkIjoiNjhhMGU4YTQyNzZlM2Y4MmE4MjQwYjZlYTBkYWVlZWYiLCJ1c2VySWQiOiIxNDA5MTkzMTY2In0=</vt:lpwstr>
  </property>
  <property fmtid="{D5CDD505-2E9C-101B-9397-08002B2CF9AE}" pid="3" name="KSOProductBuildVer">
    <vt:lpwstr>2052-12.1.0.21171</vt:lpwstr>
  </property>
  <property fmtid="{D5CDD505-2E9C-101B-9397-08002B2CF9AE}" pid="4" name="ICV">
    <vt:lpwstr>ECC4E31E98364591859D8FB8E3F9F1AD_13</vt:lpwstr>
  </property>
</Properties>
</file>